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Institute_Project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Project guidelines (File: International Technical Institute_Project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Work Practices &amp; Communication (File: International Technical Institute_Work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International Technical Institute_Risk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28115F4A" w:rsidR="0081526A" w:rsidRPr="00653DDC" w:rsidRDefault="00653DDC" w:rsidP="0081526A">
      <w:pPr>
        <w:rPr>
          <w:rFonts w:cs="Arial"/>
          <w:iCs/>
          <w:sz w:val="22"/>
          <w:szCs w:val="22"/>
        </w:rPr>
      </w:pPr>
      <w:r w:rsidRPr="00653DDC">
        <w:rPr>
          <w:rFonts w:cs="Arial"/>
          <w:iCs/>
          <w:color w:val="000000" w:themeColor="text1"/>
          <w:sz w:val="22"/>
          <w:szCs w:val="22"/>
        </w:rPr>
        <w:t xml:space="preserve">This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change management plan outlines the approach </w:t>
      </w:r>
      <w:r w:rsidRPr="00653DDC">
        <w:rPr>
          <w:rFonts w:cs="Arial"/>
          <w:iCs/>
          <w:color w:val="000000" w:themeColor="text1"/>
          <w:sz w:val="22"/>
          <w:szCs w:val="22"/>
        </w:rPr>
        <w:t>of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transitioning 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>individuals</w:t>
      </w:r>
      <w:r w:rsidRPr="00653DDC">
        <w:rPr>
          <w:rFonts w:cs="Arial"/>
          <w:iCs/>
          <w:color w:val="000000" w:themeColor="text1"/>
          <w:sz w:val="22"/>
          <w:szCs w:val="22"/>
        </w:rPr>
        <w:t>, and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teams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 within 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from the current state of only physical classes to a desired future state of online classes with cloud service providers, ensuring successful implementation and stakeholder acceptance.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4A9AE16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E15819">
        <w:rPr>
          <w:rFonts w:cs="Arial"/>
          <w:sz w:val="22"/>
          <w:szCs w:val="22"/>
        </w:rPr>
        <w:t>Increase Student Numbers by 10%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 xml:space="preserve"> by adding online classes</w:t>
      </w:r>
    </w:p>
    <w:p w14:paraId="32C55D3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5896076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To reduce desktop software cost by 5%</w:t>
      </w:r>
      <w:r>
        <w:rPr>
          <w:rFonts w:cs="Arial"/>
          <w:sz w:val="22"/>
          <w:szCs w:val="22"/>
        </w:rPr>
        <w:t>,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switching to a SaaS model</w:t>
      </w:r>
      <w:r>
        <w:rPr>
          <w:rFonts w:cs="Arial"/>
          <w:sz w:val="22"/>
          <w:szCs w:val="22"/>
        </w:rPr>
        <w:t xml:space="preserve">, to be done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0EA7075D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Provide storage scalability as required using SaaS</w:t>
      </w:r>
      <w:r>
        <w:rPr>
          <w:rFonts w:cs="Arial"/>
          <w:sz w:val="22"/>
          <w:szCs w:val="22"/>
        </w:rPr>
        <w:t xml:space="preserve"> providers, this is to be implemented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38D2217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E15819">
        <w:rPr>
          <w:rFonts w:cs="Arial"/>
          <w:sz w:val="22"/>
          <w:szCs w:val="22"/>
        </w:rPr>
        <w:t>Improve security and privacy by making sure it is ISO 27.001 and implementing cyber security policies</w:t>
      </w:r>
      <w:r>
        <w:rPr>
          <w:rFonts w:cs="Arial"/>
          <w:sz w:val="22"/>
          <w:szCs w:val="22"/>
        </w:rPr>
        <w:t xml:space="preserve">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bookmarkEnd w:id="4"/>
    <w:p w14:paraId="31B7BF61" w14:textId="77777777" w:rsidR="007D05CB" w:rsidRPr="00461759" w:rsidRDefault="007D05CB" w:rsidP="00461759">
      <w:pPr>
        <w:rPr>
          <w:rFonts w:cs="Arial"/>
          <w:bCs/>
        </w:rPr>
      </w:pP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Refer to the Project Guidelines (File: International Technical Institute_Project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701"/>
      </w:tblGrid>
      <w:tr w:rsidR="000D0C8F" w:rsidRPr="000D0C8F" w14:paraId="01D7680F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FDBE1B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72F996" w14:textId="77777777" w:rsidR="00C26F18" w:rsidRPr="000D0C8F" w:rsidRDefault="00C26F18" w:rsidP="009575FB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DDB8ED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0C0FE0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C9CB8E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92F5DA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EEA25B" w14:textId="77777777" w:rsidR="00C26F18" w:rsidRPr="000D0C8F" w:rsidRDefault="00C26F18" w:rsidP="009575FB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0D0C8F" w:rsidRPr="000D0C8F" w14:paraId="78C89741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C99C" w14:textId="77777777" w:rsidR="00841E0F" w:rsidRPr="000D0C8F" w:rsidRDefault="00841E0F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4E6D" w14:textId="77777777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7387" w14:textId="208AF28A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EA45" w14:textId="12A41D4E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2605" w14:textId="2F28962C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5632" w14:textId="47CAFF29" w:rsidR="00841E0F" w:rsidRPr="000D0C8F" w:rsidRDefault="00841E0F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A7D6" w14:textId="699100CD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0D0C8F" w:rsidRPr="000D0C8F" w14:paraId="327B83CE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82A3" w14:textId="77777777" w:rsidR="00841E0F" w:rsidRPr="000D0C8F" w:rsidRDefault="00841E0F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B2D8E" w14:textId="50B016CF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734F" w14:textId="73C4B16E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7658E" w14:textId="04FA2B54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FD9D8" w14:textId="38DE0303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50477" w14:textId="087C34E3" w:rsidR="00841E0F" w:rsidRPr="000D0C8F" w:rsidRDefault="007F6F99" w:rsidP="00841E0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Task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30A1" w14:textId="1ED42224" w:rsidR="00841E0F" w:rsidRPr="000D0C8F" w:rsidRDefault="00841E0F" w:rsidP="00841E0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4DF79662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3E37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AFA8" w14:textId="685A5CE4" w:rsidR="007F6F99" w:rsidRPr="000D0C8F" w:rsidRDefault="007F6F99" w:rsidP="007F6F99">
            <w:r w:rsidRPr="000D0C8F">
              <w:t xml:space="preserve">    Meeting with CEO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E742F" w14:textId="4DC25E0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F2BD" w14:textId="628B93A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F0F5" w14:textId="2FD8010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DEF8" w14:textId="20059AAB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Task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7C3A" w14:textId="6DAA732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50421D04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11B3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DF08" w14:textId="38F5C26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    Define the project goals and objectives</w:t>
            </w:r>
          </w:p>
          <w:p w14:paraId="788E2994" w14:textId="314BDC8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    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04BC" w14:textId="6D529B3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85E69" w14:textId="2402B95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D23E" w14:textId="5F55E74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4947" w14:textId="120B606D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Task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D779" w14:textId="0EEAA2F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CEO</w:t>
            </w:r>
            <w:r w:rsidR="008668BE" w:rsidRPr="000D0C8F">
              <w:rPr>
                <w:rFonts w:eastAsia="Times New Roman" w:cs="Arial"/>
                <w:sz w:val="18"/>
                <w:szCs w:val="18"/>
                <w:lang w:eastAsia="en-AU"/>
              </w:rPr>
              <w:t xml:space="preserve">,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38801C17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F70D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563F8" w14:textId="1492C46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90E69" w14:textId="5D84535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D2DF" w14:textId="22439E3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913F" w14:textId="05A28DD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0EBC" w14:textId="07F2F97C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E4B1" w14:textId="387E20D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00F833DB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26444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4A3D" w14:textId="0EE6DA39" w:rsidR="007F6F99" w:rsidRPr="000D0C8F" w:rsidRDefault="000D0C8F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tab/>
            </w:r>
            <w:r w:rsidR="007F6F99" w:rsidRPr="000D0C8F">
              <w:t>Meeting with ICT Supervisor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5CF38" w14:textId="0FCC97B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4EA3" w14:textId="2A97458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C55E" w14:textId="694F6F5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6E41" w14:textId="0F59AD1E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69BEA" w14:textId="3C98F14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067D6AD6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15D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51600" w14:textId="6A8A3F1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E015" w14:textId="54A37D9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6568D" w14:textId="662E3A6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33FA8" w14:textId="0C897E7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E11A" w14:textId="7E530BAC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190D1" w14:textId="1F151B9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2486FC41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83D1B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F279" w14:textId="07CF2EC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EF89A" w14:textId="3241EBA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41452" w14:textId="372E4A0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6899" w14:textId="634515E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26/7/2023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BB7B" w14:textId="52F3B30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27F1" w14:textId="25FAF07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0F8D5685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09D3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D70B" w14:textId="26E8BE6F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F9059" w14:textId="49DE65B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6786" w14:textId="7F6F3F2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27/7/2023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3434" w14:textId="7997F63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27/7/2023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9565" w14:textId="6A2802F6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20C2" w14:textId="73F0081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58A3929E" w14:textId="77777777" w:rsidTr="007F6F9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DF4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87FB" w14:textId="5A729366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4F98" w14:textId="788D897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68E2" w14:textId="6E8B9A2F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28/7/2023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B13F" w14:textId="33B3337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31/7/2023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7D33" w14:textId="1C067508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FA06" w14:textId="68DEA8A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51C1FFF3" w14:textId="77777777" w:rsidTr="007F6F99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9A75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32ED" w14:textId="40F8675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47F53" w14:textId="14A0F3D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42BB" w14:textId="2CD07911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01/8/2023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E6E2" w14:textId="2987999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03/8/2023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BF8" w14:textId="1009A8EA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1A33" w14:textId="6014995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39FAF57E" w14:textId="77777777" w:rsidTr="007F6F99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FCEC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7B5EF" w14:textId="7DB7F97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879D" w14:textId="15E9389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5A31" w14:textId="5DE1BFF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03/8/2023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6E092" w14:textId="3724E0B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07/8/2023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2018E" w14:textId="244DF5CA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26720" w14:textId="597A23F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Technicians</w:t>
            </w:r>
          </w:p>
        </w:tc>
      </w:tr>
      <w:tr w:rsidR="000D0C8F" w:rsidRPr="000D0C8F" w14:paraId="62FC62B1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8A575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AB" w14:textId="2F2C0EAF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BD01" w14:textId="483C1AA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A3E3" w14:textId="7BAA306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07/8/2023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EABE" w14:textId="26B2DEE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96C78" w14:textId="361A6E4D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EB5E" w14:textId="4D8A116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3863D5BC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30F93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23C2" w14:textId="44D752A8" w:rsidR="007F6F99" w:rsidRPr="000D0C8F" w:rsidRDefault="007F6F99" w:rsidP="007F6F99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D3DF" w14:textId="138AD6A5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D85E" w14:textId="135F945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7D7F" w14:textId="5B18D35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D2177" w14:textId="1E8B7673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B223" w14:textId="55021F7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14E44045" w14:textId="77777777" w:rsidTr="007F6F99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723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9E83E" w14:textId="505922BA" w:rsidR="007F6F99" w:rsidRPr="000D0C8F" w:rsidRDefault="007F6F99" w:rsidP="007F6F99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0D0C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962D" w14:textId="0696088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F55E" w14:textId="2FA3622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22/8/2023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F9C2" w14:textId="4F8AB4B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29/8/2023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73C73" w14:textId="626FC3E3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6F1BA" w14:textId="3C166D36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140F593F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2466D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46F49" w14:textId="44D2A79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F305" w14:textId="6073552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0D2A" w14:textId="70D3667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30/8/2023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D1F6" w14:textId="7B16EEE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06/09/2023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8BB5" w14:textId="3BB8ACC4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56137" w14:textId="7BDFC57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0D0C8F" w:rsidRPr="000D0C8F" w14:paraId="52874EF5" w14:textId="77777777" w:rsidTr="007F6F99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7D69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EF79" w14:textId="4397374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D5FD" w14:textId="1B2F69E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2D5D" w14:textId="52D3347E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07/09/2023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3C8C" w14:textId="74E0D392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21/09/2023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B90C" w14:textId="4A0D58BE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FAAC" w14:textId="7EC2230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Cloud Service Provider Reps</w:t>
            </w:r>
          </w:p>
        </w:tc>
      </w:tr>
      <w:tr w:rsidR="000D0C8F" w:rsidRPr="000D0C8F" w14:paraId="01B51E56" w14:textId="77777777" w:rsidTr="00F32AF0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CE8DE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E5AA6" w14:textId="04FF23C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t>Test the Microsoft 365 implementation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6F84" w14:textId="4B0C671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F34C" w14:textId="6BE5D8E0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21/09/2023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6402" w14:textId="53DF5074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28/09/2023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D5973" w14:textId="2F88D364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2F3E" w14:textId="7777777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Network Administrator,</w:t>
            </w:r>
          </w:p>
          <w:p w14:paraId="7AED6E80" w14:textId="729D65CA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lastRenderedPageBreak/>
              <w:t>Andre Alexandrov</w:t>
            </w:r>
          </w:p>
        </w:tc>
      </w:tr>
      <w:tr w:rsidR="000D0C8F" w:rsidRPr="000D0C8F" w14:paraId="386C02F0" w14:textId="77777777" w:rsidTr="00F32AF0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A35" w14:textId="77777777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7D93E" w14:textId="35DC3A2C" w:rsidR="007F6F99" w:rsidRPr="000D0C8F" w:rsidRDefault="007F6F99" w:rsidP="007F6F99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0D0C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DCAA" w14:textId="5CB068C6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47FE" w14:textId="23DC66D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28/09/2023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93C5" w14:textId="2C19F9C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05/10/2023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6C4C2" w14:textId="5995E761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184D" w14:textId="585DFA78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4F40C5FE" w14:textId="77777777" w:rsidTr="00F32AF0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4C49" w14:textId="4F7936C1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B65C2" w14:textId="76B05602" w:rsidR="007F6F99" w:rsidRPr="000D0C8F" w:rsidRDefault="007F6F99" w:rsidP="007F6F99">
            <w:pPr>
              <w:spacing w:before="60" w:after="60" w:line="288" w:lineRule="auto"/>
            </w:pPr>
            <w:r w:rsidRPr="000D0C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AA21" w14:textId="65E08203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87FC" w14:textId="6241626B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06/10/2023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99C6" w14:textId="4DEAA79D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13/10/2023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B28DC" w14:textId="5F682D25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30EC" w14:textId="2EC9021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0D0C8F" w:rsidRPr="000D0C8F" w14:paraId="5DD7BBC6" w14:textId="77777777" w:rsidTr="00401AD1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55F2" w14:textId="348D1FD6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8E102" w14:textId="70E88D85" w:rsidR="007F6F99" w:rsidRPr="000D0C8F" w:rsidRDefault="007F6F99" w:rsidP="007F6F99">
            <w:pPr>
              <w:spacing w:before="60" w:after="60" w:line="288" w:lineRule="auto"/>
            </w:pPr>
            <w:r w:rsidRPr="000D0C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D721" w14:textId="248A1EC1" w:rsidR="007F6F99" w:rsidRPr="000D0C8F" w:rsidRDefault="007F6F99" w:rsidP="007F6F99">
            <w:pPr>
              <w:rPr>
                <w:rFonts w:eastAsia="Times New Roman" w:cs="Arial"/>
                <w:szCs w:val="20"/>
                <w:lang w:eastAsia="en-AU"/>
              </w:rPr>
            </w:pPr>
            <w:r w:rsidRPr="000D0C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D8D2" w14:textId="2A0A5697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9CDF" w14:textId="0716099C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14/10/2023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F3C6" w14:textId="119D5843" w:rsidR="007F6F99" w:rsidRPr="000D0C8F" w:rsidRDefault="007F6F99" w:rsidP="007F6F99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 xml:space="preserve">Task </w:t>
            </w:r>
            <w:r w:rsidR="008668BE"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DC7D3" w14:textId="099D7859" w:rsidR="007F6F99" w:rsidRPr="000D0C8F" w:rsidRDefault="007F6F99" w:rsidP="007F6F99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CEO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Work Practices &amp; Communication (File: International Technical Institute_Work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>International Technical Institute_Risk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0140A9C" w14:textId="74F3C9AF" w:rsidR="0056732E" w:rsidRPr="009D6DD2" w:rsidRDefault="00DD5E92" w:rsidP="0059022B">
      <w:pPr>
        <w:pStyle w:val="ListParagraph"/>
        <w:ind w:left="360"/>
        <w:rPr>
          <w:rFonts w:cs="Arial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471A0C13" w:rsidR="00344645" w:rsidRPr="00FA0543" w:rsidRDefault="00F954F7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94708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947086">
              <w:rPr>
                <w:sz w:val="18"/>
                <w:szCs w:val="18"/>
              </w:rPr>
              <w:t>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Unable to keep up with emerging technologies</w:t>
            </w:r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050E7B6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</w:t>
            </w:r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government funding</w:t>
            </w:r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Demand for IT courses have changed</w:t>
            </w:r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0083234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Failure to maintain client service management system</w:t>
            </w:r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Leads to delays in service delivery</w:t>
            </w:r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A60383" w:rsidRPr="00081372" w:rsidRDefault="008D16F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Makes ITI unable to pay software costs</w:t>
            </w:r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41E12633" w:rsidR="00947086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081FDE09" w14:textId="77777777" w:rsidR="00A6038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policies and procedures</w:t>
            </w:r>
          </w:p>
          <w:p w14:paraId="5312FA05" w14:textId="4995BB10" w:rsidR="008D16F3" w:rsidRPr="008D16F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2E708855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398C37F1" w14:textId="183D30A0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DA3214" w:rsidRDefault="00417BA5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Pre plan change/risk mitigation</w:t>
            </w:r>
          </w:p>
          <w:p w14:paraId="29C5AC24" w14:textId="0C7B0B97" w:rsidR="00DA3214" w:rsidRPr="00095E3C" w:rsidRDefault="00DA3214" w:rsidP="00DA3214">
            <w:pPr>
              <w:widowControl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534AE3DA" w14:textId="16E7927E" w:rsidR="00DA3214" w:rsidRPr="00081372" w:rsidRDefault="00DA3214" w:rsidP="00417BA5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380A6D49" w:rsidR="00B63B62" w:rsidRPr="0093736E" w:rsidRDefault="0093736E" w:rsidP="00B63B62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B19663A" w14:textId="4F7CE29D" w:rsidR="0093736E" w:rsidRPr="0093736E" w:rsidRDefault="0093736E" w:rsidP="0093736E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93736E">
              <w:rPr>
                <w:rFonts w:cs="Arial"/>
                <w:sz w:val="16"/>
                <w:szCs w:val="16"/>
              </w:rPr>
              <w:t>Protecting customer data.</w:t>
            </w:r>
          </w:p>
          <w:p w14:paraId="3259E834" w14:textId="00534947" w:rsidR="00B63B62" w:rsidRPr="0093736E" w:rsidRDefault="00B63B62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3D16CE38" w:rsidR="00A60383" w:rsidRPr="00081372" w:rsidRDefault="0093736E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3736E">
              <w:rPr>
                <w:rFonts w:cs="Arial"/>
                <w:color w:val="000000" w:themeColor="text1"/>
                <w:sz w:val="16"/>
                <w:szCs w:val="16"/>
              </w:rPr>
              <w:t>balancing security and privacy with usability</w:t>
            </w: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216FD1FB" w:rsidR="00947086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Failure to implement effective security and privacy measures</w:t>
            </w:r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318669E0" w:rsidR="00947086" w:rsidRPr="00DA3214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Users encounter difficulty accessing information or completing tasks due to excessive security measures</w:t>
            </w:r>
          </w:p>
          <w:p w14:paraId="53D0206D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035E0DEB" w14:textId="4518C2E6" w:rsidR="00DA3214" w:rsidRPr="00081372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Reduced user productivity and satisfaction, increased risk of workarounds that compromise security</w:t>
            </w:r>
          </w:p>
        </w:tc>
        <w:tc>
          <w:tcPr>
            <w:tcW w:w="1764" w:type="dxa"/>
          </w:tcPr>
          <w:p w14:paraId="1E2EA844" w14:textId="77777777" w:rsidR="00A60383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Legislation</w:t>
            </w:r>
          </w:p>
          <w:p w14:paraId="1FDFE6AA" w14:textId="77777777" w:rsidR="00DA3214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Privacy policy</w:t>
            </w:r>
          </w:p>
          <w:p w14:paraId="2C8092B9" w14:textId="77777777" w:rsid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4A48ADE3" w14:textId="2414B203" w:rsidR="00325053" w:rsidRP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Style w:val="contentpasted0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vide storage scalability as required</w:t>
            </w:r>
            <w:r>
              <w:rPr>
                <w:rFonts w:ascii="inherit" w:hAnsi="inherit" w:cs="Arial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764" w:type="dxa"/>
          </w:tcPr>
          <w:p w14:paraId="6143BC2C" w14:textId="2415DAA9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7E96D499" w14:textId="6FA88145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54715E19" w14:textId="77777777" w:rsidR="00A60383" w:rsidRDefault="00DA3214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security and privacy risk assessment</w:t>
            </w:r>
          </w:p>
          <w:p w14:paraId="7B66F201" w14:textId="04F0AE55" w:rsidR="00DB4881" w:rsidRPr="00081372" w:rsidRDefault="00DB4881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differences did you have to accommodate for? How did you accommodate the differences?</w:t>
      </w:r>
    </w:p>
    <w:p w14:paraId="64492760" w14:textId="5DE67262" w:rsidR="0081526A" w:rsidRPr="004725A1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 w:rsidRPr="004725A1">
        <w:rPr>
          <w:rStyle w:val="Heading2Char"/>
          <w:rFonts w:cs="Arial"/>
          <w:color w:val="auto"/>
          <w:sz w:val="22"/>
          <w:szCs w:val="22"/>
        </w:rPr>
        <w:t>In order to complete the Risk Assessment</w:t>
      </w:r>
      <w:r>
        <w:rPr>
          <w:rStyle w:val="Heading2Char"/>
          <w:rFonts w:cs="Arial"/>
          <w:color w:val="auto"/>
          <w:sz w:val="22"/>
          <w:szCs w:val="22"/>
        </w:rPr>
        <w:t xml:space="preserve"> Alexis and I first had to allocate a time to complete the assessment, this one done through multiple email exchanges in which we discussed available times and came up with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the deadline of</w:t>
      </w:r>
      <w:r>
        <w:rPr>
          <w:rStyle w:val="Heading2Char"/>
          <w:rFonts w:cs="Arial"/>
          <w:color w:val="auto"/>
          <w:sz w:val="22"/>
          <w:szCs w:val="22"/>
        </w:rPr>
        <w:t xml:space="preserve"> Friday 27/10/2023, the assessment was not complete on that date, and we came up with another date on Tuesday 7/11/2023 as </w:t>
      </w:r>
      <w:r w:rsidR="003031AE">
        <w:rPr>
          <w:rStyle w:val="Heading2Char"/>
          <w:rFonts w:cs="Arial"/>
          <w:color w:val="auto"/>
          <w:sz w:val="22"/>
          <w:szCs w:val="22"/>
        </w:rPr>
        <w:t>we were</w:t>
      </w:r>
      <w:r>
        <w:rPr>
          <w:rStyle w:val="Heading2Char"/>
          <w:rFonts w:cs="Arial"/>
          <w:color w:val="auto"/>
          <w:sz w:val="22"/>
          <w:szCs w:val="22"/>
        </w:rPr>
        <w:t xml:space="preserve"> in the same location at the time, </w:t>
      </w:r>
      <w:r w:rsidR="00F954F7">
        <w:rPr>
          <w:rStyle w:val="Heading2Char"/>
          <w:rFonts w:cs="Arial"/>
          <w:color w:val="auto"/>
          <w:sz w:val="22"/>
          <w:szCs w:val="22"/>
        </w:rPr>
        <w:t>this time</w:t>
      </w:r>
      <w:r>
        <w:rPr>
          <w:rStyle w:val="Heading2Char"/>
          <w:rFonts w:cs="Arial"/>
          <w:color w:val="auto"/>
          <w:sz w:val="22"/>
          <w:szCs w:val="22"/>
        </w:rPr>
        <w:t xml:space="preserve"> it was completed. During the discussion on the assessment, we both acted professionally, using active listening skills. Alexis and I have many demographical differences, as I’m </w:t>
      </w:r>
      <w:r w:rsidR="003031AE">
        <w:rPr>
          <w:rStyle w:val="Heading2Char"/>
          <w:rFonts w:cs="Arial"/>
          <w:color w:val="auto"/>
          <w:sz w:val="22"/>
          <w:szCs w:val="22"/>
        </w:rPr>
        <w:t>an</w:t>
      </w:r>
      <w:r>
        <w:rPr>
          <w:rStyle w:val="Heading2Char"/>
          <w:rFonts w:cs="Arial"/>
          <w:color w:val="auto"/>
          <w:sz w:val="22"/>
          <w:szCs w:val="22"/>
        </w:rPr>
        <w:t xml:space="preserve"> Australian male while Alexis is an American female, there is also an age between us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of around 20 years</w:t>
      </w:r>
      <w:r>
        <w:rPr>
          <w:rStyle w:val="Heading2Char"/>
          <w:rFonts w:cs="Arial"/>
          <w:color w:val="auto"/>
          <w:sz w:val="22"/>
          <w:szCs w:val="22"/>
        </w:rPr>
        <w:t xml:space="preserve">, Alexis is also non-religious whereas I am. The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Style w:val="Heading2Char"/>
          <w:rFonts w:cs="Arial"/>
          <w:color w:val="auto"/>
          <w:sz w:val="22"/>
          <w:szCs w:val="22"/>
        </w:rPr>
        <w:t>differences did not hamper our discussion as we both speak English well and understand professional discussion</w:t>
      </w:r>
      <w:r w:rsidR="003031AE" w:rsidRPr="003031AE">
        <w:rPr>
          <w:rFonts w:cs="Arial"/>
          <w:sz w:val="22"/>
          <w:szCs w:val="22"/>
        </w:rPr>
        <w:t xml:space="preserve"> </w:t>
      </w:r>
      <w:r w:rsidR="003031AE">
        <w:rPr>
          <w:rStyle w:val="Heading2Char"/>
          <w:rFonts w:cs="Arial"/>
          <w:color w:val="auto"/>
          <w:sz w:val="22"/>
          <w:szCs w:val="22"/>
        </w:rPr>
        <w:t>standards, we chose Australian English spelling as that is where we are located,</w:t>
      </w:r>
      <w:r>
        <w:rPr>
          <w:rStyle w:val="Heading2Char"/>
          <w:rFonts w:cs="Arial"/>
          <w:color w:val="auto"/>
          <w:sz w:val="22"/>
          <w:szCs w:val="22"/>
        </w:rPr>
        <w:t xml:space="preserve"> although </w:t>
      </w:r>
      <w:r w:rsidR="003031AE">
        <w:rPr>
          <w:rStyle w:val="Heading2Char"/>
          <w:rFonts w:cs="Arial"/>
          <w:color w:val="auto"/>
          <w:sz w:val="22"/>
          <w:szCs w:val="22"/>
        </w:rPr>
        <w:t>location was an issue this was solved by going to a central location that we both regularly attend.</w:t>
      </w: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>Work Practices &amp; Communication document (File: International Technical Institute_Work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237809AB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59D0" w14:textId="77777777" w:rsidR="00560C36" w:rsidRDefault="00560C36" w:rsidP="00D77177">
      <w:r>
        <w:separator/>
      </w:r>
    </w:p>
  </w:endnote>
  <w:endnote w:type="continuationSeparator" w:id="0">
    <w:p w14:paraId="7DD6673F" w14:textId="77777777" w:rsidR="00560C36" w:rsidRDefault="00560C36" w:rsidP="00D77177">
      <w:r>
        <w:continuationSeparator/>
      </w:r>
    </w:p>
  </w:endnote>
  <w:endnote w:type="continuationNotice" w:id="1">
    <w:p w14:paraId="34E9AC5A" w14:textId="77777777" w:rsidR="00560C36" w:rsidRDefault="00560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BF94" w14:textId="77777777" w:rsidR="00560C36" w:rsidRDefault="00560C36" w:rsidP="00D77177">
      <w:r>
        <w:separator/>
      </w:r>
    </w:p>
  </w:footnote>
  <w:footnote w:type="continuationSeparator" w:id="0">
    <w:p w14:paraId="7425C1B5" w14:textId="77777777" w:rsidR="00560C36" w:rsidRDefault="00560C36" w:rsidP="00D77177">
      <w:r>
        <w:continuationSeparator/>
      </w:r>
    </w:p>
  </w:footnote>
  <w:footnote w:type="continuationNotice" w:id="1">
    <w:p w14:paraId="7D411798" w14:textId="77777777" w:rsidR="00560C36" w:rsidRDefault="00560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5pt;height:10.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3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51"/>
  </w:num>
  <w:num w:numId="10" w16cid:durableId="1378891505">
    <w:abstractNumId w:val="16"/>
  </w:num>
  <w:num w:numId="11" w16cid:durableId="1243024272">
    <w:abstractNumId w:val="29"/>
  </w:num>
  <w:num w:numId="12" w16cid:durableId="1351369802">
    <w:abstractNumId w:val="23"/>
  </w:num>
  <w:num w:numId="13" w16cid:durableId="30961902">
    <w:abstractNumId w:val="37"/>
  </w:num>
  <w:num w:numId="14" w16cid:durableId="1400204317">
    <w:abstractNumId w:val="45"/>
  </w:num>
  <w:num w:numId="15" w16cid:durableId="1885947601">
    <w:abstractNumId w:val="13"/>
  </w:num>
  <w:num w:numId="16" w16cid:durableId="208028937">
    <w:abstractNumId w:val="33"/>
  </w:num>
  <w:num w:numId="17" w16cid:durableId="117533701">
    <w:abstractNumId w:val="17"/>
  </w:num>
  <w:num w:numId="18" w16cid:durableId="96603092">
    <w:abstractNumId w:val="24"/>
  </w:num>
  <w:num w:numId="19" w16cid:durableId="1593395190">
    <w:abstractNumId w:val="4"/>
  </w:num>
  <w:num w:numId="20" w16cid:durableId="1258127129">
    <w:abstractNumId w:val="34"/>
  </w:num>
  <w:num w:numId="21" w16cid:durableId="224679142">
    <w:abstractNumId w:val="20"/>
  </w:num>
  <w:num w:numId="22" w16cid:durableId="146746992">
    <w:abstractNumId w:val="19"/>
  </w:num>
  <w:num w:numId="23" w16cid:durableId="928583108">
    <w:abstractNumId w:val="47"/>
  </w:num>
  <w:num w:numId="24" w16cid:durableId="969095355">
    <w:abstractNumId w:val="27"/>
  </w:num>
  <w:num w:numId="25" w16cid:durableId="541593416">
    <w:abstractNumId w:val="7"/>
  </w:num>
  <w:num w:numId="26" w16cid:durableId="700978366">
    <w:abstractNumId w:val="49"/>
  </w:num>
  <w:num w:numId="27" w16cid:durableId="1191603887">
    <w:abstractNumId w:val="39"/>
  </w:num>
  <w:num w:numId="28" w16cid:durableId="1697660317">
    <w:abstractNumId w:val="12"/>
  </w:num>
  <w:num w:numId="29" w16cid:durableId="1064177051">
    <w:abstractNumId w:val="30"/>
  </w:num>
  <w:num w:numId="30" w16cid:durableId="851917451">
    <w:abstractNumId w:val="5"/>
  </w:num>
  <w:num w:numId="31" w16cid:durableId="1210460303">
    <w:abstractNumId w:val="21"/>
  </w:num>
  <w:num w:numId="32" w16cid:durableId="602881733">
    <w:abstractNumId w:val="32"/>
  </w:num>
  <w:num w:numId="33" w16cid:durableId="1417436853">
    <w:abstractNumId w:val="38"/>
  </w:num>
  <w:num w:numId="34" w16cid:durableId="1558322593">
    <w:abstractNumId w:val="43"/>
  </w:num>
  <w:num w:numId="35" w16cid:durableId="2113281911">
    <w:abstractNumId w:val="50"/>
  </w:num>
  <w:num w:numId="36" w16cid:durableId="750472176">
    <w:abstractNumId w:val="48"/>
  </w:num>
  <w:num w:numId="37" w16cid:durableId="1617711328">
    <w:abstractNumId w:val="28"/>
  </w:num>
  <w:num w:numId="38" w16cid:durableId="348336654">
    <w:abstractNumId w:val="9"/>
  </w:num>
  <w:num w:numId="39" w16cid:durableId="1390299023">
    <w:abstractNumId w:val="11"/>
  </w:num>
  <w:num w:numId="40" w16cid:durableId="433210213">
    <w:abstractNumId w:val="6"/>
  </w:num>
  <w:num w:numId="41" w16cid:durableId="1976252261">
    <w:abstractNumId w:val="26"/>
  </w:num>
  <w:num w:numId="42" w16cid:durableId="575167081">
    <w:abstractNumId w:val="36"/>
  </w:num>
  <w:num w:numId="43" w16cid:durableId="1134133045">
    <w:abstractNumId w:val="40"/>
  </w:num>
  <w:num w:numId="44" w16cid:durableId="850604006">
    <w:abstractNumId w:val="42"/>
  </w:num>
  <w:num w:numId="45" w16cid:durableId="303899712">
    <w:abstractNumId w:val="15"/>
  </w:num>
  <w:num w:numId="46" w16cid:durableId="1071544906">
    <w:abstractNumId w:val="8"/>
  </w:num>
  <w:num w:numId="47" w16cid:durableId="1843933069">
    <w:abstractNumId w:val="18"/>
  </w:num>
  <w:num w:numId="48" w16cid:durableId="856313902">
    <w:abstractNumId w:val="31"/>
  </w:num>
  <w:num w:numId="49" w16cid:durableId="1337002688">
    <w:abstractNumId w:val="22"/>
  </w:num>
  <w:num w:numId="50" w16cid:durableId="98182872">
    <w:abstractNumId w:val="44"/>
  </w:num>
  <w:num w:numId="51" w16cid:durableId="1508057260">
    <w:abstractNumId w:val="10"/>
  </w:num>
  <w:num w:numId="52" w16cid:durableId="912469281">
    <w:abstractNumId w:val="46"/>
  </w:num>
  <w:num w:numId="53" w16cid:durableId="92676946">
    <w:abstractNumId w:val="35"/>
  </w:num>
  <w:num w:numId="54" w16cid:durableId="245698275">
    <w:abstractNumId w:val="41"/>
  </w:num>
  <w:num w:numId="55" w16cid:durableId="2077628428">
    <w:abstractNumId w:val="14"/>
  </w:num>
  <w:num w:numId="56" w16cid:durableId="20033840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20332F"/>
    <w:rsid w:val="00223CFD"/>
    <w:rsid w:val="002451D7"/>
    <w:rsid w:val="00270273"/>
    <w:rsid w:val="00283979"/>
    <w:rsid w:val="002919FD"/>
    <w:rsid w:val="002A5809"/>
    <w:rsid w:val="002D1944"/>
    <w:rsid w:val="002D1AF7"/>
    <w:rsid w:val="002E31A4"/>
    <w:rsid w:val="002F4687"/>
    <w:rsid w:val="003031AE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61759"/>
    <w:rsid w:val="00471A5F"/>
    <w:rsid w:val="004725A1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0C36"/>
    <w:rsid w:val="0056732E"/>
    <w:rsid w:val="005674A7"/>
    <w:rsid w:val="005716F3"/>
    <w:rsid w:val="00585626"/>
    <w:rsid w:val="00585C12"/>
    <w:rsid w:val="0058660F"/>
    <w:rsid w:val="0059022B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3DDC"/>
    <w:rsid w:val="0065434C"/>
    <w:rsid w:val="00661585"/>
    <w:rsid w:val="00670563"/>
    <w:rsid w:val="00672478"/>
    <w:rsid w:val="00673E9B"/>
    <w:rsid w:val="006949D0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4551"/>
    <w:rsid w:val="007F6F99"/>
    <w:rsid w:val="00801953"/>
    <w:rsid w:val="00806C79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1F0C"/>
    <w:rsid w:val="00BF50E2"/>
    <w:rsid w:val="00C00D30"/>
    <w:rsid w:val="00C02543"/>
    <w:rsid w:val="00C139F0"/>
    <w:rsid w:val="00C15BE2"/>
    <w:rsid w:val="00C26F18"/>
    <w:rsid w:val="00C53D6D"/>
    <w:rsid w:val="00C8723B"/>
    <w:rsid w:val="00CA270E"/>
    <w:rsid w:val="00CA2F2B"/>
    <w:rsid w:val="00CA5681"/>
    <w:rsid w:val="00CB568C"/>
    <w:rsid w:val="00CD2592"/>
    <w:rsid w:val="00CF2773"/>
    <w:rsid w:val="00D1190F"/>
    <w:rsid w:val="00D33264"/>
    <w:rsid w:val="00D34B29"/>
    <w:rsid w:val="00D356C0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F0FF9"/>
    <w:rsid w:val="00E01751"/>
    <w:rsid w:val="00E14A36"/>
    <w:rsid w:val="00E15F31"/>
    <w:rsid w:val="00E258EC"/>
    <w:rsid w:val="00E34A81"/>
    <w:rsid w:val="00E539D5"/>
    <w:rsid w:val="00E64D8D"/>
    <w:rsid w:val="00E86BF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954F7"/>
    <w:rsid w:val="00FB7E11"/>
    <w:rsid w:val="00FC1F0B"/>
    <w:rsid w:val="00FC23D5"/>
    <w:rsid w:val="00FC274C"/>
    <w:rsid w:val="00FC3110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2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Props1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269</TotalTime>
  <Pages>11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21</cp:revision>
  <dcterms:created xsi:type="dcterms:W3CDTF">2023-10-27T03:44:00Z</dcterms:created>
  <dcterms:modified xsi:type="dcterms:W3CDTF">2023-11-27T03:38:00Z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