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dates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unsupervised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>This is not group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Access to Learn with Internet access</w:t>
            </w:r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Learn resources</w:t>
            </w:r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Project guidelines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Work Practices &amp; Communication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Institute_Work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International Technical </w:t>
            </w:r>
            <w:proofErr w:type="spellStart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Institute_Risk</w:t>
            </w:r>
            <w:proofErr w:type="spellEnd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bookmarkStart w:id="3" w:name="_Hlk151155481"/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objectives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bookmarkEnd w:id="3"/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15613CA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You need to replace the text within the “&lt;&lt;” and “&gt;&gt;” characters with pertinent information using the headings and the scenario as a guide:</w:t>
      </w: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77777777" w:rsidR="0081526A" w:rsidRPr="007B0919" w:rsidRDefault="0081526A" w:rsidP="0081526A">
      <w:pPr>
        <w:rPr>
          <w:rStyle w:val="Heading2Char"/>
          <w:rFonts w:cs="Arial"/>
        </w:rPr>
      </w:pPr>
      <w:r w:rsidRPr="007B0919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00C005" wp14:editId="3CD34AAC">
                <wp:simplePos x="0" y="0"/>
                <wp:positionH relativeFrom="column">
                  <wp:posOffset>-151511</wp:posOffset>
                </wp:positionH>
                <wp:positionV relativeFrom="paragraph">
                  <wp:posOffset>57531</wp:posOffset>
                </wp:positionV>
                <wp:extent cx="6086475" cy="707136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7071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CD93" id="Rectangle 1" o:spid="_x0000_s1026" style="position:absolute;margin-left:-11.95pt;margin-top:4.55pt;width:479.25pt;height:5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" filled="f" strokecolor="black [3213]" strokeweight="1.5pt"/>
            </w:pict>
          </mc:Fallback>
        </mc:AlternateContent>
      </w: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>Change Management Plan for Cloud implementation</w:t>
      </w:r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962E44" w14:textId="77777777" w:rsidR="00661585" w:rsidRPr="007B0919" w:rsidRDefault="00661585" w:rsidP="00661585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>&lt;&lt; Provides a basic overview of the change management plan</w:t>
      </w:r>
      <w:r>
        <w:rPr>
          <w:rFonts w:cs="Arial"/>
          <w:i/>
          <w:color w:val="000000" w:themeColor="text1"/>
          <w:sz w:val="22"/>
          <w:szCs w:val="22"/>
        </w:rPr>
        <w:t xml:space="preserve">. </w:t>
      </w:r>
      <w:r w:rsidRPr="009D6DD2">
        <w:rPr>
          <w:rFonts w:cs="Arial"/>
          <w:i/>
          <w:color w:val="000000" w:themeColor="text1"/>
          <w:sz w:val="22"/>
          <w:szCs w:val="22"/>
        </w:rPr>
        <w:t>Approximately 30 word</w:t>
      </w:r>
      <w:r w:rsidRPr="007B0919">
        <w:rPr>
          <w:rFonts w:cs="Arial"/>
          <w:i/>
          <w:color w:val="000000" w:themeColor="text1"/>
          <w:sz w:val="22"/>
          <w:szCs w:val="22"/>
        </w:rPr>
        <w:t>&gt;&gt;</w:t>
      </w:r>
    </w:p>
    <w:p w14:paraId="470CA2C2" w14:textId="77777777" w:rsidR="0081526A" w:rsidRPr="007B0919" w:rsidRDefault="0081526A" w:rsidP="0081526A">
      <w:pPr>
        <w:rPr>
          <w:rFonts w:cs="Arial"/>
          <w:sz w:val="22"/>
          <w:szCs w:val="22"/>
        </w:rPr>
      </w:pP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6451316B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  <w:szCs w:val="22"/>
        </w:rPr>
      </w:pPr>
      <w:r w:rsidRPr="00E15819">
        <w:rPr>
          <w:rFonts w:cs="Arial"/>
          <w:bCs/>
        </w:rPr>
        <w:t xml:space="preserve">To increase student numbers </w:t>
      </w:r>
    </w:p>
    <w:p w14:paraId="19E1C48B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 xml:space="preserve">To increase staff collaboration </w:t>
      </w:r>
    </w:p>
    <w:p w14:paraId="053DC6D7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>To reduce desktop software cost</w:t>
      </w:r>
    </w:p>
    <w:p w14:paraId="2E01DE61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 xml:space="preserve">To provide storage scalability </w:t>
      </w:r>
    </w:p>
    <w:p w14:paraId="3323AE37" w14:textId="21BF72ED" w:rsidR="0081526A" w:rsidRPr="00A60383" w:rsidRDefault="00A60383" w:rsidP="0081526A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>To improve security and privacy</w:t>
      </w:r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0E5677F1" w14:textId="2BCB5319" w:rsidR="00813C64" w:rsidRPr="007B0919" w:rsidRDefault="00813C64" w:rsidP="00813C64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 xml:space="preserve">&lt;&lt; Document what ICT change(s) are occurring to implement the change. This should include a full list of the hardware, </w:t>
      </w:r>
      <w:r w:rsidR="003D7343" w:rsidRPr="007B0919">
        <w:rPr>
          <w:rFonts w:cs="Arial"/>
          <w:i/>
          <w:color w:val="000000" w:themeColor="text1"/>
          <w:sz w:val="22"/>
          <w:szCs w:val="22"/>
        </w:rPr>
        <w:t>software,</w:t>
      </w:r>
      <w:r w:rsidRPr="007B0919">
        <w:rPr>
          <w:rFonts w:cs="Arial"/>
          <w:i/>
          <w:color w:val="000000" w:themeColor="text1"/>
          <w:sz w:val="22"/>
          <w:szCs w:val="22"/>
        </w:rPr>
        <w:t xml:space="preserve"> and network components</w:t>
      </w:r>
      <w:r w:rsidR="001A6119" w:rsidRPr="007B0919">
        <w:rPr>
          <w:rFonts w:cs="Arial"/>
          <w:i/>
          <w:color w:val="000000" w:themeColor="text1"/>
          <w:sz w:val="22"/>
          <w:szCs w:val="22"/>
        </w:rPr>
        <w:t xml:space="preserve">. List </w:t>
      </w:r>
      <w:r w:rsidR="00FC23D5" w:rsidRPr="007B0919">
        <w:rPr>
          <w:rFonts w:cs="Arial"/>
          <w:i/>
          <w:color w:val="000000" w:themeColor="text1"/>
          <w:sz w:val="22"/>
          <w:szCs w:val="22"/>
          <w:u w:val="single"/>
        </w:rPr>
        <w:t>eight</w:t>
      </w:r>
      <w:r w:rsidR="00FC23D5" w:rsidRPr="007B0919">
        <w:rPr>
          <w:rFonts w:cs="Arial"/>
          <w:i/>
          <w:color w:val="000000" w:themeColor="text1"/>
          <w:sz w:val="22"/>
          <w:szCs w:val="22"/>
        </w:rPr>
        <w:t xml:space="preserve"> system changes that would be required</w:t>
      </w:r>
      <w:r w:rsidRPr="007B0919">
        <w:rPr>
          <w:rFonts w:cs="Arial"/>
          <w:i/>
          <w:color w:val="000000" w:themeColor="text1"/>
          <w:sz w:val="22"/>
          <w:szCs w:val="22"/>
        </w:rPr>
        <w:t>&gt;&gt;</w:t>
      </w:r>
    </w:p>
    <w:p w14:paraId="39BB0CC1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57E5234D" w14:textId="3BAA3528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1286C405" w14:textId="77777777" w:rsidR="00673E9B" w:rsidRPr="007B0919" w:rsidRDefault="00673E9B" w:rsidP="00673E9B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>&lt;&lt; Document the tasks that need to be completed including the responsibility of each task. A work breakdown structure (WBS) should be used to sequentially list the tasks, how long each will take, and who will be responsible for each task. &gt;&gt;</w:t>
      </w:r>
    </w:p>
    <w:p w14:paraId="0C881CFD" w14:textId="6A95F485" w:rsidR="0081526A" w:rsidRPr="007B0919" w:rsidRDefault="00673E9B" w:rsidP="0081526A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br/>
      </w:r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See </w:t>
      </w:r>
      <w:r w:rsidRPr="007B0919">
        <w:rPr>
          <w:rFonts w:cs="Arial"/>
          <w:i/>
          <w:color w:val="000000" w:themeColor="text1"/>
          <w:sz w:val="22"/>
          <w:szCs w:val="22"/>
        </w:rPr>
        <w:t>template</w:t>
      </w:r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 on next page </w:t>
      </w:r>
    </w:p>
    <w:p w14:paraId="5CCCCB7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37A72904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Refer to the 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WBS</w:t>
      </w:r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827"/>
        <w:gridCol w:w="993"/>
        <w:gridCol w:w="708"/>
        <w:gridCol w:w="709"/>
        <w:gridCol w:w="1701"/>
        <w:gridCol w:w="2126"/>
      </w:tblGrid>
      <w:tr w:rsidR="00327E13" w:rsidRPr="007B0919" w14:paraId="01D7680F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FDBE1B" w14:textId="77777777" w:rsidR="00C26F18" w:rsidRPr="007B0919" w:rsidRDefault="00C26F18" w:rsidP="009575FB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72F996" w14:textId="77777777" w:rsidR="00C26F18" w:rsidRPr="007B0919" w:rsidRDefault="00C26F18" w:rsidP="009575FB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DDB8ED" w14:textId="77777777" w:rsidR="00C26F18" w:rsidRPr="007B0919" w:rsidRDefault="00C26F18" w:rsidP="009575FB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0C0FE0" w14:textId="77777777" w:rsidR="00C26F18" w:rsidRPr="007B0919" w:rsidRDefault="00C26F18" w:rsidP="009575FB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C9CB8E" w14:textId="77777777" w:rsidR="00C26F18" w:rsidRPr="007B0919" w:rsidRDefault="00C26F18" w:rsidP="009575FB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92F5DA" w14:textId="77777777" w:rsidR="00C26F18" w:rsidRPr="007B0919" w:rsidRDefault="00C26F18" w:rsidP="009575FB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EEA25B" w14:textId="77777777" w:rsidR="00C26F18" w:rsidRPr="007B0919" w:rsidRDefault="00C26F18" w:rsidP="009575FB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Responsibility</w:t>
            </w:r>
          </w:p>
        </w:tc>
      </w:tr>
      <w:tr w:rsidR="00327E13" w:rsidRPr="007B0919" w14:paraId="78C89741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C99C" w14:textId="77777777" w:rsidR="00E34A81" w:rsidRPr="007B0919" w:rsidRDefault="00E34A81" w:rsidP="00E34A81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64E6D" w14:textId="77777777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Initiate Project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7387" w14:textId="208AF28A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BEA45" w14:textId="77777777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2605" w14:textId="77777777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A5632" w14:textId="47CAFF29" w:rsidR="00E34A81" w:rsidRPr="007B0919" w:rsidRDefault="00E34A81" w:rsidP="00E34A81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A7D6" w14:textId="699100CD" w:rsidR="00E34A81" w:rsidRPr="00327E13" w:rsidRDefault="00327E13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sz w:val="18"/>
                <w:szCs w:val="18"/>
                <w:lang w:eastAsia="en-AU"/>
              </w:rPr>
              <w:t>CEO - Organisation Representative</w:t>
            </w:r>
          </w:p>
        </w:tc>
      </w:tr>
      <w:tr w:rsidR="00327E13" w:rsidRPr="007B0919" w14:paraId="327B83CE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82A3" w14:textId="77777777" w:rsidR="00E34A81" w:rsidRPr="007B0919" w:rsidRDefault="00E34A81" w:rsidP="00E34A81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B2D8E" w14:textId="50B016CF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Consultation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F734F" w14:textId="73C4B16E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7658E" w14:textId="77777777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D9D8" w14:textId="77777777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50477" w14:textId="4E1D6EED" w:rsidR="00E34A81" w:rsidRPr="007B0919" w:rsidRDefault="00E34A81" w:rsidP="00E34A81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30A1" w14:textId="1ED42224" w:rsidR="00E34A81" w:rsidRPr="00327E13" w:rsidRDefault="00327E13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327E13" w:rsidRPr="007B0919" w14:paraId="4DF79662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3E37" w14:textId="77777777" w:rsidR="00E34A81" w:rsidRPr="007B0919" w:rsidRDefault="00E34A81" w:rsidP="00E34A81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BAFA8" w14:textId="685A5CE4" w:rsidR="00E34A81" w:rsidRPr="00327E13" w:rsidRDefault="00327E13" w:rsidP="00E34A81">
            <w:r>
              <w:t xml:space="preserve">    </w:t>
            </w:r>
            <w:r w:rsidR="00E34A81" w:rsidRPr="00B66B93">
              <w:t>Meeting with CEO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E742F" w14:textId="4DC25E0A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BF2BD" w14:textId="77777777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F0F5" w14:textId="5272A416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DEF8" w14:textId="5A355416" w:rsidR="00E34A81" w:rsidRPr="007B0919" w:rsidRDefault="00E34A81" w:rsidP="00E34A81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7C3A" w14:textId="6DAA7323" w:rsidR="00327E13" w:rsidRPr="00327E13" w:rsidRDefault="00327E13" w:rsidP="00E34A81">
            <w:pPr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327E13" w:rsidRPr="007B0919" w14:paraId="50421D04" w14:textId="77777777" w:rsidTr="00327E13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11B39" w14:textId="77777777" w:rsidR="00E34A81" w:rsidRPr="007B0919" w:rsidRDefault="00E34A81" w:rsidP="00E34A81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0DF08" w14:textId="38F5C26D" w:rsidR="00327E13" w:rsidRPr="00C92535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  <w:t xml:space="preserve">    </w:t>
            </w:r>
            <w:r w:rsidRPr="00C92535"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  <w:t>Define the project goals and objectives</w:t>
            </w:r>
          </w:p>
          <w:p w14:paraId="788E2994" w14:textId="314BDC8A" w:rsidR="00E34A81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  <w:t xml:space="preserve">    </w:t>
            </w:r>
            <w:r w:rsidRPr="00C92535"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  <w:t>Define your project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E04BC" w14:textId="6D529B3B" w:rsidR="00E34A81" w:rsidRPr="007B0919" w:rsidRDefault="00327E13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5E69" w14:textId="77777777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D23E" w14:textId="77777777" w:rsidR="00E34A81" w:rsidRPr="007B0919" w:rsidRDefault="00E34A81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4947" w14:textId="4AE7AF9A" w:rsidR="00E34A81" w:rsidRPr="007B0919" w:rsidRDefault="00E34A81" w:rsidP="00E34A81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D779" w14:textId="70513D80" w:rsidR="00E34A81" w:rsidRPr="00327E13" w:rsidRDefault="00327E13" w:rsidP="00E34A81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sz w:val="18"/>
                <w:szCs w:val="18"/>
                <w:lang w:eastAsia="en-AU"/>
              </w:rPr>
              <w:t>CEO</w:t>
            </w:r>
          </w:p>
        </w:tc>
      </w:tr>
      <w:tr w:rsidR="00327E13" w:rsidRPr="007B0919" w14:paraId="38801C17" w14:textId="77777777" w:rsidTr="00E816AD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F70D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563F8" w14:textId="1492C460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Report via email to ICT Supervisor – Gap Analysis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90E69" w14:textId="5D84535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D2DF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913F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90EBC" w14:textId="35487818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6E4B1" w14:textId="387E20D9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327E13" w:rsidRPr="007B0919" w14:paraId="00F833DB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26444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4A3D" w14:textId="59BF026B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Meeting with ICT Supervisor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5CF38" w14:textId="0FCC97B1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B4EA3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C55E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46E41" w14:textId="5CB465FF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69BEA" w14:textId="3C98F144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327E13" w:rsidRPr="007B0919" w14:paraId="067D6AD6" w14:textId="77777777" w:rsidTr="00E816AD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15D9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51600" w14:textId="6A8A3F18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Select the cloud computing service provider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9E015" w14:textId="54A37D92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6568D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3FA8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DE11A" w14:textId="18914B0B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190D1" w14:textId="1F151B90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Technicians</w:t>
            </w:r>
          </w:p>
        </w:tc>
      </w:tr>
      <w:tr w:rsidR="00327E13" w:rsidRPr="007B0919" w14:paraId="2486FC41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83D1B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F279" w14:textId="07CF2EC5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Select the platform and the Subscription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EF89A" w14:textId="3241EBAC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41452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C6899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BB7B" w14:textId="681FFDE4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27F1" w14:textId="25FAF07D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Technicians</w:t>
            </w:r>
          </w:p>
        </w:tc>
      </w:tr>
      <w:tr w:rsidR="00327E13" w:rsidRPr="007B0919" w14:paraId="0F8D5685" w14:textId="77777777" w:rsidTr="00E816AD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809D3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DD70B" w14:textId="26E8BE6F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Meeting with Cloud Services Provider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F9059" w14:textId="49DE65B1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6786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3434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89565" w14:textId="29A34457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20C2" w14:textId="73F00812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327E13" w:rsidRPr="007B0919" w14:paraId="58A3929E" w14:textId="77777777" w:rsidTr="00327E13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EDF4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187FB" w14:textId="5A729366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Identify the right applications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4F98" w14:textId="788D8971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Cs w:val="20"/>
                <w:lang w:eastAsia="en-AU"/>
              </w:rPr>
              <w:t>2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day</w:t>
            </w:r>
            <w:r>
              <w:rPr>
                <w:rFonts w:eastAsia="Times New Roman" w:cs="Arial"/>
                <w:szCs w:val="20"/>
                <w:lang w:eastAsia="en-AU"/>
              </w:rPr>
              <w:t>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68E2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B13F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C7D33" w14:textId="3F103165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BFA06" w14:textId="68DEA8A3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Technicians</w:t>
            </w:r>
          </w:p>
        </w:tc>
      </w:tr>
      <w:tr w:rsidR="00327E13" w:rsidRPr="007B0919" w14:paraId="51C1FFF3" w14:textId="77777777" w:rsidTr="00327E13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9A75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E32ED" w14:textId="40F86755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Determine and create service level agreements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47F53" w14:textId="14A0F3DC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Cs w:val="20"/>
                <w:lang w:eastAsia="en-AU"/>
              </w:rPr>
              <w:t>2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day</w:t>
            </w:r>
            <w:r>
              <w:rPr>
                <w:rFonts w:eastAsia="Times New Roman" w:cs="Arial"/>
                <w:szCs w:val="20"/>
                <w:lang w:eastAsia="en-AU"/>
              </w:rPr>
              <w:t>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542BB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DE6E2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5BF8" w14:textId="4823264F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1A33" w14:textId="60149954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327E13" w:rsidRPr="007B0919" w14:paraId="39FAF57E" w14:textId="77777777" w:rsidTr="00327E13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FCEC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7B5EF" w14:textId="7DB7F970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Research Bandwidth requirements and WAN Connectivity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879D" w14:textId="15E93893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5A31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6E092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2018E" w14:textId="637A1216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26720" w14:textId="597A23FC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Technicians</w:t>
            </w:r>
          </w:p>
        </w:tc>
      </w:tr>
      <w:tr w:rsidR="00327E13" w:rsidRPr="007B0919" w14:paraId="62FC62B1" w14:textId="77777777" w:rsidTr="00E816AD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8A575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AB" w14:textId="2F2C0EAF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Internet connection - configure direct-to-internet connections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BD01" w14:textId="483C1AA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A3E3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BEABE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96C78" w14:textId="437F9D44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2EB5E" w14:textId="4D8A1162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327E13" w:rsidRPr="007B0919" w14:paraId="3863D5BC" w14:textId="77777777" w:rsidTr="00327E13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30F93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23C2" w14:textId="44D752A8" w:rsidR="00327E13" w:rsidRPr="007B0919" w:rsidRDefault="00327E13" w:rsidP="00327E13">
            <w:pPr>
              <w:spacing w:before="60" w:after="60" w:line="288" w:lineRule="auto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Transfer existing Domain (internationaltechnicalinstitute.com.au) from BEAST IT to another provider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D3DF" w14:textId="138AD6A5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D85E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7D7F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D2177" w14:textId="05ACED00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B223" w14:textId="55021F7C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327E13" w:rsidRPr="007B0919" w14:paraId="14E44045" w14:textId="77777777" w:rsidTr="00327E13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7239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9E83E" w14:textId="505922BA" w:rsidR="00327E13" w:rsidRPr="007B0919" w:rsidRDefault="00327E13" w:rsidP="00327E13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  <w:r w:rsidRPr="00B66B93">
              <w:t>Configure Domain Controller – for adding users with Azure AD Connect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962D" w14:textId="0696088C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F55E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F9C2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73C73" w14:textId="786425C3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6F1BA" w14:textId="3C166D36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327E13" w:rsidRPr="007B0919" w14:paraId="140F593F" w14:textId="77777777" w:rsidTr="00E816AD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2466D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46F49" w14:textId="44D2A792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Integrate on-premises Active Directory with Azure Active Directory Connect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DF305" w14:textId="6073552B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0D2A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D1F6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D8BB5" w14:textId="12CF77C3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56137" w14:textId="7BDFC57B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Network Administrator</w:t>
            </w:r>
          </w:p>
        </w:tc>
      </w:tr>
      <w:tr w:rsidR="00327E13" w:rsidRPr="007B0919" w14:paraId="52874EF5" w14:textId="77777777" w:rsidTr="00E816AD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7D69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EF79" w14:textId="43973740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Migrate to cloud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D5FD" w14:textId="1B2F69EB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2D5D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3C8C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B90C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FAAC" w14:textId="7EC22304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Cloud Service Provider Reps</w:t>
            </w:r>
          </w:p>
        </w:tc>
      </w:tr>
      <w:tr w:rsidR="00327E13" w:rsidRPr="007B0919" w14:paraId="01B51E56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CE8DE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cs="Arial"/>
              </w:rPr>
              <w:br w:type="page"/>
            </w:r>
            <w:r w:rsidRPr="007B0919">
              <w:rPr>
                <w:rFonts w:cs="Arial"/>
                <w:sz w:val="18"/>
                <w:szCs w:val="18"/>
              </w:rPr>
              <w:br w:type="page"/>
            </w: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E5AA6" w14:textId="04FF23C8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B66B93">
              <w:t>Test the Microsoft 365 implementation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6F84" w14:textId="4B0C671A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AF34C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46402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5973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D2F3E" w14:textId="77777777" w:rsidR="00327E13" w:rsidRPr="00327E13" w:rsidRDefault="00327E13" w:rsidP="00327E13">
            <w:pPr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Network Administrator</w:t>
            </w: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,</w:t>
            </w:r>
          </w:p>
          <w:p w14:paraId="7AED6E80" w14:textId="729D65CA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327E13" w:rsidRPr="007B0919" w14:paraId="386C02F0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A35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7D93E" w14:textId="35DC3A2C" w:rsidR="00327E13" w:rsidRPr="007B0919" w:rsidRDefault="00327E13" w:rsidP="00327E13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  <w:r w:rsidRPr="00B66B93">
              <w:t>Training: train users, document system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5DCAA" w14:textId="5CB068C6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47FE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993C5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6C4C2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7184D" w14:textId="585DFA78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327E13" w:rsidRPr="007B0919" w14:paraId="4F40C5FE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04C49" w14:textId="4F7936C1" w:rsidR="00327E13" w:rsidRPr="007B0919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B65C2" w14:textId="76B05602" w:rsidR="00327E13" w:rsidRPr="00B66B93" w:rsidRDefault="00327E13" w:rsidP="00327E13">
            <w:pPr>
              <w:spacing w:before="60" w:after="60" w:line="288" w:lineRule="auto"/>
            </w:pPr>
            <w:r w:rsidRPr="00B66B93">
              <w:t>Lessons Learned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BAA21" w14:textId="65E08203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A87FC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99C6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B28DC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30EC" w14:textId="2EC90217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327E13" w:rsidRPr="007B0919" w14:paraId="5DD7BBC6" w14:textId="77777777" w:rsidTr="00327E1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755F2" w14:textId="348D1FD6" w:rsidR="00327E13" w:rsidRDefault="00327E13" w:rsidP="00327E13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8E102" w14:textId="70E88D85" w:rsidR="00327E13" w:rsidRDefault="00327E13" w:rsidP="00327E13">
            <w:pPr>
              <w:spacing w:before="60" w:after="60" w:line="288" w:lineRule="auto"/>
            </w:pPr>
            <w:r>
              <w:t>Close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D721" w14:textId="248A1EC1" w:rsidR="00327E13" w:rsidRPr="007B0919" w:rsidRDefault="00327E13" w:rsidP="00327E13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D8D2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9CDF" w14:textId="77777777" w:rsidR="00327E13" w:rsidRPr="007B0919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DF3C6" w14:textId="77777777" w:rsidR="00327E13" w:rsidRPr="007B0919" w:rsidRDefault="00327E13" w:rsidP="00327E13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DC7D3" w14:textId="099D7859" w:rsidR="00327E13" w:rsidRPr="00327E13" w:rsidRDefault="00327E13" w:rsidP="00327E13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  <w:r w:rsidRPr="00327E13">
              <w:rPr>
                <w:rFonts w:eastAsia="Times New Roman" w:cs="Arial"/>
                <w:sz w:val="18"/>
                <w:szCs w:val="18"/>
                <w:lang w:eastAsia="en-AU"/>
              </w:rPr>
              <w:t>CEO</w:t>
            </w:r>
          </w:p>
        </w:tc>
      </w:tr>
    </w:tbl>
    <w:p w14:paraId="101EF87C" w14:textId="21457CC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2F779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B0C1E8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AFBAA6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C54CA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1B23BE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lastRenderedPageBreak/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Work Practices &amp; Communication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6DD3FEBE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 xml:space="preserve">International Technical </w:t>
      </w:r>
      <w:proofErr w:type="spellStart"/>
      <w:r w:rsidRPr="008661C8">
        <w:rPr>
          <w:rFonts w:cs="Arial"/>
          <w:color w:val="000000" w:themeColor="text1"/>
          <w:sz w:val="22"/>
          <w:szCs w:val="22"/>
        </w:rPr>
        <w:t>Institute_Risk</w:t>
      </w:r>
      <w:proofErr w:type="spellEnd"/>
      <w:r w:rsidRPr="008661C8">
        <w:rPr>
          <w:rFonts w:cs="Arial"/>
          <w:color w:val="000000" w:themeColor="text1"/>
          <w:sz w:val="22"/>
          <w:szCs w:val="22"/>
        </w:rPr>
        <w:t xml:space="preserve">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78E0C238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6187E0A4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34C1EEFC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  <w:highlight w:val="yellow"/>
        </w:r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0EFA199C" w14:textId="7AFD0306" w:rsidR="00DD5E92" w:rsidRDefault="00C53D6D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047BA8">
        <w:rPr>
          <w:rFonts w:cs="Arial"/>
          <w:color w:val="000000" w:themeColor="text1"/>
          <w:sz w:val="22"/>
          <w:szCs w:val="22"/>
        </w:rPr>
        <w:t xml:space="preserve">Work with another colleague (another student in your class) to complete the Risk Assessment on the </w:t>
      </w:r>
      <w:r>
        <w:rPr>
          <w:rFonts w:cs="Arial"/>
          <w:color w:val="000000" w:themeColor="text1"/>
          <w:sz w:val="22"/>
          <w:szCs w:val="22"/>
        </w:rPr>
        <w:t xml:space="preserve">strategic </w:t>
      </w:r>
      <w:r w:rsidRPr="00047BA8">
        <w:rPr>
          <w:rFonts w:cs="Arial"/>
          <w:color w:val="000000" w:themeColor="text1"/>
          <w:sz w:val="22"/>
          <w:szCs w:val="22"/>
        </w:rPr>
        <w:t xml:space="preserve">objectives reported in the Change Management Plan. </w:t>
      </w:r>
      <w:r>
        <w:rPr>
          <w:rFonts w:cs="Arial"/>
          <w:color w:val="000000" w:themeColor="text1"/>
          <w:sz w:val="22"/>
          <w:szCs w:val="22"/>
        </w:rPr>
        <w:t xml:space="preserve">Divide the strategic </w:t>
      </w:r>
      <w:r w:rsidRPr="00047BA8">
        <w:rPr>
          <w:rFonts w:cs="Arial"/>
          <w:color w:val="000000" w:themeColor="text1"/>
          <w:sz w:val="22"/>
          <w:szCs w:val="22"/>
        </w:rPr>
        <w:t>objective</w:t>
      </w:r>
      <w:r>
        <w:rPr>
          <w:rFonts w:cs="Arial"/>
          <w:color w:val="000000" w:themeColor="text1"/>
          <w:sz w:val="22"/>
          <w:szCs w:val="22"/>
        </w:rPr>
        <w:t>s amongst you,</w:t>
      </w:r>
      <w:r w:rsidRPr="00047BA8">
        <w:rPr>
          <w:rFonts w:cs="Arial"/>
          <w:color w:val="000000" w:themeColor="text1"/>
          <w:sz w:val="22"/>
          <w:szCs w:val="22"/>
        </w:rPr>
        <w:t xml:space="preserve"> to complete the Risk Assessment. </w:t>
      </w:r>
      <w:r w:rsidR="00DD5E92">
        <w:rPr>
          <w:rFonts w:cs="Arial"/>
          <w:color w:val="000000" w:themeColor="text1"/>
          <w:sz w:val="22"/>
          <w:szCs w:val="22"/>
        </w:rPr>
        <w:t>(This is not group work so you must complete individual Risk Assessment.)</w:t>
      </w:r>
    </w:p>
    <w:p w14:paraId="17F2E51E" w14:textId="77777777" w:rsidR="00981CB8" w:rsidRPr="00981CB8" w:rsidRDefault="00981CB8" w:rsidP="00981CB8">
      <w:pPr>
        <w:spacing w:before="60" w:after="160" w:line="259" w:lineRule="auto"/>
        <w:ind w:left="720"/>
        <w:rPr>
          <w:rFonts w:cs="Arial"/>
          <w:color w:val="000000" w:themeColor="text1"/>
          <w:sz w:val="22"/>
          <w:szCs w:val="22"/>
        </w:rPr>
      </w:pPr>
      <w:r w:rsidRPr="00981CB8">
        <w:rPr>
          <w:rFonts w:cs="Arial"/>
          <w:color w:val="000000" w:themeColor="text1"/>
          <w:sz w:val="22"/>
          <w:szCs w:val="22"/>
        </w:rPr>
        <w:t>Your colleague will need to select a different strategic objective to yours and complete the Risk Assessment</w:t>
      </w:r>
      <w:r w:rsidRPr="00981CB8">
        <w:rPr>
          <w:rFonts w:cs="Arial"/>
          <w:color w:val="000000" w:themeColor="text1"/>
          <w:sz w:val="22"/>
          <w:szCs w:val="22"/>
        </w:rPr>
        <w:br/>
      </w:r>
      <w:r w:rsidRPr="00981CB8">
        <w:rPr>
          <w:rFonts w:cs="Arial"/>
          <w:color w:val="000000" w:themeColor="text1"/>
          <w:sz w:val="22"/>
          <w:szCs w:val="22"/>
        </w:rPr>
        <w:br/>
      </w:r>
      <w:r w:rsidRPr="00981CB8">
        <w:rPr>
          <w:rFonts w:cs="Arial"/>
          <w:sz w:val="22"/>
          <w:szCs w:val="22"/>
        </w:rPr>
        <w:t xml:space="preserve">The Risk Assessment plan must be signed and dated by your colleague. </w:t>
      </w:r>
      <w:r w:rsidRPr="00981CB8">
        <w:rPr>
          <w:rFonts w:cs="Arial"/>
          <w:color w:val="000000" w:themeColor="text1"/>
          <w:sz w:val="22"/>
          <w:szCs w:val="22"/>
        </w:rPr>
        <w:t>You must submit your own completed Risk Assessment plan.</w:t>
      </w:r>
    </w:p>
    <w:p w14:paraId="2BB523E7" w14:textId="77777777" w:rsidR="00DD5E92" w:rsidRPr="009D6DD2" w:rsidRDefault="00DD5E92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Make an appointment with the </w:t>
      </w:r>
      <w:r>
        <w:rPr>
          <w:rFonts w:cs="Arial"/>
          <w:color w:val="000000" w:themeColor="text1"/>
          <w:sz w:val="22"/>
          <w:szCs w:val="22"/>
        </w:rPr>
        <w:t>colleague</w:t>
      </w:r>
      <w:r w:rsidRPr="009D6DD2">
        <w:rPr>
          <w:rFonts w:cs="Arial"/>
          <w:color w:val="000000" w:themeColor="text1"/>
          <w:sz w:val="22"/>
          <w:szCs w:val="22"/>
        </w:rPr>
        <w:t xml:space="preserve"> after checking their availability. </w:t>
      </w:r>
    </w:p>
    <w:p w14:paraId="5F2F3187" w14:textId="77777777" w:rsidR="00DD5E9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Discuss orally with your colleague and complete the </w:t>
      </w:r>
      <w:r w:rsidRPr="005800F4">
        <w:rPr>
          <w:rFonts w:cs="Arial"/>
          <w:color w:val="000000" w:themeColor="text1"/>
          <w:sz w:val="22"/>
          <w:szCs w:val="22"/>
        </w:rPr>
        <w:t>Risk Assessment</w:t>
      </w:r>
      <w:r>
        <w:rPr>
          <w:rFonts w:cs="Arial"/>
          <w:color w:val="000000" w:themeColor="text1"/>
          <w:sz w:val="22"/>
          <w:szCs w:val="22"/>
        </w:rPr>
        <w:t xml:space="preserve"> using the template provided on the next page. Use dot points only if possible.</w:t>
      </w:r>
    </w:p>
    <w:p w14:paraId="308BF55D" w14:textId="77777777" w:rsidR="00DD5E92" w:rsidRPr="009D6DD2" w:rsidRDefault="00DD5E92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</w:t>
      </w:r>
      <w:r w:rsidRPr="009D6DD2">
        <w:rPr>
          <w:rFonts w:cs="Arial"/>
          <w:color w:val="000000" w:themeColor="text1"/>
          <w:sz w:val="22"/>
          <w:szCs w:val="22"/>
        </w:rPr>
        <w:t xml:space="preserve">dhere to work practices and ensure tasks are completed in the given time set by the team. </w:t>
      </w:r>
    </w:p>
    <w:p w14:paraId="0450CB27" w14:textId="77777777" w:rsidR="00DD5E92" w:rsidRPr="009D6DD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Select and use appropriate conventions and protocols when communicating with the team. </w:t>
      </w:r>
    </w:p>
    <w:p w14:paraId="2A8E4CE5" w14:textId="77777777" w:rsidR="00DD5E92" w:rsidRPr="009D6DD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Recognise, accept, and accommodate any demographical differences</w:t>
      </w:r>
    </w:p>
    <w:p w14:paraId="3028A9BC" w14:textId="77777777" w:rsidR="00DD5E92" w:rsidRPr="009D6DD2" w:rsidRDefault="00DD5E92" w:rsidP="00DD5E92">
      <w:pPr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76D12212" w14:textId="77777777" w:rsidR="00B958C3" w:rsidRDefault="00DD5E92" w:rsidP="00B958C3">
      <w:pPr>
        <w:spacing w:after="160" w:line="259" w:lineRule="auto"/>
        <w:rPr>
          <w:rFonts w:cs="Arial"/>
          <w:sz w:val="22"/>
          <w:szCs w:val="22"/>
        </w:rPr>
      </w:pPr>
      <w:r w:rsidRPr="009D6DD2">
        <w:rPr>
          <w:rFonts w:cs="Arial"/>
          <w:sz w:val="22"/>
          <w:szCs w:val="22"/>
        </w:rPr>
        <w:t xml:space="preserve">The </w:t>
      </w:r>
      <w:r>
        <w:rPr>
          <w:rFonts w:cs="Arial"/>
          <w:sz w:val="22"/>
          <w:szCs w:val="22"/>
        </w:rPr>
        <w:t>Risk Assessment</w:t>
      </w:r>
      <w:r w:rsidRPr="009D6DD2">
        <w:rPr>
          <w:rFonts w:cs="Arial"/>
          <w:sz w:val="22"/>
          <w:szCs w:val="22"/>
        </w:rPr>
        <w:t xml:space="preserve"> can be conducted via video conferencing (Collaborate, MS-Teams) or Face-to-Face if on campus</w:t>
      </w:r>
    </w:p>
    <w:p w14:paraId="575D445A" w14:textId="77777777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</w:pPr>
    </w:p>
    <w:p w14:paraId="30140A9C" w14:textId="77777777" w:rsidR="0056732E" w:rsidRPr="009D6DD2" w:rsidRDefault="0056732E" w:rsidP="0056732E">
      <w:pPr>
        <w:spacing w:before="60" w:after="160" w:line="259" w:lineRule="auto"/>
        <w:ind w:left="-6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first strategic objective has been completed for you as an example.</w:t>
      </w:r>
    </w:p>
    <w:p w14:paraId="155DCE83" w14:textId="57118D0E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022C3865" w:rsidR="00344645" w:rsidRPr="00FA0543" w:rsidRDefault="00344645" w:rsidP="00670F71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17B8D6CA" w:rsidR="00344645" w:rsidRPr="00FA0543" w:rsidRDefault="00344645" w:rsidP="00670F71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015896E5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Alexandrov, Alexis Treulieb-Berk</w:t>
            </w:r>
          </w:p>
        </w:tc>
      </w:tr>
    </w:tbl>
    <w:p w14:paraId="09A23833" w14:textId="757C331C" w:rsidR="00396D70" w:rsidRDefault="00B47FC5" w:rsidP="00396D70">
      <w:pPr>
        <w:tabs>
          <w:tab w:val="left" w:pos="3255"/>
        </w:tabs>
        <w:rPr>
          <w:rStyle w:val="Heading2Char"/>
          <w:rFonts w:cs="Arial"/>
        </w:rPr>
      </w:pPr>
      <w:r w:rsidRPr="009D6DD2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4ABB98" wp14:editId="38C1B0C3">
                <wp:simplePos x="0" y="0"/>
                <wp:positionH relativeFrom="page">
                  <wp:align>center</wp:align>
                </wp:positionH>
                <wp:positionV relativeFrom="paragraph">
                  <wp:posOffset>-966038</wp:posOffset>
                </wp:positionV>
                <wp:extent cx="9965055" cy="5071110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055" cy="50711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AF09" id="Rectangle 2" o:spid="_x0000_s1026" style="position:absolute;margin-left:0;margin-top:-76.05pt;width:784.65pt;height:399.3pt;z-index:25166028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" filled="f" strokecolor="black [3213]" strokeweight="1.5pt">
                <w10:wrap anchorx="page"/>
              </v:rect>
            </w:pict>
          </mc:Fallback>
        </mc:AlternateContent>
      </w:r>
      <w:r w:rsidR="00396D70"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127"/>
        <w:gridCol w:w="1908"/>
        <w:gridCol w:w="1764"/>
        <w:gridCol w:w="1764"/>
        <w:gridCol w:w="1764"/>
        <w:gridCol w:w="1764"/>
        <w:gridCol w:w="1764"/>
        <w:gridCol w:w="2313"/>
      </w:tblGrid>
      <w:tr w:rsidR="00396D70" w14:paraId="318F2E24" w14:textId="77777777" w:rsidTr="00670F71">
        <w:tc>
          <w:tcPr>
            <w:tcW w:w="4035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8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528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528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670F71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1908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764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764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764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670F71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1908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764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764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764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>High, Medium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670F71">
        <w:tc>
          <w:tcPr>
            <w:tcW w:w="2127" w:type="dxa"/>
          </w:tcPr>
          <w:p w14:paraId="54A8067F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</w:rPr>
            </w:pPr>
            <w:r w:rsidRPr="00095E3C">
              <w:rPr>
                <w:rFonts w:cs="Arial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CC10D0" w:rsidRDefault="007649D9" w:rsidP="007649D9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</w:tcPr>
          <w:p w14:paraId="4D0E08D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External</w:t>
            </w:r>
          </w:p>
          <w:p w14:paraId="2E76A7C8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Unable to keep up with emerging technologies</w:t>
            </w:r>
          </w:p>
          <w:p w14:paraId="190F5E8D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Political climate</w:t>
            </w:r>
          </w:p>
          <w:p w14:paraId="7DAB1837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7CD03BF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Competition</w:t>
            </w:r>
          </w:p>
          <w:p w14:paraId="7F158356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Fashion (courses in demand)</w:t>
            </w:r>
          </w:p>
          <w:p w14:paraId="775C68FC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Internal</w:t>
            </w:r>
          </w:p>
          <w:p w14:paraId="2F34775F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Organisational culture</w:t>
            </w:r>
          </w:p>
          <w:p w14:paraId="0AD439A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Human Resources</w:t>
            </w:r>
          </w:p>
          <w:p w14:paraId="0AB5643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 Structure</w:t>
            </w:r>
          </w:p>
          <w:p w14:paraId="219AB6B7" w14:textId="6BD32916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Management</w:t>
            </w:r>
          </w:p>
        </w:tc>
        <w:tc>
          <w:tcPr>
            <w:tcW w:w="1764" w:type="dxa"/>
          </w:tcPr>
          <w:p w14:paraId="1EDC2249" w14:textId="050E7B6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</w:t>
            </w:r>
          </w:p>
          <w:p w14:paraId="7E1C169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government funding</w:t>
            </w:r>
          </w:p>
          <w:p w14:paraId="169AC6E4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4ACCE960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Technology upgrades</w:t>
            </w:r>
          </w:p>
          <w:p w14:paraId="3221EBD5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Interstate competition</w:t>
            </w:r>
          </w:p>
          <w:p w14:paraId="5A6109B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Demand for IT courses have changed</w:t>
            </w:r>
          </w:p>
          <w:p w14:paraId="57BDB7CC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Staff availability and capability</w:t>
            </w:r>
          </w:p>
          <w:p w14:paraId="73FEA074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2440E78D" w14:textId="0083234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Cause</w:t>
            </w:r>
          </w:p>
          <w:p w14:paraId="68FFC8EA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Failure to maintain client service management system</w:t>
            </w:r>
          </w:p>
          <w:p w14:paraId="37CB97C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Event</w:t>
            </w:r>
          </w:p>
          <w:p w14:paraId="188B17F9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Leads to delays in service delivery</w:t>
            </w:r>
          </w:p>
          <w:p w14:paraId="2B235B0A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  <w:u w:val="single"/>
              </w:rPr>
            </w:pPr>
            <w:r w:rsidRPr="00095E3C">
              <w:rPr>
                <w:rFonts w:cs="Arial"/>
                <w:bCs/>
                <w:sz w:val="16"/>
                <w:szCs w:val="16"/>
                <w:u w:val="single"/>
              </w:rPr>
              <w:t>Impact</w:t>
            </w:r>
          </w:p>
          <w:p w14:paraId="5BCC1BAE" w14:textId="6B765C7E" w:rsidR="007649D9" w:rsidRPr="00DC607A" w:rsidRDefault="007649D9" w:rsidP="004D7B17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Results in poor service level to core clients</w:t>
            </w:r>
          </w:p>
        </w:tc>
        <w:tc>
          <w:tcPr>
            <w:tcW w:w="1764" w:type="dxa"/>
          </w:tcPr>
          <w:p w14:paraId="6AB40736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Governance committee</w:t>
            </w:r>
          </w:p>
          <w:p w14:paraId="178583BA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781B39A1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  <w:p w14:paraId="1A2A1DAA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5CC0BB8D" w14:textId="477EC522" w:rsidR="007649D9" w:rsidRPr="00DC607A" w:rsidRDefault="007649D9" w:rsidP="0036566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095E3C" w:rsidRDefault="007649D9" w:rsidP="007649D9">
            <w:p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Options for treatment include:</w:t>
            </w:r>
          </w:p>
          <w:p w14:paraId="43284707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B39AF0E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6EFDB248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  <w:p w14:paraId="15AD5A49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consequence</w:t>
            </w:r>
          </w:p>
          <w:p w14:paraId="795499DD" w14:textId="77777777" w:rsidR="007649D9" w:rsidRPr="00DC607A" w:rsidRDefault="007649D9" w:rsidP="007649D9">
            <w:pPr>
              <w:widowControl w:val="0"/>
              <w:spacing w:after="200" w:line="276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</w:tr>
      <w:tr w:rsidR="00A60383" w14:paraId="6173BDA2" w14:textId="77777777" w:rsidTr="00365663">
        <w:trPr>
          <w:trHeight w:val="2967"/>
        </w:trPr>
        <w:tc>
          <w:tcPr>
            <w:tcW w:w="2127" w:type="dxa"/>
          </w:tcPr>
          <w:p w14:paraId="39CFF6A5" w14:textId="037A73D2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lastRenderedPageBreak/>
              <w:t>Increase staff collaboration by 100%</w:t>
            </w:r>
          </w:p>
        </w:tc>
        <w:tc>
          <w:tcPr>
            <w:tcW w:w="1908" w:type="dxa"/>
          </w:tcPr>
          <w:p w14:paraId="507B5FAB" w14:textId="64E29158" w:rsidR="00A60383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1D838156" w14:textId="69B660D6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Unable to keep up with emerging workflows.</w:t>
            </w:r>
          </w:p>
          <w:p w14:paraId="44CF8F39" w14:textId="65232F52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Evolving work culture</w:t>
            </w:r>
          </w:p>
          <w:p w14:paraId="1306572D" w14:textId="77777777" w:rsidR="00081372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45DDECB4" w14:textId="182CD72E" w:rsidR="00081372" w:rsidRPr="00081372" w:rsidRDefault="00081372" w:rsidP="00081372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Reduced efficiency due to lack of communication</w:t>
            </w:r>
          </w:p>
        </w:tc>
        <w:tc>
          <w:tcPr>
            <w:tcW w:w="1764" w:type="dxa"/>
          </w:tcPr>
          <w:p w14:paraId="7A820AA4" w14:textId="77777777" w:rsidR="00A60383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Technology upgrades</w:t>
            </w:r>
          </w:p>
          <w:p w14:paraId="65C71F81" w14:textId="1067D6FF" w:rsidR="00081372" w:rsidRPr="00081372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Economic constraints </w:t>
            </w:r>
          </w:p>
        </w:tc>
        <w:tc>
          <w:tcPr>
            <w:tcW w:w="1764" w:type="dxa"/>
          </w:tcPr>
          <w:p w14:paraId="1227DE40" w14:textId="77777777" w:rsidR="00A60383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60BFDF28" w14:textId="6BBCA586" w:rsidR="00081372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maintain collaborative systems.</w:t>
            </w:r>
          </w:p>
          <w:p w14:paraId="259DD339" w14:textId="77777777" w:rsid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16576F3A" w14:textId="126FCDF1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inefficient collaboration between staff.</w:t>
            </w:r>
          </w:p>
          <w:p w14:paraId="71F82D17" w14:textId="45164E16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br/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results in worse collaboration between staff. </w:t>
            </w:r>
          </w:p>
        </w:tc>
        <w:tc>
          <w:tcPr>
            <w:tcW w:w="1764" w:type="dxa"/>
          </w:tcPr>
          <w:p w14:paraId="46282BF1" w14:textId="77777777" w:rsidR="00A6038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3B23CC1F" w14:textId="421FF48F" w:rsidR="00365663" w:rsidRPr="0036566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A60383" w:rsidRPr="00081372" w:rsidRDefault="008D16F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19A3EA21" w14:textId="4CA2ED16" w:rsidR="00A60383" w:rsidRPr="00081372" w:rsidRDefault="0067056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Unl</w:t>
            </w:r>
            <w:r w:rsidR="00365663">
              <w:rPr>
                <w:rFonts w:cs="Arial"/>
                <w:color w:val="000000" w:themeColor="text1"/>
                <w:sz w:val="16"/>
                <w:szCs w:val="16"/>
              </w:rPr>
              <w:t>ikely</w:t>
            </w:r>
          </w:p>
        </w:tc>
        <w:tc>
          <w:tcPr>
            <w:tcW w:w="2313" w:type="dxa"/>
          </w:tcPr>
          <w:p w14:paraId="0E5B1771" w14:textId="77777777" w:rsidR="00A6038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FAE6C0A" w14:textId="30E6C408" w:rsidR="00365663" w:rsidRPr="0036566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Changing objective goal</w:t>
            </w:r>
          </w:p>
        </w:tc>
      </w:tr>
      <w:tr w:rsidR="00A60383" w14:paraId="7FD91CD1" w14:textId="77777777" w:rsidTr="00670F71">
        <w:tc>
          <w:tcPr>
            <w:tcW w:w="2127" w:type="dxa"/>
          </w:tcPr>
          <w:p w14:paraId="303ECF63" w14:textId="0BB9EB80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</w:rPr>
              <w:br w:type="page"/>
            </w:r>
            <w:r w:rsidRPr="00E15819">
              <w:rPr>
                <w:rFonts w:cs="Arial"/>
                <w:sz w:val="22"/>
                <w:szCs w:val="22"/>
              </w:rPr>
              <w:t>To reduce desktop software cost by 5%</w:t>
            </w:r>
          </w:p>
        </w:tc>
        <w:tc>
          <w:tcPr>
            <w:tcW w:w="1908" w:type="dxa"/>
          </w:tcPr>
          <w:p w14:paraId="026D99C1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206E2710" w14:textId="0435E466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competition at cost.</w:t>
            </w:r>
          </w:p>
          <w:p w14:paraId="5D99EBC6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01C8574" w14:textId="5FE1DC7D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Budget restraints</w:t>
            </w:r>
          </w:p>
        </w:tc>
        <w:tc>
          <w:tcPr>
            <w:tcW w:w="1764" w:type="dxa"/>
          </w:tcPr>
          <w:p w14:paraId="0F35B2E5" w14:textId="68DEC5BC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management.</w:t>
            </w:r>
          </w:p>
          <w:p w14:paraId="71F5996E" w14:textId="77777777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6A7BEE1B" w14:textId="1F69C67D" w:rsidR="00A60383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Sudden changes in cost</w:t>
            </w:r>
          </w:p>
        </w:tc>
        <w:tc>
          <w:tcPr>
            <w:tcW w:w="1764" w:type="dxa"/>
          </w:tcPr>
          <w:p w14:paraId="560ABE10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52A4B58" w14:textId="1AB692A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 </w:t>
            </w:r>
            <w:r w:rsidR="00B63B62">
              <w:rPr>
                <w:rFonts w:cs="Arial"/>
                <w:color w:val="000000" w:themeColor="text1"/>
                <w:sz w:val="16"/>
                <w:szCs w:val="16"/>
              </w:rPr>
              <w:t>A sudden unexpected rise in alternative cost</w:t>
            </w:r>
          </w:p>
          <w:p w14:paraId="72995F82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00F1F7D7" w14:textId="5FD2193C" w:rsidR="00947086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Makes ITI unable to pay software costs</w:t>
            </w:r>
          </w:p>
          <w:p w14:paraId="3054B049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68142F4D" w14:textId="43BE2F27" w:rsidR="00B63B62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Access to software ceases </w:t>
            </w:r>
          </w:p>
        </w:tc>
        <w:tc>
          <w:tcPr>
            <w:tcW w:w="1764" w:type="dxa"/>
          </w:tcPr>
          <w:p w14:paraId="5E81A1F2" w14:textId="77777777" w:rsidR="00A60383" w:rsidRDefault="00B63B62" w:rsidP="00670563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EULA with chosen solution</w:t>
            </w:r>
          </w:p>
          <w:p w14:paraId="3B731921" w14:textId="5953B604" w:rsidR="00670563" w:rsidRPr="00670563" w:rsidRDefault="00670563" w:rsidP="00670563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0ED13180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6281F7B8" w14:textId="1B5E95DD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73E42551" w14:textId="77777777" w:rsid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670563">
              <w:rPr>
                <w:rFonts w:cs="Arial"/>
                <w:color w:val="000000" w:themeColor="text1"/>
                <w:sz w:val="16"/>
                <w:szCs w:val="16"/>
              </w:rPr>
              <w:t>Risk mitigation</w:t>
            </w:r>
          </w:p>
          <w:p w14:paraId="5CD20365" w14:textId="5CB7E928" w:rsidR="00670563" w:rsidRP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</w:tc>
      </w:tr>
      <w:tr w:rsidR="00A60383" w14:paraId="7B141116" w14:textId="77777777" w:rsidTr="00670F71">
        <w:tc>
          <w:tcPr>
            <w:tcW w:w="2127" w:type="dxa"/>
          </w:tcPr>
          <w:p w14:paraId="5ECF653F" w14:textId="768C476B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Provide storage scalability as required</w:t>
            </w:r>
          </w:p>
        </w:tc>
        <w:tc>
          <w:tcPr>
            <w:tcW w:w="1908" w:type="dxa"/>
          </w:tcPr>
          <w:p w14:paraId="56847CE9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33B8E52A" w14:textId="4158A6F5" w:rsidR="00B63B6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</w:t>
            </w:r>
            <w:r w:rsidRPr="00CD2592">
              <w:rPr>
                <w:rFonts w:cs="Arial"/>
                <w:color w:val="000000" w:themeColor="text1"/>
                <w:sz w:val="16"/>
                <w:szCs w:val="16"/>
              </w:rPr>
              <w:t xml:space="preserve">ashion, 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scalable storage is 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popular.</w:t>
            </w:r>
          </w:p>
          <w:p w14:paraId="273170FC" w14:textId="376A857A" w:rsidR="00CD2592" w:rsidRPr="00CD259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costs of scalable alternatives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.</w:t>
            </w:r>
          </w:p>
          <w:p w14:paraId="7FF68DEC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556C102F" w14:textId="2527B752" w:rsidR="00B63B62" w:rsidRPr="00081372" w:rsidRDefault="00CD259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-unable to scale effectively to storage needs</w:t>
            </w:r>
          </w:p>
        </w:tc>
        <w:tc>
          <w:tcPr>
            <w:tcW w:w="1764" w:type="dxa"/>
          </w:tcPr>
          <w:p w14:paraId="216A4BEC" w14:textId="77777777" w:rsidR="00CD2592" w:rsidRPr="00095E3C" w:rsidRDefault="00CD2592" w:rsidP="00CD2592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Technology upgrades</w:t>
            </w:r>
          </w:p>
          <w:p w14:paraId="2DB5B3F1" w14:textId="77777777" w:rsidR="00A60383" w:rsidRPr="00081372" w:rsidRDefault="00A60383" w:rsidP="00CD259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199DC4E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6A57C77" w14:textId="41E12633" w:rsidR="00947086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properly implement technology into business.</w:t>
            </w:r>
          </w:p>
          <w:p w14:paraId="45A4E328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7D2DEFCA" w14:textId="74601A96" w:rsidR="00947086" w:rsidRPr="004D7B17" w:rsidRDefault="004D7B17" w:rsidP="004D7B17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delays in implementation.</w:t>
            </w:r>
          </w:p>
          <w:p w14:paraId="0F0BAADF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lastRenderedPageBreak/>
              <w:t>Impact</w:t>
            </w:r>
          </w:p>
          <w:p w14:paraId="2EC4E85D" w14:textId="521980AE" w:rsidR="004D7B17" w:rsidRPr="004D7B17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Increases costs of implementation, also increases wait time.</w:t>
            </w:r>
          </w:p>
        </w:tc>
        <w:tc>
          <w:tcPr>
            <w:tcW w:w="1764" w:type="dxa"/>
          </w:tcPr>
          <w:p w14:paraId="081FDE09" w14:textId="77777777" w:rsidR="00A6038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policies and procedures</w:t>
            </w:r>
          </w:p>
          <w:p w14:paraId="5312FA05" w14:textId="4995BB10" w:rsidR="008D16F3" w:rsidRPr="008D16F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2E708855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398C37F1" w14:textId="183D30A0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DA3214" w:rsidRDefault="00417BA5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Pre plan change/risk mitigation</w:t>
            </w:r>
          </w:p>
          <w:p w14:paraId="29C5AC24" w14:textId="0C7B0B97" w:rsidR="00DA3214" w:rsidRPr="00095E3C" w:rsidRDefault="00DA3214" w:rsidP="00DA3214">
            <w:pPr>
              <w:widowControl w:val="0"/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534AE3DA" w14:textId="16E7927E" w:rsidR="00DA3214" w:rsidRPr="00081372" w:rsidRDefault="00DA3214" w:rsidP="00417BA5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A60383" w14:paraId="375F1D74" w14:textId="77777777" w:rsidTr="00670F71">
        <w:tc>
          <w:tcPr>
            <w:tcW w:w="2127" w:type="dxa"/>
          </w:tcPr>
          <w:p w14:paraId="1CF306D5" w14:textId="7E9CBD5E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Improve security and privacy</w:t>
            </w:r>
          </w:p>
        </w:tc>
        <w:tc>
          <w:tcPr>
            <w:tcW w:w="1908" w:type="dxa"/>
          </w:tcPr>
          <w:p w14:paraId="74F6FC38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4236E2C2" w14:textId="380A6D49" w:rsidR="00B63B62" w:rsidRPr="0093736E" w:rsidRDefault="0093736E" w:rsidP="00B63B62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6BE21BD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B19663A" w14:textId="4F7CE29D" w:rsidR="0093736E" w:rsidRPr="0093736E" w:rsidRDefault="0093736E" w:rsidP="0093736E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93736E">
              <w:rPr>
                <w:rFonts w:cs="Arial"/>
                <w:sz w:val="16"/>
                <w:szCs w:val="16"/>
              </w:rPr>
              <w:t>Protecting customer data.</w:t>
            </w:r>
          </w:p>
          <w:p w14:paraId="3259E834" w14:textId="00534947" w:rsidR="00B63B62" w:rsidRPr="0093736E" w:rsidRDefault="00B63B62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E2DF007" w14:textId="3D16CE38" w:rsidR="00A60383" w:rsidRPr="00081372" w:rsidRDefault="0093736E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3736E">
              <w:rPr>
                <w:rFonts w:cs="Arial"/>
                <w:color w:val="000000" w:themeColor="text1"/>
                <w:sz w:val="16"/>
                <w:szCs w:val="16"/>
              </w:rPr>
              <w:t>balancing security and privacy with usability</w:t>
            </w:r>
          </w:p>
        </w:tc>
        <w:tc>
          <w:tcPr>
            <w:tcW w:w="1764" w:type="dxa"/>
          </w:tcPr>
          <w:p w14:paraId="28E5AD14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0E2DA898" w14:textId="216FD1FB" w:rsidR="00947086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Failure to implement effective security and privacy measures</w:t>
            </w:r>
          </w:p>
          <w:p w14:paraId="08A977E9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6869CAF5" w14:textId="318669E0" w:rsidR="00947086" w:rsidRPr="00DA3214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Users encounter difficulty accessing information or completing tasks due to excessive security measures</w:t>
            </w:r>
          </w:p>
          <w:p w14:paraId="53D0206D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035E0DEB" w14:textId="4518C2E6" w:rsidR="00DA3214" w:rsidRPr="00081372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Reduced user productivity and satisfaction, increased risk of workarounds that compromise security</w:t>
            </w:r>
          </w:p>
        </w:tc>
        <w:tc>
          <w:tcPr>
            <w:tcW w:w="1764" w:type="dxa"/>
          </w:tcPr>
          <w:p w14:paraId="1E2EA844" w14:textId="77777777" w:rsidR="00A60383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Legislation</w:t>
            </w:r>
          </w:p>
          <w:p w14:paraId="1FDFE6AA" w14:textId="77777777" w:rsidR="00DA3214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Privacy policy</w:t>
            </w:r>
          </w:p>
          <w:p w14:paraId="2C8092B9" w14:textId="77777777" w:rsid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  <w:p w14:paraId="4A48ADE3" w14:textId="2414B203" w:rsidR="00325053" w:rsidRP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Style w:val="contentpasted0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vide storage scalability as required</w:t>
            </w:r>
            <w:r>
              <w:rPr>
                <w:rFonts w:ascii="inherit" w:hAnsi="inherit" w:cs="Arial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1764" w:type="dxa"/>
          </w:tcPr>
          <w:p w14:paraId="6143BC2C" w14:textId="2415DAA9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7E96D499" w14:textId="6FA88145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54715E19" w14:textId="77777777" w:rsidR="00A60383" w:rsidRDefault="00DA3214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security and privacy risk assessment</w:t>
            </w:r>
          </w:p>
          <w:p w14:paraId="7B66F201" w14:textId="04F0AE55" w:rsidR="00DB4881" w:rsidRPr="00081372" w:rsidRDefault="00DB4881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consult with security experts</w:t>
            </w:r>
          </w:p>
        </w:tc>
      </w:tr>
      <w:bookmarkEnd w:id="8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4AADE9D5" w:rsidR="00270273" w:rsidRPr="005105B9" w:rsidRDefault="00270273" w:rsidP="00325053">
      <w:pPr>
        <w:tabs>
          <w:tab w:val="left" w:pos="5627"/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Name of Colleague: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sz w:val="22"/>
          <w:szCs w:val="22"/>
        </w:rPr>
        <w:t>Alexis Treulieb-Berk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>Signed By: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rFonts w:ascii="Segoe Script" w:hAnsi="Segoe Script"/>
          <w:sz w:val="22"/>
          <w:szCs w:val="22"/>
        </w:rPr>
        <w:t>Alexis Treulieb-Berk</w:t>
      </w:r>
    </w:p>
    <w:p w14:paraId="1EFE4575" w14:textId="298FA163" w:rsidR="00270273" w:rsidRPr="007D7838" w:rsidRDefault="00270273" w:rsidP="00325053">
      <w:pPr>
        <w:pStyle w:val="NoSpacing"/>
        <w:rPr>
          <w:sz w:val="16"/>
          <w:szCs w:val="20"/>
        </w:rPr>
      </w:pPr>
    </w:p>
    <w:p w14:paraId="7EB57F7D" w14:textId="5C36F612" w:rsidR="00396D70" w:rsidRP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396D70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  <w:r>
        <w:rPr>
          <w:rFonts w:eastAsiaTheme="majorEastAsia" w:cs="Arial"/>
          <w:sz w:val="28"/>
          <w:szCs w:val="26"/>
        </w:rPr>
        <w:tab/>
      </w: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team</w:t>
      </w:r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157A5E">
        <w:rPr>
          <w:rFonts w:cs="Arial"/>
          <w:color w:val="000000" w:themeColor="text1"/>
          <w:sz w:val="22"/>
          <w:szCs w:val="22"/>
        </w:rPr>
        <w:t>demographical differences did you have to accommodate for? How did you accommodate the differences?</w:t>
      </w:r>
    </w:p>
    <w:p w14:paraId="64492760" w14:textId="48E3D52D" w:rsidR="0081526A" w:rsidRDefault="0081526A" w:rsidP="00B958C3">
      <w:pPr>
        <w:spacing w:after="160" w:line="259" w:lineRule="auto"/>
        <w:rPr>
          <w:rStyle w:val="Heading2Char"/>
          <w:rFonts w:cs="Arial"/>
        </w:rPr>
      </w:pPr>
    </w:p>
    <w:p w14:paraId="677609D2" w14:textId="36639B66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264D774A" w14:textId="77777777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 xml:space="preserve">Work Practices &amp; Communication document (File: International Technical </w:t>
      </w:r>
      <w:proofErr w:type="spellStart"/>
      <w:r w:rsidRPr="000766B1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0766B1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submitted</w:t>
      </w:r>
    </w:p>
    <w:p w14:paraId="5492DE46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6FCF159D" w14:textId="2A55DA8C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7A57" w14:textId="77777777" w:rsidR="007B65AB" w:rsidRDefault="007B65AB" w:rsidP="00D77177">
      <w:r>
        <w:separator/>
      </w:r>
    </w:p>
  </w:endnote>
  <w:endnote w:type="continuationSeparator" w:id="0">
    <w:p w14:paraId="66482639" w14:textId="77777777" w:rsidR="007B65AB" w:rsidRDefault="007B65AB" w:rsidP="00D77177">
      <w:r>
        <w:continuationSeparator/>
      </w:r>
    </w:p>
  </w:endnote>
  <w:endnote w:type="continuationNotice" w:id="1">
    <w:p w14:paraId="0C058FF0" w14:textId="77777777" w:rsidR="007B65AB" w:rsidRDefault="007B6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511E" w14:textId="77777777" w:rsidR="007B65AB" w:rsidRDefault="007B65AB" w:rsidP="00D77177">
      <w:r>
        <w:separator/>
      </w:r>
    </w:p>
  </w:footnote>
  <w:footnote w:type="continuationSeparator" w:id="0">
    <w:p w14:paraId="29A37716" w14:textId="77777777" w:rsidR="007B65AB" w:rsidRDefault="007B65AB" w:rsidP="00D77177">
      <w:r>
        <w:continuationSeparator/>
      </w:r>
    </w:p>
  </w:footnote>
  <w:footnote w:type="continuationNotice" w:id="1">
    <w:p w14:paraId="7EE0FB5E" w14:textId="77777777" w:rsidR="007B65AB" w:rsidRDefault="007B65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4" w:name="_Hlk29374608"/>
    <w:bookmarkStart w:id="5" w:name="_Hlk29374609"/>
    <w:bookmarkStart w:id="6" w:name="_Hlk29382122"/>
    <w:bookmarkStart w:id="7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4"/>
  <w:bookmarkEnd w:id="5"/>
  <w:bookmarkEnd w:id="6"/>
  <w:bookmarkEnd w:id="7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0.35pt;height:10.3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3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00D7"/>
    <w:multiLevelType w:val="hybridMultilevel"/>
    <w:tmpl w:val="1A4415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48"/>
  </w:num>
  <w:num w:numId="10" w16cid:durableId="1378891505">
    <w:abstractNumId w:val="15"/>
  </w:num>
  <w:num w:numId="11" w16cid:durableId="1243024272">
    <w:abstractNumId w:val="27"/>
  </w:num>
  <w:num w:numId="12" w16cid:durableId="1351369802">
    <w:abstractNumId w:val="22"/>
  </w:num>
  <w:num w:numId="13" w16cid:durableId="30961902">
    <w:abstractNumId w:val="35"/>
  </w:num>
  <w:num w:numId="14" w16cid:durableId="1400204317">
    <w:abstractNumId w:val="42"/>
  </w:num>
  <w:num w:numId="15" w16cid:durableId="1885947601">
    <w:abstractNumId w:val="13"/>
  </w:num>
  <w:num w:numId="16" w16cid:durableId="208028937">
    <w:abstractNumId w:val="31"/>
  </w:num>
  <w:num w:numId="17" w16cid:durableId="117533701">
    <w:abstractNumId w:val="16"/>
  </w:num>
  <w:num w:numId="18" w16cid:durableId="96603092">
    <w:abstractNumId w:val="23"/>
  </w:num>
  <w:num w:numId="19" w16cid:durableId="1593395190">
    <w:abstractNumId w:val="4"/>
  </w:num>
  <w:num w:numId="20" w16cid:durableId="1258127129">
    <w:abstractNumId w:val="32"/>
  </w:num>
  <w:num w:numId="21" w16cid:durableId="224679142">
    <w:abstractNumId w:val="19"/>
  </w:num>
  <w:num w:numId="22" w16cid:durableId="146746992">
    <w:abstractNumId w:val="18"/>
  </w:num>
  <w:num w:numId="23" w16cid:durableId="928583108">
    <w:abstractNumId w:val="44"/>
  </w:num>
  <w:num w:numId="24" w16cid:durableId="969095355">
    <w:abstractNumId w:val="25"/>
  </w:num>
  <w:num w:numId="25" w16cid:durableId="541593416">
    <w:abstractNumId w:val="7"/>
  </w:num>
  <w:num w:numId="26" w16cid:durableId="700978366">
    <w:abstractNumId w:val="46"/>
  </w:num>
  <w:num w:numId="27" w16cid:durableId="1191603887">
    <w:abstractNumId w:val="37"/>
  </w:num>
  <w:num w:numId="28" w16cid:durableId="1697660317">
    <w:abstractNumId w:val="12"/>
  </w:num>
  <w:num w:numId="29" w16cid:durableId="1064177051">
    <w:abstractNumId w:val="28"/>
  </w:num>
  <w:num w:numId="30" w16cid:durableId="851917451">
    <w:abstractNumId w:val="5"/>
  </w:num>
  <w:num w:numId="31" w16cid:durableId="1210460303">
    <w:abstractNumId w:val="20"/>
  </w:num>
  <w:num w:numId="32" w16cid:durableId="602881733">
    <w:abstractNumId w:val="30"/>
  </w:num>
  <w:num w:numId="33" w16cid:durableId="1417436853">
    <w:abstractNumId w:val="36"/>
  </w:num>
  <w:num w:numId="34" w16cid:durableId="1558322593">
    <w:abstractNumId w:val="40"/>
  </w:num>
  <w:num w:numId="35" w16cid:durableId="2113281911">
    <w:abstractNumId w:val="47"/>
  </w:num>
  <w:num w:numId="36" w16cid:durableId="750472176">
    <w:abstractNumId w:val="45"/>
  </w:num>
  <w:num w:numId="37" w16cid:durableId="1617711328">
    <w:abstractNumId w:val="26"/>
  </w:num>
  <w:num w:numId="38" w16cid:durableId="348336654">
    <w:abstractNumId w:val="9"/>
  </w:num>
  <w:num w:numId="39" w16cid:durableId="1390299023">
    <w:abstractNumId w:val="11"/>
  </w:num>
  <w:num w:numId="40" w16cid:durableId="433210213">
    <w:abstractNumId w:val="6"/>
  </w:num>
  <w:num w:numId="41" w16cid:durableId="1976252261">
    <w:abstractNumId w:val="24"/>
  </w:num>
  <w:num w:numId="42" w16cid:durableId="575167081">
    <w:abstractNumId w:val="34"/>
  </w:num>
  <w:num w:numId="43" w16cid:durableId="1134133045">
    <w:abstractNumId w:val="38"/>
  </w:num>
  <w:num w:numId="44" w16cid:durableId="850604006">
    <w:abstractNumId w:val="39"/>
  </w:num>
  <w:num w:numId="45" w16cid:durableId="303899712">
    <w:abstractNumId w:val="14"/>
  </w:num>
  <w:num w:numId="46" w16cid:durableId="1071544906">
    <w:abstractNumId w:val="8"/>
  </w:num>
  <w:num w:numId="47" w16cid:durableId="1843933069">
    <w:abstractNumId w:val="17"/>
  </w:num>
  <w:num w:numId="48" w16cid:durableId="856313902">
    <w:abstractNumId w:val="29"/>
  </w:num>
  <w:num w:numId="49" w16cid:durableId="1337002688">
    <w:abstractNumId w:val="21"/>
  </w:num>
  <w:num w:numId="50" w16cid:durableId="98182872">
    <w:abstractNumId w:val="41"/>
  </w:num>
  <w:num w:numId="51" w16cid:durableId="1508057260">
    <w:abstractNumId w:val="10"/>
  </w:num>
  <w:num w:numId="52" w16cid:durableId="912469281">
    <w:abstractNumId w:val="43"/>
  </w:num>
  <w:num w:numId="53" w16cid:durableId="926769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C57BA"/>
    <w:rsid w:val="000C5903"/>
    <w:rsid w:val="000D50A6"/>
    <w:rsid w:val="000D729D"/>
    <w:rsid w:val="000F195B"/>
    <w:rsid w:val="000F5DC7"/>
    <w:rsid w:val="00100F98"/>
    <w:rsid w:val="00135291"/>
    <w:rsid w:val="00141E60"/>
    <w:rsid w:val="00141E6F"/>
    <w:rsid w:val="00143150"/>
    <w:rsid w:val="00156675"/>
    <w:rsid w:val="00172BF2"/>
    <w:rsid w:val="001741A4"/>
    <w:rsid w:val="001775E1"/>
    <w:rsid w:val="001A4C90"/>
    <w:rsid w:val="001A6119"/>
    <w:rsid w:val="001D151A"/>
    <w:rsid w:val="001D363D"/>
    <w:rsid w:val="0020332F"/>
    <w:rsid w:val="00223CFD"/>
    <w:rsid w:val="002451D7"/>
    <w:rsid w:val="00270273"/>
    <w:rsid w:val="00283979"/>
    <w:rsid w:val="002919FD"/>
    <w:rsid w:val="002A5809"/>
    <w:rsid w:val="002D1944"/>
    <w:rsid w:val="002D1AF7"/>
    <w:rsid w:val="002E31A4"/>
    <w:rsid w:val="002F4687"/>
    <w:rsid w:val="00325053"/>
    <w:rsid w:val="00327E13"/>
    <w:rsid w:val="0033612D"/>
    <w:rsid w:val="00337833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71A5F"/>
    <w:rsid w:val="004728E7"/>
    <w:rsid w:val="004748DE"/>
    <w:rsid w:val="004872F3"/>
    <w:rsid w:val="004977B5"/>
    <w:rsid w:val="004B5B34"/>
    <w:rsid w:val="004D2752"/>
    <w:rsid w:val="004D7B17"/>
    <w:rsid w:val="004E7272"/>
    <w:rsid w:val="00510D83"/>
    <w:rsid w:val="00557B4C"/>
    <w:rsid w:val="0056732E"/>
    <w:rsid w:val="005674A7"/>
    <w:rsid w:val="005716F3"/>
    <w:rsid w:val="00585626"/>
    <w:rsid w:val="00585C12"/>
    <w:rsid w:val="0058660F"/>
    <w:rsid w:val="00591013"/>
    <w:rsid w:val="005A5370"/>
    <w:rsid w:val="005A7ACE"/>
    <w:rsid w:val="005B232C"/>
    <w:rsid w:val="005C6031"/>
    <w:rsid w:val="005E15D3"/>
    <w:rsid w:val="005E195A"/>
    <w:rsid w:val="005E455D"/>
    <w:rsid w:val="005F2038"/>
    <w:rsid w:val="005F5438"/>
    <w:rsid w:val="00607E89"/>
    <w:rsid w:val="0061303A"/>
    <w:rsid w:val="00621927"/>
    <w:rsid w:val="006354CE"/>
    <w:rsid w:val="0065434C"/>
    <w:rsid w:val="00661585"/>
    <w:rsid w:val="00670563"/>
    <w:rsid w:val="00672478"/>
    <w:rsid w:val="00673E9B"/>
    <w:rsid w:val="006949D0"/>
    <w:rsid w:val="00697183"/>
    <w:rsid w:val="006A1BC5"/>
    <w:rsid w:val="006B1143"/>
    <w:rsid w:val="006B518E"/>
    <w:rsid w:val="006B6CE4"/>
    <w:rsid w:val="006C4D2E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5AB"/>
    <w:rsid w:val="007B690F"/>
    <w:rsid w:val="007D61C7"/>
    <w:rsid w:val="007E4551"/>
    <w:rsid w:val="00801953"/>
    <w:rsid w:val="00806C79"/>
    <w:rsid w:val="00813C64"/>
    <w:rsid w:val="0081526A"/>
    <w:rsid w:val="008300D3"/>
    <w:rsid w:val="00854F34"/>
    <w:rsid w:val="00876C5C"/>
    <w:rsid w:val="00884894"/>
    <w:rsid w:val="00887C96"/>
    <w:rsid w:val="008C39E3"/>
    <w:rsid w:val="008D16F3"/>
    <w:rsid w:val="008F1FDB"/>
    <w:rsid w:val="008F442C"/>
    <w:rsid w:val="0090529A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F5C25"/>
    <w:rsid w:val="00A158A2"/>
    <w:rsid w:val="00A5462C"/>
    <w:rsid w:val="00A57C92"/>
    <w:rsid w:val="00A60383"/>
    <w:rsid w:val="00A62DFD"/>
    <w:rsid w:val="00A64BC6"/>
    <w:rsid w:val="00A70CA8"/>
    <w:rsid w:val="00A83389"/>
    <w:rsid w:val="00A90BEB"/>
    <w:rsid w:val="00A93630"/>
    <w:rsid w:val="00AB4C68"/>
    <w:rsid w:val="00AC4057"/>
    <w:rsid w:val="00AD00A9"/>
    <w:rsid w:val="00B01894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84C1D"/>
    <w:rsid w:val="00B8754D"/>
    <w:rsid w:val="00B958C3"/>
    <w:rsid w:val="00BD0DB1"/>
    <w:rsid w:val="00BD408C"/>
    <w:rsid w:val="00BE0519"/>
    <w:rsid w:val="00BE3043"/>
    <w:rsid w:val="00BE55DF"/>
    <w:rsid w:val="00BF50E2"/>
    <w:rsid w:val="00C00D30"/>
    <w:rsid w:val="00C02543"/>
    <w:rsid w:val="00C139F0"/>
    <w:rsid w:val="00C15BE2"/>
    <w:rsid w:val="00C26F18"/>
    <w:rsid w:val="00C53D6D"/>
    <w:rsid w:val="00C8723B"/>
    <w:rsid w:val="00CA270E"/>
    <w:rsid w:val="00CA2F2B"/>
    <w:rsid w:val="00CA5681"/>
    <w:rsid w:val="00CB568C"/>
    <w:rsid w:val="00CD2592"/>
    <w:rsid w:val="00D1190F"/>
    <w:rsid w:val="00D33264"/>
    <w:rsid w:val="00D34B29"/>
    <w:rsid w:val="00D356C0"/>
    <w:rsid w:val="00D52B25"/>
    <w:rsid w:val="00D534AA"/>
    <w:rsid w:val="00D77177"/>
    <w:rsid w:val="00D93497"/>
    <w:rsid w:val="00DA3214"/>
    <w:rsid w:val="00DA3761"/>
    <w:rsid w:val="00DB4881"/>
    <w:rsid w:val="00DC401F"/>
    <w:rsid w:val="00DC5A5A"/>
    <w:rsid w:val="00DC607A"/>
    <w:rsid w:val="00DD004C"/>
    <w:rsid w:val="00DD5E92"/>
    <w:rsid w:val="00DE11FD"/>
    <w:rsid w:val="00DF0FF9"/>
    <w:rsid w:val="00E01751"/>
    <w:rsid w:val="00E14A36"/>
    <w:rsid w:val="00E15F31"/>
    <w:rsid w:val="00E258EC"/>
    <w:rsid w:val="00E34A81"/>
    <w:rsid w:val="00E539D5"/>
    <w:rsid w:val="00E64D8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34C5"/>
    <w:rsid w:val="00FB7E11"/>
    <w:rsid w:val="00FC1F0B"/>
    <w:rsid w:val="00FC23D5"/>
    <w:rsid w:val="00FC274C"/>
    <w:rsid w:val="00FC3110"/>
    <w:rsid w:val="00FE336D"/>
    <w:rsid w:val="00FE3380"/>
    <w:rsid w:val="00F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62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contentpasted0">
    <w:name w:val="contentpasted0"/>
    <w:basedOn w:val="DefaultParagraphFont"/>
    <w:rsid w:val="0032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4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205</TotalTime>
  <Pages>11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 (001164110)</cp:lastModifiedBy>
  <cp:revision>13</cp:revision>
  <dcterms:created xsi:type="dcterms:W3CDTF">2023-10-27T03:44:00Z</dcterms:created>
  <dcterms:modified xsi:type="dcterms:W3CDTF">2023-11-17T13:25:00Z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