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信息安全管理制度（2026年版）</w:t>
      </w:r>
    </w:p>
    <w:p>
      <w:r>
        <w:t>第一章 账号与密码</w:t>
      </w:r>
    </w:p>
    <w:p>
      <w:r>
        <w:t>第一条 员工使用的办公系统账号由信息部统一开通，一人一账号，严禁多人共用或转借他人使用。员工离职时，账号在离职当日二十四时前注销。</w:t>
      </w:r>
    </w:p>
    <w:p>
      <w:r>
        <w:t>第二条 密码长度不得少于十位，须同时包含大写字母、小写字母、数字与特殊字符中的三类，且每九十天必须更换一次。禁止使用生日、手机号等易猜测信息作为密码。</w:t>
      </w:r>
    </w:p>
    <w:p>
      <w:r>
        <w:t>第二章 数据分级与保护</w:t>
      </w:r>
    </w:p>
    <w:p>
      <w:r>
        <w:t>第三条 公司数据分为公开、内部、机密、绝密四个等级。客户合同、财务数据、源代码属于机密级，仅授权岗位人员可以访问，不得通过个人邮箱、网盘等外部渠道传输。</w:t>
      </w:r>
    </w:p>
    <w:p>
      <w:r>
        <w:t>第四条 机密级以上文件在公司内部传输必须使用加密工具，对外发送需经部门负责人与信息部双重审批，并在发送后二十四小时内上报发送记录。</w:t>
      </w:r>
    </w:p>
    <w:p>
      <w:r>
        <w:t>第三章 终端与网络安全</w:t>
      </w:r>
    </w:p>
    <w:p>
      <w:r>
        <w:t>第五条 办公电脑必须安装公司统一部署的杀毒软件与终端管理客户端，禁止私自关闭安全软件或卸载管控程序，违者按违规操作处理。</w:t>
      </w:r>
    </w:p>
    <w:p>
      <w:r>
        <w:t>第六条 严禁在办公网络内使用无线路由器、随身热点等私接网络设备。需要远程办公的，必须使用公司提供的虚拟专用网络接入，禁止直接暴露内部系统到公网。</w:t>
      </w:r>
    </w:p>
    <w:p>
      <w:r>
        <w:t>第四章 上网行为管理</w:t>
      </w:r>
    </w:p>
    <w:p>
      <w:r>
        <w:t>第七条 办公时间禁止访问与工作无关的娱乐、游戏、博彩类网站。公司网络审计系统会记录员工的网络访问日志，日志保留期限不少于六个月。</w:t>
      </w:r>
    </w:p>
    <w:p>
      <w:r>
        <w:t>第八条 严禁在办公设备上安装盗版软件或来路不明的程序。因安装不明软件导致病毒爆发或数据泄露的，相关责任人承担全部损失。</w:t>
      </w:r>
    </w:p>
    <w:sectPr/>
  </w:body>
</w:document>
</file>