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差旅报销管理制度（2026年版）</w:t>
      </w:r>
    </w:p>
    <w:p>
      <w:r>
        <w:t>第一章 总则</w:t>
      </w:r>
    </w:p>
    <w:p>
      <w:r>
        <w:t>第一条 为规范员工出差行为，合理控制差旅成本，特制定本制度。本制度适用于公司全体员工因公出差的申请、审批与费用报销。</w:t>
      </w:r>
    </w:p>
    <w:p>
      <w:r>
        <w:t>第二章 出差申请</w:t>
      </w:r>
    </w:p>
    <w:p>
      <w:r>
        <w:t>第二条 员工出差前须在办公系统提交出差申请单，注明出差事由、目的地、预计天数与费用预算，经部门负责人审批后生效。单次出差超过七天的，须报分管副总裁审批。</w:t>
      </w:r>
    </w:p>
    <w:p>
      <w:r>
        <w:t>第三条 出差结束后三个工作日内，员工应完成出差报告并在报销系统提交费用报销申请，逾期未提交的财务部有权退回不予受理。</w:t>
      </w:r>
    </w:p>
    <w:p>
      <w:r>
        <w:t>第三章 交通与住宿标准</w:t>
      </w:r>
    </w:p>
    <w:p>
      <w:r>
        <w:t>第四条 高铁车票按二等座标准报销，飞机票按经济舱标准报销。因公需要乘坐一等座或商务舱的，须事先经部门负责人书面批准。</w:t>
      </w:r>
    </w:p>
    <w:p>
      <w:r>
        <w:t>第五条 住宿标准按城市等级划分：一线城市每晚不超过四百元，二线城市每晚不超过三百元，其他城市每晚不超过二百元。超出标准部分由员工自行承担。</w:t>
      </w:r>
    </w:p>
    <w:p>
      <w:r>
        <w:t>第六条 市内交通费按实报销，单日限额五十元。出租车费用需在发票背面注明起止地点与事由，否则财务部不予报销。</w:t>
      </w:r>
    </w:p>
    <w:p>
      <w:r>
        <w:t>第四章 补贴与报销要求</w:t>
      </w:r>
    </w:p>
    <w:p>
      <w:r>
        <w:t>第七条 出差期间的伙食补贴标准为每人每天一百元，按实际出差天数计算，与工资一同发放，无需提供发票。</w:t>
      </w:r>
    </w:p>
    <w:p>
      <w:r>
        <w:t>第八条 所有报销票据必须为税务机关监制的正规发票，抬头为公司的全称。电子发票需提供发票查验平台的真伪验证结果。</w:t>
      </w:r>
    </w:p>
    <w:p>
      <w:r>
        <w:t>第九条 报销款项在财务部审核通过后十个工作日内支付到员工工资卡。对虚报、多报费用的行为，公司将按照员工手册相关规定严肃处理。</w:t>
      </w:r>
    </w:p>
    <w:sectPr/>
  </w:body>
</w:document>
</file>