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绩效考核管理办法（2026年版）</w:t>
      </w:r>
    </w:p>
    <w:p>
      <w:r>
        <w:t>第一章 考核目的与原则</w:t>
      </w:r>
    </w:p>
    <w:p>
      <w:r>
        <w:t>第一条 为客观评价员工工作表现，激励员工持续提升绩效，特制定本办法。考核遵循公平、公正、公开的原则，考核结果与薪酬调整、晋升、培训直接挂钩。</w:t>
      </w:r>
    </w:p>
    <w:p>
      <w:r>
        <w:t>第二章 考核周期与方式</w:t>
      </w:r>
    </w:p>
    <w:p>
      <w:r>
        <w:t>第二条 绩效考核分为月度考核、季度考核与年度考核。月度考核关注工作量与完成度，季度考核关注目标达成情况，年度考核综合全年表现进行评级。</w:t>
      </w:r>
    </w:p>
    <w:p>
      <w:r>
        <w:t>第三条 考核采用员工自评与主管评分相结合的方式，自评占百分之二十，主管评分占百分之八十。研发岗位需额外进行代码质量评审，评审结果占主管评分的百分之三十。</w:t>
      </w:r>
    </w:p>
    <w:p>
      <w:r>
        <w:t>第三章 考核等级与分布</w:t>
      </w:r>
    </w:p>
    <w:p>
      <w:r>
        <w:t>第四条 考核结果分为S、A、B、C、D五个等级。其中S级代表卓越，占比不超过百分之十；A级代表优秀，占比不超过百分之三十；B级代表称职；C级代表待改进；D级代表不合格。</w:t>
      </w:r>
    </w:p>
    <w:p>
      <w:r>
        <w:t>第五条 连续两个季度考核为D级的员工，公司将安排绩效改进计划，改进期为两个月。改进期满仍未达标的，公司有权依法解除劳动合同。</w:t>
      </w:r>
    </w:p>
    <w:p>
      <w:r>
        <w:t>第四章 结果应用</w:t>
      </w:r>
    </w:p>
    <w:p>
      <w:r>
        <w:t>第六条 年度考核为S级或A级的员工，优先获得晋升提名与薪资调整资格。年度考核为A级以上的员工，年终奖系数不低于一点二。</w:t>
      </w:r>
    </w:p>
    <w:p>
      <w:r>
        <w:t>第七条 员工对考核结果有异议的，可在结果公布后五个工作日内向人力资源部提交书面申诉，人力资源部应在十个工作日内组织复核并反馈结论。</w:t>
      </w:r>
    </w:p>
    <w:sectPr/>
  </w:body>
</w:document>
</file>