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F5597"/>
          <w:sz w:val="34"/>
          <w:szCs w:val="34"/>
        </w:rPr>
        <w:t xml:space="preserve">Youth Volunteering in India:</w:t>
      </w:r>
    </w:p>
    <w:p>
      <w:pPr>
        <w:spacing w:after="120"/>
        <w:jc w:val="center"/>
      </w:pPr>
      <w:r>
        <w:rPr>
          <w:b/>
          <w:bCs/>
          <w:color w:val="2F5597"/>
          <w:sz w:val="34"/>
          <w:szCs w:val="34"/>
        </w:rPr>
        <w:t xml:space="preserve">Trends, Impact &amp; Insights</w:t>
      </w:r>
    </w:p>
    <w:p>
      <w:pPr>
        <w:spacing w:after="200"/>
        <w:jc w:val="center"/>
      </w:pPr>
      <w:r>
        <w:rPr>
          <w:i/>
          <w:iCs/>
          <w:color w:val="595959"/>
          <w:sz w:val="20"/>
          <w:szCs w:val="20"/>
        </w:rPr>
        <w:t xml:space="preserve">An AI-assisted data analysis report on social impact and volunteering | July 2026</w:t>
      </w:r>
    </w:p>
    <w:p>
      <w:pPr>
        <w:pBdr>
          <w:bottom w:val="single" w:color="2F5597" w:sz="8" w:space="4"/>
        </w:pBdr>
        <w:spacing w:after="200"/>
      </w:pPr>
    </w:p>
    <w:p>
      <w:pPr>
        <w:pStyle w:val="Heading1"/>
        <w:spacing w:after="120" w:before="240"/>
      </w:pPr>
      <w:r>
        <w:rPr>
          <w:b/>
          <w:bCs/>
          <w:color w:val="2F5597"/>
          <w:sz w:val="26"/>
          <w:szCs w:val="26"/>
        </w:rPr>
        <w:t xml:space="preserve">1. Objective &amp; Methodology</w:t>
      </w:r>
    </w:p>
    <w:p>
      <w:pPr>
        <w:spacing w:after="140" w:line="276"/>
      </w:pPr>
      <w:r>
        <w:rPr>
          <w:sz w:val="21"/>
          <w:szCs w:val="21"/>
        </w:rPr>
        <w:t xml:space="preserve">This report examines current trends in youth volunteering in India — a topic directly relevant to NGOs, fundraising, and education — using AI-assisted research. Claude (Anthropic's AI assistant) was used to search, retrieve, and synthesize findings from government portals, UN Volunteer reports, NGO impact surveys, and recent news coverage (2025-2026), then to distill the results into the statistics, trends, and insights summarized below.</w:t>
      </w:r>
    </w:p>
    <w:p>
      <w:pPr>
        <w:pStyle w:val="Heading1"/>
        <w:spacing w:after="120" w:before="240"/>
      </w:pPr>
      <w:r>
        <w:rPr>
          <w:b/>
          <w:bCs/>
          <w:color w:val="2F5597"/>
          <w:sz w:val="26"/>
          <w:szCs w:val="26"/>
        </w:rPr>
        <w:t xml:space="preserve">2. Key Statistics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FFFFF" w:val="clear"/>
            <w:tcMar>
              <w:top w:type="dxa" w:w="100"/>
              <w:left w:type="dxa" w:w="100"/>
              <w:bottom w:type="dxa" w:w="100"/>
              <w:right w:type="dxa" w:w="100"/>
            </w:tcMar>
          </w:tcPr>
          <w:p>
            <w:pPr>
              <w:jc w:val="center"/>
            </w:pPr>
            <w:r>
              <w:rPr>
                <w:b/>
                <w:bCs/>
                <w:color w:val="2F5597"/>
                <w:sz w:val="24"/>
                <w:szCs w:val="24"/>
              </w:rPr>
              <w:t xml:space="preserve">1.92%</w:t>
            </w:r>
          </w:p>
        </w:tc>
        <w:tc>
          <w:tcPr>
            <w:tcW w:type="pct" w:w="25%"/>
            <w:shd w:fill="FFFFFF" w:val="clear"/>
            <w:tcMar>
              <w:top w:type="dxa" w:w="100"/>
              <w:left w:type="dxa" w:w="100"/>
              <w:bottom w:type="dxa" w:w="100"/>
              <w:right w:type="dxa" w:w="100"/>
            </w:tcMar>
          </w:tcPr>
          <w:p>
            <w:pPr>
              <w:jc w:val="center"/>
            </w:pPr>
            <w:r>
              <w:rPr>
                <w:b/>
                <w:bCs/>
                <w:color w:val="2F5597"/>
                <w:sz w:val="24"/>
                <w:szCs w:val="24"/>
              </w:rPr>
              <w:t xml:space="preserve">26%</w:t>
            </w:r>
          </w:p>
        </w:tc>
        <w:tc>
          <w:tcPr>
            <w:tcW w:type="pct" w:w="25%"/>
            <w:shd w:fill="FFFFFF" w:val="clear"/>
            <w:tcMar>
              <w:top w:type="dxa" w:w="100"/>
              <w:left w:type="dxa" w:w="100"/>
              <w:bottom w:type="dxa" w:w="100"/>
              <w:right w:type="dxa" w:w="100"/>
            </w:tcMar>
          </w:tcPr>
          <w:p>
            <w:pPr>
              <w:jc w:val="center"/>
            </w:pPr>
            <w:r>
              <w:rPr>
                <w:b/>
                <w:bCs/>
                <w:color w:val="2F5597"/>
                <w:sz w:val="24"/>
                <w:szCs w:val="24"/>
              </w:rPr>
              <w:t xml:space="preserve">8.2 crore+</w:t>
            </w:r>
          </w:p>
        </w:tc>
        <w:tc>
          <w:tcPr>
            <w:tcW w:type="pct" w:w="25%"/>
            <w:shd w:fill="FFFFFF" w:val="clear"/>
            <w:tcMar>
              <w:top w:type="dxa" w:w="100"/>
              <w:left w:type="dxa" w:w="100"/>
              <w:bottom w:type="dxa" w:w="100"/>
              <w:right w:type="dxa" w:w="100"/>
            </w:tcMar>
          </w:tcPr>
          <w:p>
            <w:pPr>
              <w:jc w:val="center"/>
            </w:pPr>
            <w:r>
              <w:rPr>
                <w:b/>
                <w:bCs/>
                <w:color w:val="2F5597"/>
                <w:sz w:val="24"/>
                <w:szCs w:val="24"/>
              </w:rPr>
              <w:t xml:space="preserve">70%</w:t>
            </w:r>
          </w:p>
        </w:tc>
      </w:tr>
      <w:tr>
        <w:tc>
          <w:tcPr>
            <w:tcW w:type="pct" w:w="25%"/>
            <w:shd w:fill="FFFFFF" w:val="clear"/>
            <w:tcMar>
              <w:top w:type="dxa" w:w="100"/>
              <w:left w:type="dxa" w:w="100"/>
              <w:bottom w:type="dxa" w:w="100"/>
              <w:right w:type="dxa" w:w="100"/>
            </w:tcMar>
          </w:tcPr>
          <w:p>
            <w:pPr>
              <w:jc w:val="center"/>
            </w:pPr>
            <w:r>
              <w:rPr>
                <w:b w:val="false"/>
                <w:bCs w:val="false"/>
                <w:color w:val="000000"/>
                <w:sz w:val="17"/>
                <w:szCs w:val="17"/>
              </w:rPr>
              <w:t xml:space="preserve">of national income given by Indians (World Giving Report 2025)</w:t>
            </w:r>
          </w:p>
        </w:tc>
        <w:tc>
          <w:tcPr>
            <w:tcW w:type="pct" w:w="25%"/>
            <w:shd w:fill="FFFFFF" w:val="clear"/>
            <w:tcMar>
              <w:top w:type="dxa" w:w="100"/>
              <w:left w:type="dxa" w:w="100"/>
              <w:bottom w:type="dxa" w:w="100"/>
              <w:right w:type="dxa" w:w="100"/>
            </w:tcMar>
          </w:tcPr>
          <w:p>
            <w:pPr>
              <w:jc w:val="center"/>
            </w:pPr>
            <w:r>
              <w:rPr>
                <w:b w:val="false"/>
                <w:bCs w:val="false"/>
                <w:color w:val="000000"/>
                <w:sz w:val="17"/>
                <w:szCs w:val="17"/>
              </w:rPr>
              <w:t xml:space="preserve">of people globally volunteered in 2024; 18-24 age group leads</w:t>
            </w:r>
          </w:p>
        </w:tc>
        <w:tc>
          <w:tcPr>
            <w:tcW w:type="pct" w:w="25%"/>
            <w:shd w:fill="FFFFFF" w:val="clear"/>
            <w:tcMar>
              <w:top w:type="dxa" w:w="100"/>
              <w:left w:type="dxa" w:w="100"/>
              <w:bottom w:type="dxa" w:w="100"/>
              <w:right w:type="dxa" w:w="100"/>
            </w:tcMar>
          </w:tcPr>
          <w:p>
            <w:pPr>
              <w:jc w:val="center"/>
            </w:pPr>
            <w:r>
              <w:rPr>
                <w:b w:val="false"/>
                <w:bCs w:val="false"/>
                <w:color w:val="000000"/>
                <w:sz w:val="17"/>
                <w:szCs w:val="17"/>
              </w:rPr>
              <w:t xml:space="preserve">students served by NSS since 1969, across 29,500+ colleges</w:t>
            </w:r>
          </w:p>
        </w:tc>
        <w:tc>
          <w:tcPr>
            <w:tcW w:type="pct" w:w="25%"/>
            <w:shd w:fill="FFFFFF" w:val="clear"/>
            <w:tcMar>
              <w:top w:type="dxa" w:w="100"/>
              <w:left w:type="dxa" w:w="100"/>
              <w:bottom w:type="dxa" w:w="100"/>
              <w:right w:type="dxa" w:w="100"/>
            </w:tcMar>
          </w:tcPr>
          <w:p>
            <w:pPr>
              <w:jc w:val="center"/>
            </w:pPr>
            <w:r>
              <w:rPr>
                <w:b w:val="false"/>
                <w:bCs w:val="false"/>
                <w:color w:val="000000"/>
                <w:sz w:val="17"/>
                <w:szCs w:val="17"/>
              </w:rPr>
              <w:t xml:space="preserve">of Indian recruiters value volunteer experience for entry-level hires</w:t>
            </w:r>
          </w:p>
        </w:tc>
      </w:tr>
    </w:tbl>
    <w:p>
      <w:pPr>
        <w:spacing w:after="160"/>
      </w:pPr>
    </w:p>
    <w:p>
      <w:pPr>
        <w:pStyle w:val="Heading1"/>
        <w:spacing w:after="120" w:before="240"/>
      </w:pPr>
      <w:r>
        <w:rPr>
          <w:b/>
          <w:bCs/>
          <w:color w:val="2F5597"/>
          <w:sz w:val="26"/>
          <w:szCs w:val="26"/>
        </w:rPr>
        <w:t xml:space="preserve">3. Key Findings</w:t>
      </w:r>
    </w:p>
    <w:p>
      <w:pPr>
        <w:pStyle w:val="Heading2"/>
        <w:spacing w:after="100" w:before="200"/>
      </w:pPr>
      <w:r>
        <w:rPr>
          <w:b/>
          <w:bCs/>
          <w:color w:val="2F5597"/>
          <w:sz w:val="22"/>
          <w:szCs w:val="22"/>
        </w:rPr>
        <w:t xml:space="preserve">Youth participation is rising, and 2026 amplifies the moment</w:t>
      </w:r>
    </w:p>
    <w:p>
      <w:pPr>
        <w:spacing w:after="140" w:line="276"/>
      </w:pPr>
      <w:r>
        <w:rPr>
          <w:sz w:val="21"/>
          <w:szCs w:val="21"/>
        </w:rPr>
        <w:t xml:space="preserve">The United Nations has designated 2026 as the International Year of Volunteers for Sustainable Development (IVY 2026), marking 25 years since the first such year and 55 years of the UN Volunteers programme. India's demographic profile — youth population projected to stay above 20% for two more decades (Economic Survey 2025-26) — positions the country to lead this global moment through its NSS, NYKS, and NGO-led volunteering ecosystem.</w:t>
      </w:r>
    </w:p>
    <w:p>
      <w:pPr>
        <w:pStyle w:val="Heading2"/>
        <w:spacing w:after="100" w:before="200"/>
      </w:pPr>
      <w:r>
        <w:rPr>
          <w:b/>
          <w:bCs/>
          <w:color w:val="2F5597"/>
          <w:sz w:val="22"/>
          <w:szCs w:val="22"/>
        </w:rPr>
        <w:t xml:space="preserve">Students are the core volunteer base</w:t>
      </w:r>
    </w:p>
    <w:p>
      <w:pPr>
        <w:spacing w:after="140" w:line="276"/>
      </w:pPr>
      <w:r>
        <w:rPr>
          <w:sz w:val="21"/>
          <w:szCs w:val="21"/>
        </w:rPr>
        <w:t xml:space="preserve">Sector surveys consistently show students dominate volunteer pools. In CRY's annual volunteer survey, close to 70% of respondents were students aged 19-24, over 60% were women, and 78% were first-time volunteers — indicating the volunteer base is both young and still expanding, rather than saturated.</w:t>
      </w:r>
    </w:p>
    <w:p>
      <w:pPr>
        <w:pStyle w:val="Heading2"/>
        <w:spacing w:after="100" w:before="200"/>
      </w:pPr>
      <w:r>
        <w:rPr>
          <w:b/>
          <w:bCs/>
          <w:color w:val="2F5597"/>
          <w:sz w:val="22"/>
          <w:szCs w:val="22"/>
        </w:rPr>
        <w:t xml:space="preserve">Volunteering measurably builds soft skills</w:t>
      </w:r>
    </w:p>
    <w:p>
      <w:pPr>
        <w:spacing w:after="140" w:line="276"/>
      </w:pPr>
      <w:r>
        <w:rPr>
          <w:sz w:val="21"/>
          <w:szCs w:val="21"/>
        </w:rPr>
        <w:t xml:space="preserve">The same survey found strong self-reported gains: 91% of volunteers noted improved respect for others, 90% greater appreciation of differing views, 89% increased participation in community events, and 87% stronger networking skills — evidence that volunteering functions as informal skills training alongside its social impact.</w:t>
      </w:r>
    </w:p>
    <w:p>
      <w:pPr>
        <w:pStyle w:val="Heading2"/>
        <w:spacing w:after="100" w:before="200"/>
      </w:pPr>
      <w:r>
        <w:rPr>
          <w:b/>
          <w:bCs/>
          <w:color w:val="2F5597"/>
          <w:sz w:val="22"/>
          <w:szCs w:val="22"/>
        </w:rPr>
        <w:t xml:space="preserve">NGOs are diversifying how they recruit volunteers</w:t>
      </w:r>
    </w:p>
    <w:p>
      <w:pPr>
        <w:spacing w:after="140" w:line="276"/>
      </w:pPr>
      <w:r>
        <w:rPr>
          <w:sz w:val="21"/>
          <w:szCs w:val="21"/>
        </w:rPr>
        <w:t xml:space="preserve">According to GivingTuesday's 2025 volunteer engagement study, 82% of Indian NPOs now offer a diverse range of volunteer roles rather than a single fixed task, and organizations using corporate partnerships as a volunteer channel report 1.6x more volunteers than those that don't — a strong argument for NGOs to formalize corporate and campus partnerships.</w:t>
      </w:r>
    </w:p>
    <w:p>
      <w:pPr>
        <w:pStyle w:val="Heading2"/>
        <w:spacing w:after="100" w:before="200"/>
      </w:pPr>
      <w:r>
        <w:rPr>
          <w:b/>
          <w:bCs/>
          <w:color w:val="2F5597"/>
          <w:sz w:val="22"/>
          <w:szCs w:val="22"/>
        </w:rPr>
        <w:t xml:space="preserve">Career incentives are reinforcing the trend</w:t>
      </w:r>
    </w:p>
    <w:p>
      <w:pPr>
        <w:spacing w:after="140" w:line="276"/>
      </w:pPr>
      <w:r>
        <w:rPr>
          <w:sz w:val="21"/>
          <w:szCs w:val="21"/>
        </w:rPr>
        <w:t xml:space="preserve">Volunteering is increasingly framed as a career asset rather than pure altruism: industry surveys report a majority of Indian recruiters give weight to volunteer experience in entry-level hiring, and several fellowships (SBI Youth for India, Gandhi Fellowship, AIF Clinton Fellowship) now double as structured, resume-building leadership pathways with living stipends.</w:t>
      </w:r>
    </w:p>
    <w:p>
      <w:pPr>
        <w:pStyle w:val="Heading1"/>
        <w:spacing w:after="120" w:before="240"/>
      </w:pPr>
      <w:r>
        <w:rPr>
          <w:b/>
          <w:bCs/>
          <w:color w:val="2F5597"/>
          <w:sz w:val="26"/>
          <w:szCs w:val="26"/>
        </w:rPr>
        <w:t xml:space="preserve">4. Trends to Watch</w:t>
      </w:r>
    </w:p>
    <w:p>
      <w:pPr>
        <w:pStyle w:val="ListParagraph"/>
        <w:numPr>
          <w:ilvl w:val="0"/>
          <w:numId w:val="2"/>
        </w:numPr>
        <w:spacing w:after="80" w:line="264"/>
      </w:pPr>
      <w:r>
        <w:rPr>
          <w:sz w:val="21"/>
          <w:szCs w:val="21"/>
        </w:rPr>
        <w:t xml:space="preserve">Hybrid volunteering: NGOs increasingly offer both on-ground and remote/virtual roles (e.g., online tutoring, content and design support), widening access beyond metro cities.</w:t>
      </w:r>
    </w:p>
    <w:p>
      <w:pPr>
        <w:pStyle w:val="ListParagraph"/>
        <w:numPr>
          <w:ilvl w:val="0"/>
          <w:numId w:val="2"/>
        </w:numPr>
        <w:spacing w:after="80" w:line="264"/>
      </w:pPr>
      <w:r>
        <w:rPr>
          <w:sz w:val="21"/>
          <w:szCs w:val="21"/>
        </w:rPr>
        <w:t xml:space="preserve">Formal government integration: NSS/NYKS/NCC volunteering is being consolidated under the MY Bharat (Mera Yuva Bharat) portal, centralizing tracking and certification.</w:t>
      </w:r>
    </w:p>
    <w:p>
      <w:pPr>
        <w:pStyle w:val="ListParagraph"/>
        <w:numPr>
          <w:ilvl w:val="0"/>
          <w:numId w:val="2"/>
        </w:numPr>
        <w:spacing w:after="80" w:line="264"/>
      </w:pPr>
      <w:r>
        <w:rPr>
          <w:sz w:val="21"/>
          <w:szCs w:val="21"/>
        </w:rPr>
        <w:t xml:space="preserve">Corporate CSR channels: Company-sponsored volunteering (under Section 135 of the Companies Act) is emerging as one of the most reliable and scalable pipelines for NGOs.</w:t>
      </w:r>
    </w:p>
    <w:p>
      <w:pPr>
        <w:pStyle w:val="ListParagraph"/>
        <w:numPr>
          <w:ilvl w:val="0"/>
          <w:numId w:val="2"/>
        </w:numPr>
        <w:spacing w:after="80" w:line="264"/>
      </w:pPr>
      <w:r>
        <w:rPr>
          <w:sz w:val="21"/>
          <w:szCs w:val="21"/>
        </w:rPr>
        <w:t xml:space="preserve">Impact measurement gap: The 2026 State of the World's Volunteerism Report highlights that volunteer contributions remain under-measured globally — a structural weakness NGOs and funders are being pushed to address.</w:t>
      </w:r>
    </w:p>
    <w:p>
      <w:pPr>
        <w:pStyle w:val="Heading1"/>
        <w:spacing w:after="120" w:before="240"/>
      </w:pPr>
      <w:r>
        <w:rPr>
          <w:b/>
          <w:bCs/>
          <w:color w:val="2F5597"/>
          <w:sz w:val="26"/>
          <w:szCs w:val="26"/>
        </w:rPr>
        <w:t xml:space="preserve">5. Insights &amp; Recommendations</w:t>
      </w:r>
    </w:p>
    <w:p>
      <w:pPr>
        <w:pStyle w:val="ListParagraph"/>
        <w:numPr>
          <w:ilvl w:val="0"/>
          <w:numId w:val="2"/>
        </w:numPr>
        <w:spacing w:after="80" w:line="264"/>
      </w:pPr>
      <w:r>
        <w:rPr>
          <w:sz w:val="21"/>
          <w:szCs w:val="21"/>
        </w:rPr>
        <w:t xml:space="preserve">NGOs should design multiple entry points (skill-based, remote, one-off, ongoing) rather than a single volunteering format, since role diversity correlates with larger volunteer pools.</w:t>
      </w:r>
    </w:p>
    <w:p>
      <w:pPr>
        <w:pStyle w:val="ListParagraph"/>
        <w:numPr>
          <w:ilvl w:val="0"/>
          <w:numId w:val="2"/>
        </w:numPr>
        <w:spacing w:after="80" w:line="264"/>
      </w:pPr>
      <w:r>
        <w:rPr>
          <w:sz w:val="21"/>
          <w:szCs w:val="21"/>
        </w:rPr>
        <w:t xml:space="preserve">Educational institutions can strengthen career-linked volunteering (structured certificates, reflection logs) to align with what students and recruiters both value.</w:t>
      </w:r>
    </w:p>
    <w:p>
      <w:pPr>
        <w:pStyle w:val="ListParagraph"/>
        <w:numPr>
          <w:ilvl w:val="0"/>
          <w:numId w:val="2"/>
        </w:numPr>
        <w:spacing w:after="80" w:line="264"/>
      </w:pPr>
      <w:r>
        <w:rPr>
          <w:sz w:val="21"/>
          <w:szCs w:val="21"/>
        </w:rPr>
        <w:t xml:space="preserve">Funders and NGOs should invest in outcome measurement — tracking skills gained and community impact, not just hours logged — to build credibility for fundraising.</w:t>
      </w:r>
    </w:p>
    <w:p>
      <w:pPr>
        <w:pStyle w:val="ListParagraph"/>
        <w:numPr>
          <w:ilvl w:val="0"/>
          <w:numId w:val="2"/>
        </w:numPr>
        <w:spacing w:after="80" w:line="264"/>
      </w:pPr>
      <w:r>
        <w:rPr>
          <w:sz w:val="21"/>
          <w:szCs w:val="21"/>
        </w:rPr>
        <w:t xml:space="preserve">Campus and corporate partnerships deserve more deliberate investment, given their outsized effect on volunteer pipeline size.</w:t>
      </w:r>
    </w:p>
    <w:p>
      <w:pPr>
        <w:pStyle w:val="Heading1"/>
        <w:spacing w:after="120" w:before="240"/>
      </w:pPr>
      <w:r>
        <w:rPr>
          <w:b/>
          <w:bCs/>
          <w:color w:val="2F5597"/>
          <w:sz w:val="26"/>
          <w:szCs w:val="26"/>
        </w:rPr>
        <w:t xml:space="preserve">6. Conclusion</w:t>
      </w:r>
    </w:p>
    <w:p>
      <w:pPr>
        <w:spacing w:after="140" w:line="276"/>
      </w:pPr>
      <w:r>
        <w:rPr>
          <w:sz w:val="21"/>
          <w:szCs w:val="21"/>
        </w:rPr>
        <w:t xml:space="preserve">India's volunteering landscape is entering 2026 with real momentum: a large, youth-heavy volunteer base, rising institutional support (IVY 2026, MY Bharat, paid fellowships), and growing recognition of volunteering as both a social good and a career asset. The main opportunity for NGOs and educators is to convert this momentum into durable, well-measured, and diverse volunteering pipelines rather than one-off engagement.</w:t>
      </w:r>
    </w:p>
    <w:p>
      <w:pPr>
        <w:pBdr>
          <w:top w:val="single" w:color="BFBFBF" w:sz="4" w:space="4"/>
        </w:pBdr>
        <w:spacing w:after="80" w:before="200"/>
      </w:pPr>
    </w:p>
    <w:p>
      <w:pPr>
        <w:spacing w:after="40"/>
      </w:pPr>
      <w:r>
        <w:rPr>
          <w:b/>
          <w:bCs/>
          <w:color w:val="595959"/>
          <w:sz w:val="18"/>
          <w:szCs w:val="18"/>
        </w:rPr>
        <w:t xml:space="preserve">Sources</w:t>
      </w:r>
    </w:p>
    <w:p>
      <w:pPr>
        <w:spacing w:after="20"/>
      </w:pPr>
      <w:r>
        <w:rPr>
          <w:i/>
          <w:iCs/>
          <w:color w:val="595959"/>
          <w:sz w:val="16"/>
          <w:szCs w:val="16"/>
        </w:rPr>
        <w:t xml:space="preserve">World Giving Report 2025 (CAF) · UNV 2026 State of the World's Volunteerism Report · The Week, "What global trends tell us about the future of volunteering in India" (May 2026) · CRY Impact of Volunteering Report 2023-24 · GivingTuesday India, Volunteer Engagement Report (2025) · Economic Survey 2025-26, Government of India · UNDP/UNV India Knowledge Portal.</w:t>
      </w:r>
    </w:p>
    <w:p>
      <w:pPr>
        <w:spacing w:after="0"/>
      </w:pPr>
      <w:r>
        <w:rPr>
          <w:i/>
          <w:iCs/>
          <w:color w:val="595959"/>
          <w:sz w:val="16"/>
          <w:szCs w:val="16"/>
        </w:rPr>
        <w:t xml:space="preserve">Prepared with AI-assisted research and drafting (Claude, Anthropic). Figures reflect publicly reported data as of July 2026 and should be re-verified for any formal citation.</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2026-07-14T07:09:11.399Z</dcterms:created>
  <dcterms:modified xsi:type="dcterms:W3CDTF">2026-07-14T07:09:11.413Z</dcterms:modified>
</cp:coreProperties>
</file>

<file path=docProps/custom.xml><?xml version="1.0" encoding="utf-8"?>
<Properties xmlns="http://schemas.openxmlformats.org/officeDocument/2006/custom-properties" xmlns:vt="http://schemas.openxmlformats.org/officeDocument/2006/docPropsVTypes"/>
</file>