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597"/>
          <w:sz w:val="32"/>
          <w:szCs w:val="32"/>
        </w:rPr>
        <w:t xml:space="preserve">Volunteering, Internship &amp; Fellowship Opportunities</w:t>
      </w:r>
    </w:p>
    <w:p>
      <w:pPr>
        <w:spacing w:after="120"/>
        <w:jc w:val="center"/>
      </w:pPr>
      <w:r>
        <w:rPr>
          <w:b/>
          <w:bCs/>
          <w:color w:val="2F5597"/>
          <w:sz w:val="32"/>
          <w:szCs w:val="32"/>
        </w:rPr>
        <w:t xml:space="preserve">for Students in India — Data Analysis Report</w:t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Analysis of a 20-opportunity dataset compiled July 2026</w:t>
      </w:r>
    </w:p>
    <w:p>
      <w:pPr>
        <w:pBdr>
          <w:bottom w:val="single" w:color="2F5597" w:sz="8" w:space="4"/>
        </w:pBdr>
        <w:spacing w:after="200"/>
      </w:pPr>
    </w:p>
    <w:p>
      <w:pPr>
        <w:pStyle w:val="Heading1"/>
        <w:spacing w:after="120" w:before="0"/>
      </w:pPr>
      <w:r>
        <w:rPr>
          <w:b/>
          <w:bCs/>
          <w:color w:val="2F5597"/>
          <w:sz w:val="26"/>
          <w:szCs w:val="26"/>
        </w:rPr>
        <w:t xml:space="preserve">Executive Summary</w:t>
      </w:r>
    </w:p>
    <w:p>
      <w:pPr>
        <w:spacing w:after="130" w:line="268"/>
      </w:pPr>
      <w:r>
        <w:rPr>
          <w:sz w:val="20"/>
          <w:szCs w:val="20"/>
        </w:rPr>
        <w:t xml:space="preserve">A dataset of 20 verified volunteering, internship, and fellowship opportunities for Indian students was compiled and analyzed across four dimensions: opportunity type, engagement mode, compensation structure, and application timeline. The analysis shows the landscape is dominated by low-barrier, unpaid, rolling-admission volunteering (40% of entries), while paid, structured fellowships remain a smaller but higher-value tier (25%) reserved mostly for graduates. Three-quarters of all opportunities are open to current students without requiring a completed degree, and 80% accept applications on a rolling or ongoing basis rather than a fixed annual deadline — meaning timing is rarely the binding constraint for students; eligibility and mode of engagement are.</w:t>
      </w:r>
    </w:p>
    <w:p>
      <w:pPr>
        <w:pStyle w:val="Heading1"/>
        <w:spacing w:after="120" w:before="260"/>
      </w:pPr>
      <w:r>
        <w:rPr>
          <w:b/>
          <w:bCs/>
          <w:color w:val="2F5597"/>
          <w:sz w:val="26"/>
          <w:szCs w:val="26"/>
        </w:rPr>
        <w:t xml:space="preserve">1. Methodology</w:t>
      </w:r>
    </w:p>
    <w:p>
      <w:pPr>
        <w:spacing w:after="130" w:line="268"/>
      </w:pPr>
      <w:r>
        <w:rPr>
          <w:sz w:val="20"/>
          <w:szCs w:val="20"/>
        </w:rPr>
        <w:t xml:space="preserve">Twenty organizations were identified through targeted research (government portals, NGO databases, and fellowship listings, current as of July 2026). Each entry was coded across five variables — opportunity type, eligibility level, engagement mode, compensation structure, and deadline structure — to allow quantitative comparison rather than a simple directory listing. Percentages below are of the full n=20 dataset.</w:t>
      </w:r>
    </w:p>
    <w:p>
      <w:pPr>
        <w:pStyle w:val="Heading1"/>
        <w:spacing w:after="120" w:before="260"/>
      </w:pPr>
      <w:r>
        <w:rPr>
          <w:b/>
          <w:bCs/>
          <w:color w:val="2F5597"/>
          <w:sz w:val="26"/>
          <w:szCs w:val="26"/>
        </w:rPr>
        <w:t xml:space="preserve">2. Dataset Composition</w:t>
      </w:r>
    </w:p>
    <w:p>
      <w:pPr>
        <w:spacing w:after="130" w:line="268"/>
      </w:pPr>
      <w:r>
        <w:rPr>
          <w:sz w:val="20"/>
          <w:szCs w:val="20"/>
        </w:rPr>
        <w:t xml:space="preserve">Table 1 breaks the 20 opportunities into five mutually exclusive categories.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4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12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pct" w:w="12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of 20</w:t>
            </w:r>
          </w:p>
        </w:tc>
        <w:tc>
          <w:tcPr>
            <w:tcW w:type="pct" w:w="42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pct" w:w="3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 (unpaid)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40%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NSS, Bhumi, Youth for Seva, eVidyaloka</w:t>
            </w:r>
          </w:p>
        </w:tc>
      </w:tr>
      <w:tr>
        <w:tc>
          <w:tcPr>
            <w:tcW w:type="pct" w:w="3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Fellowship (paid, structured)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25%</w:t>
            </w:r>
          </w:p>
        </w:tc>
        <w:tc>
          <w:tcPr>
            <w:tcW w:type="pct" w:w="4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SBI Youth for India, Gandhi Fellowship, YIF</w:t>
            </w:r>
          </w:p>
        </w:tc>
      </w:tr>
      <w:tr>
        <w:tc>
          <w:tcPr>
            <w:tcW w:type="pct" w:w="3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 &amp; Internship (mixed)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20%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CRY, Smile Foundation, HelpAge India</w:t>
            </w:r>
          </w:p>
        </w:tc>
      </w:tr>
      <w:tr>
        <w:tc>
          <w:tcPr>
            <w:tcW w:type="pct" w:w="3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Volunteer-matching platform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pct" w:w="4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iVolunteer, GiveIndia</w:t>
            </w:r>
          </w:p>
        </w:tc>
      </w:tr>
      <w:tr>
        <w:tc>
          <w:tcPr>
            <w:tcW w:type="pct" w:w="3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Paid government internship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5%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PM Internship Scheme</w:t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17"/>
          <w:szCs w:val="17"/>
        </w:rPr>
        <w:t xml:space="preserve">Table 1. Opportunity type breakdown (n=20)</w:t>
      </w:r>
    </w:p>
    <w:p>
      <w:pPr>
        <w:spacing w:after="40" w:before="100"/>
        <w:jc w:val="center"/>
      </w:pPr>
      <w:r>
        <w:drawing>
          <wp:inline distT="0" distB="0" distL="0" distR="0">
            <wp:extent cx="5120640" cy="25603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 xml:space="preserve">Figure 1 — Unpaid volunteering is the largest single category, but fellowship + paid-internship + mixed types together make up 50% of the dataset.</w:t>
      </w:r>
    </w:p>
    <w:p>
      <w:pPr>
        <w:pStyle w:val="Heading1"/>
        <w:spacing w:after="120" w:before="260"/>
      </w:pPr>
      <w:r>
        <w:rPr>
          <w:b/>
          <w:bCs/>
          <w:color w:val="2F5597"/>
          <w:sz w:val="26"/>
          <w:szCs w:val="26"/>
        </w:rPr>
        <w:t xml:space="preserve">3. Engagement Mode Analysis</w:t>
      </w:r>
    </w:p>
    <w:p>
      <w:pPr>
        <w:spacing w:after="130" w:line="268"/>
      </w:pPr>
      <w:r>
        <w:rPr>
          <w:sz w:val="20"/>
          <w:szCs w:val="20"/>
        </w:rPr>
        <w:t xml:space="preserve">Opportunities were classified by where the work happens: on-ground/residential, hybrid (mix of remote and in-person), or fully remote.</w:t>
      </w:r>
    </w:p>
    <w:p>
      <w:pPr>
        <w:spacing w:after="40" w:before="100"/>
        <w:jc w:val="center"/>
      </w:pPr>
      <w:r>
        <w:drawing>
          <wp:inline distT="0" distB="0" distL="0" distR="0">
            <wp:extent cx="3291840" cy="26517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 xml:space="preserve">Figure 2 — Half of all opportunities (9/20) now offer hybrid engagement, showing NGOs have moved past the pandemic-era all-remote or all-in-person binary. Only 1 opportunity (eVidyaloka) is fully remote, so location remains a real constraint for most listings.</w:t>
      </w:r>
    </w:p>
    <w:p>
      <w:pPr>
        <w:pStyle w:val="Heading1"/>
        <w:spacing w:after="120" w:before="260"/>
      </w:pPr>
      <w:r>
        <w:rPr>
          <w:b/>
          <w:bCs/>
          <w:color w:val="2F5597"/>
          <w:sz w:val="26"/>
          <w:szCs w:val="26"/>
        </w:rPr>
        <w:t xml:space="preserve">4. Compensation Structure</w:t>
      </w:r>
    </w:p>
    <w:p>
      <w:pPr>
        <w:spacing w:after="130" w:line="268"/>
      </w:pPr>
      <w:r>
        <w:rPr>
          <w:sz w:val="20"/>
          <w:szCs w:val="20"/>
        </w:rPr>
        <w:t xml:space="preserve">Only 6 of 20 opportunities (30%) offer a monetary stipend or financial aid; the remaining 14 (70%) are certificate/experience-based with no direct payment.</w:t>
      </w:r>
    </w:p>
    <w:p>
      <w:pPr>
        <w:spacing w:after="40" w:before="100"/>
        <w:jc w:val="center"/>
      </w:pPr>
      <w:r>
        <w:drawing>
          <wp:inline distT="0" distB="0" distL="0" distR="0">
            <wp:extent cx="3291840" cy="26517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 xml:space="preserve">Figure 3 — Paid opportunities cluster almost entirely in the Fellowship category, suggesting students seeking income (not just experience) have a narrower, more competitive set of options.</w:t>
      </w:r>
    </w:p>
    <w:p>
      <w:pPr>
        <w:pStyle w:val="Heading1"/>
        <w:spacing w:after="120" w:before="260"/>
      </w:pPr>
      <w:r>
        <w:rPr>
          <w:b/>
          <w:bCs/>
          <w:color w:val="2F5597"/>
          <w:sz w:val="26"/>
          <w:szCs w:val="26"/>
        </w:rPr>
        <w:t xml:space="preserve">5. Deadline Structure &amp; Eligibility Level</w:t>
      </w:r>
    </w:p>
    <w:p>
      <w:pPr>
        <w:spacing w:after="130" w:line="268"/>
      </w:pPr>
      <w:r>
        <w:rPr>
          <w:sz w:val="20"/>
          <w:szCs w:val="20"/>
        </w:rPr>
        <w:t xml:space="preserve">Deadlines and eligibility were cross-tabulated to see how much of the dataset is actually time-gated versus open year-round, and how much requires a completed degree.</w:t>
      </w:r>
    </w:p>
    <w:p>
      <w:pPr>
        <w:spacing w:after="40" w:before="100"/>
        <w:jc w:val="center"/>
      </w:pPr>
      <w:r>
        <w:drawing>
          <wp:inline distT="0" distB="0" distL="0" distR="0">
            <wp:extent cx="6217920" cy="29260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 xml:space="preserve">Figure 4 — 80% of opportunities accept rolling applications (mostly volunteering roles), while the 20% with fixed annual deadlines are concentrated in the higher-value fellowships (Gandhi Fellowship, YIF, AIF Clinton, Nehru Fellowship) — these are the ones students most need to calendar in advance.</w:t>
      </w:r>
    </w:p>
    <w:p>
      <w:pPr>
        <w:pStyle w:val="Heading1"/>
        <w:spacing w:after="120" w:before="260"/>
      </w:pPr>
      <w:r>
        <w:rPr>
          <w:b/>
          <w:bCs/>
          <w:color w:val="2F5597"/>
          <w:sz w:val="26"/>
          <w:szCs w:val="26"/>
        </w:rPr>
        <w:t xml:space="preserve">6. Key Insights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0"/>
          <w:szCs w:val="20"/>
        </w:rPr>
        <w:t xml:space="preserve">Entry barrier is low overall: 75% of opportunities (15/20) are open to current students, so lack of a degree is rarely a blocker — the real filter is age, location, and time commitment.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0"/>
          <w:szCs w:val="20"/>
        </w:rPr>
        <w:t xml:space="preserve">Paid opportunities are concentrated and competitive: nearly all 6 paid options are multi-month fellowships with structured selection (essays, interviews), unlike the low-friction sign-up process for unpaid volunteering.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0"/>
          <w:szCs w:val="20"/>
        </w:rPr>
        <w:t xml:space="preserve">Deadlines matter for a minority, but a critical minority: the 4 fixed-deadline programs are also the 4 highest-value paid fellowships — missing these costs a student a full year's wait, unlike rolling volunteering roles.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0"/>
          <w:szCs w:val="20"/>
        </w:rPr>
        <w:t xml:space="preserve">Hybrid is now the norm, not remote: students outside metro cities have more real options than pure-remote listings suggest, since 9 of 20 opportunities explicitly support hybrid participation.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0"/>
          <w:szCs w:val="20"/>
        </w:rPr>
        <w:t xml:space="preserve">Government-run channels (NSS, NYKS, PM Internship) account for 3 of 20 entries but reach by far the largest number of total participants (NSS alone: 8.2 crore+ students historically), indicating scale and selectivity are inversely related in this dataset.</w:t>
      </w:r>
    </w:p>
    <w:p>
      <w:pPr>
        <w:pStyle w:val="Heading1"/>
        <w:spacing w:after="120" w:before="260"/>
      </w:pPr>
      <w:r>
        <w:rPr>
          <w:b/>
          <w:bCs/>
          <w:color w:val="2F5597"/>
          <w:sz w:val="26"/>
          <w:szCs w:val="26"/>
        </w:rPr>
        <w:t xml:space="preserve">7. Recommendations by Student Profile</w:t>
      </w:r>
    </w:p>
    <w:p>
      <w:pPr>
        <w:pStyle w:val="Heading2"/>
        <w:spacing w:after="90" w:before="180"/>
      </w:pPr>
      <w:r>
        <w:rPr>
          <w:b/>
          <w:bCs/>
          <w:color w:val="2F5597"/>
          <w:sz w:val="22"/>
          <w:szCs w:val="22"/>
        </w:rPr>
        <w:t xml:space="preserve">Class 11-12 / early undergraduate students</w:t>
      </w:r>
    </w:p>
    <w:p>
      <w:pPr>
        <w:spacing w:after="130" w:line="268"/>
      </w:pPr>
      <w:r>
        <w:rPr>
          <w:sz w:val="20"/>
          <w:szCs w:val="20"/>
        </w:rPr>
        <w:t xml:space="preserve">Start with NSS/NYKS or an unpaid NGO role (Bhumi, Youth for Seva, Unessa) — no degree required, rolling deadlines, and low commitment thresholds make these accessible entry points to build a track record.</w:t>
      </w:r>
    </w:p>
    <w:p>
      <w:pPr>
        <w:pStyle w:val="Heading2"/>
        <w:spacing w:after="90" w:before="180"/>
      </w:pPr>
      <w:r>
        <w:rPr>
          <w:b/>
          <w:bCs/>
          <w:color w:val="2F5597"/>
          <w:sz w:val="22"/>
          <w:szCs w:val="22"/>
        </w:rPr>
        <w:t xml:space="preserve">Final-year undergraduates seeking paid, resume-building experience</w:t>
      </w:r>
    </w:p>
    <w:p>
      <w:pPr>
        <w:spacing w:after="130" w:line="268"/>
      </w:pPr>
      <w:r>
        <w:rPr>
          <w:sz w:val="20"/>
          <w:szCs w:val="20"/>
        </w:rPr>
        <w:t xml:space="preserve">Target the PM Internship Scheme now (rolling, open to final-year students) and calendar the Gandhi Fellowship (~March) and Young India Fellowship (priority deadline December) applications a full year ahead, since these are the fixed-cycle, higher-value programs.</w:t>
      </w:r>
    </w:p>
    <w:p>
      <w:pPr>
        <w:pStyle w:val="Heading2"/>
        <w:spacing w:after="90" w:before="180"/>
      </w:pPr>
      <w:r>
        <w:rPr>
          <w:b/>
          <w:bCs/>
          <w:color w:val="2F5597"/>
          <w:sz w:val="22"/>
          <w:szCs w:val="22"/>
        </w:rPr>
        <w:t xml:space="preserve">Recent graduates seeking a structured leadership fellowship</w:t>
      </w:r>
    </w:p>
    <w:p>
      <w:pPr>
        <w:spacing w:after="130" w:line="268"/>
      </w:pPr>
      <w:r>
        <w:rPr>
          <w:sz w:val="20"/>
          <w:szCs w:val="20"/>
        </w:rPr>
        <w:t xml:space="preserve">SBI Youth for India, AIF Clinton Fellowship, and Nehru Fellowship offer stipends plus mentorship; apply to more than one given the competitive, deadline-bound selection process.</w:t>
      </w:r>
    </w:p>
    <w:p>
      <w:pPr>
        <w:pStyle w:val="Heading1"/>
        <w:spacing w:after="120" w:before="260"/>
      </w:pPr>
      <w:r>
        <w:rPr>
          <w:b/>
          <w:bCs/>
          <w:color w:val="2F5597"/>
          <w:sz w:val="26"/>
          <w:szCs w:val="26"/>
        </w:rPr>
        <w:t xml:space="preserve">8. Full Dataset (Coded)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pct" w:w="17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18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Eligibility Level</w:t>
            </w:r>
          </w:p>
        </w:tc>
        <w:tc>
          <w:tcPr>
            <w:tcW w:type="pct" w:w="12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pct" w:w="10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Paid?</w:t>
            </w:r>
          </w:p>
        </w:tc>
        <w:tc>
          <w:tcPr>
            <w:tcW w:type="pct" w:w="14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Deadline Type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NSS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(Class 11+)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On-ground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NYKS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(age 15-29)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On-ground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SBI Youth for India Fellowship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Fellowship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Graduate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On-ground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 (stage-1)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Gandhi Fellowship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Fellowship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Graduate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On-ground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Fixed (~Mar 31)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Young India Fellowship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Fellowship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Graduate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On-campus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(aid)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Fixed (Jan 19)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PM Internship Scheme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Paid Internship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(18-25)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On-site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Teach For India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 &amp; Internship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/ Graduate (Fellowship)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Mixed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Bhumi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On-ground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Youth for Seva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(age 16+)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Unessa Foundation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eVidyaloka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Remote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iVolunteer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Platform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GiveIndia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Platform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Robin Hood Army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On-ground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Make A Difference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CRY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 &amp; Internship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Mixed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Smile Foundation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 &amp; Internship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(16+)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Mixed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AIF Clinton Fellowship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Fellowship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Graduate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On-ground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Fixed (Jan-Feb)</w:t>
            </w:r>
          </w:p>
        </w:tc>
      </w:tr>
      <w:tr>
        <w:tc>
          <w:tcPr>
            <w:tcW w:type="pct" w:w="5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HelpAge India</w:t>
            </w:r>
          </w:p>
        </w:tc>
        <w:tc>
          <w:tcPr>
            <w:tcW w:type="pct" w:w="17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Volunteering &amp; Internship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Hybrid</w:t>
            </w:r>
          </w:p>
        </w:tc>
        <w:tc>
          <w:tcPr>
            <w:tcW w:type="pct" w:w="10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Mixed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Rolling</w:t>
            </w:r>
          </w:p>
        </w:tc>
      </w:tr>
      <w:tr>
        <w:tc>
          <w:tcPr>
            <w:tcW w:type="pct" w:w="5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pct" w:w="2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Nehru Fellowship</w:t>
            </w:r>
          </w:p>
        </w:tc>
        <w:tc>
          <w:tcPr>
            <w:tcW w:type="pct" w:w="17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Fellowship</w:t>
            </w:r>
          </w:p>
        </w:tc>
        <w:tc>
          <w:tcPr>
            <w:tcW w:type="pct" w:w="18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Graduate</w:t>
            </w:r>
          </w:p>
        </w:tc>
        <w:tc>
          <w:tcPr>
            <w:tcW w:type="pct" w:w="12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On-ground</w:t>
            </w:r>
          </w:p>
        </w:tc>
        <w:tc>
          <w:tcPr>
            <w:tcW w:type="pct" w:w="10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pct" w:w="14%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Fixed (varies)</w:t>
            </w:r>
          </w:p>
        </w:tc>
      </w:tr>
    </w:tbl>
    <w:p>
      <w:pPr>
        <w:pBdr>
          <w:top w:val="single" w:color="BFBFBF" w:sz="4" w:space="4"/>
        </w:pBdr>
        <w:spacing w:after="80" w:before="220"/>
      </w:pPr>
    </w:p>
    <w:p>
      <w:pPr>
        <w:spacing w:after="20"/>
      </w:pPr>
      <w:r>
        <w:rPr>
          <w:b/>
          <w:bCs/>
          <w:color w:val="595959"/>
          <w:sz w:val="17"/>
          <w:szCs w:val="17"/>
        </w:rPr>
        <w:t xml:space="preserve">Notes</w:t>
      </w:r>
    </w:p>
    <w:p>
      <w:pPr>
        <w:spacing w:after="0"/>
      </w:pPr>
      <w:r>
        <w:rPr>
          <w:i/>
          <w:iCs/>
          <w:color w:val="595959"/>
          <w:sz w:val="16"/>
          <w:szCs w:val="16"/>
        </w:rPr>
        <w:t xml:space="preserve">Coding reflects the primary/most common pathway for each organization (e.g., Teach For India's short-term volunteering is rolling even though its 2-year Fellowship has an annual cycle). Verify current deadlines and stipend amounts on each organization's official site before applying, as these change yearly.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90937344255855105a901b75bd53cc8c25c0c2.png"/><Relationship Id="rId8" Type="http://schemas.openxmlformats.org/officeDocument/2006/relationships/image" Target="media/a10b777b6d58c64354e66fba783c278773af5194.png"/><Relationship Id="rId9" Type="http://schemas.openxmlformats.org/officeDocument/2006/relationships/image" Target="media/586e38d5afbc39a984fe7b0555903e5198fc6f9e.png"/><Relationship Id="rId10" Type="http://schemas.openxmlformats.org/officeDocument/2006/relationships/image" Target="media/87042aad91c22ce2d75b88716c1b00391c24a6f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2026-07-14T07:14:19.816Z</dcterms:created>
  <dcterms:modified xsi:type="dcterms:W3CDTF">2026-07-14T07:14:19.816Z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