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Arial" w:hAnsi="Arial"/>
          <w:b/>
          <w:color w:val="1F4E78"/>
          <w:sz w:val="62"/>
        </w:rPr>
        <w:t>HABIT TRACKER</w:t>
      </w:r>
    </w:p>
    <w:p>
      <w:pPr>
        <w:jc w:val="center"/>
      </w:pPr>
      <w:r>
        <w:rPr>
          <w:rFonts w:ascii="Arial" w:hAnsi="Arial"/>
          <w:color w:val="2F75B5"/>
          <w:sz w:val="34"/>
        </w:rPr>
        <w:t>Setup, Excel Data Entry &amp; Power BI Dashboard Guide</w:t>
      </w:r>
    </w:p>
    <w:p>
      <w:pPr>
        <w:jc w:val="center"/>
      </w:pPr>
      <w:r>
        <w:rPr>
          <w:rFonts w:ascii="Arial" w:hAnsi="Arial"/>
          <w:i/>
          <w:color w:val="666666"/>
          <w:sz w:val="22"/>
        </w:rPr>
        <w:t>For the sample-data and empty-starter versions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1F4E78"/>
                <w:sz w:val="20"/>
              </w:rPr>
              <w:t>Excel workbook</w:t>
            </w:r>
          </w:p>
        </w:tc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20"/>
              </w:rPr>
              <w:t>Macro-enabled .xlsm tracker used for data entry, habit setup and tracking controls</w:t>
            </w:r>
          </w:p>
        </w:tc>
      </w:tr>
      <w:tr>
        <w:tc>
          <w:tcPr>
            <w:tcW w:type="dxa" w:w="5112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1F4E78"/>
                <w:sz w:val="20"/>
              </w:rPr>
              <w:t>Power BI report</w:t>
            </w:r>
          </w:p>
        </w:tc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20"/>
              </w:rPr>
              <w:t>Four-page dashboard: Overview, Weekly, Monthly and Yearly</w:t>
            </w:r>
          </w:p>
        </w:tc>
      </w:tr>
      <w:tr>
        <w:tc>
          <w:tcPr>
            <w:tcW w:type="dxa" w:w="5112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1F4E78"/>
                <w:sz w:val="20"/>
              </w:rPr>
              <w:t>Sample version</w:t>
            </w:r>
          </w:p>
        </w:tc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20"/>
              </w:rPr>
              <w:t>Contains the historical example data used to demonstrate the report</w:t>
            </w:r>
          </w:p>
        </w:tc>
      </w:tr>
      <w:tr>
        <w:tc>
          <w:tcPr>
            <w:tcW w:type="dxa" w:w="5112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1F4E78"/>
                <w:sz w:val="20"/>
              </w:rPr>
              <w:t>Starter version</w:t>
            </w:r>
          </w:p>
        </w:tc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20"/>
              </w:rPr>
              <w:t>Same structure and configuration, but tracking history is reset for a new user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2F0D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F4E78"/>
                <w:sz w:val="19"/>
              </w:rPr>
              <w:t xml:space="preserve">Important: </w:t>
            </w:r>
            <w:r>
              <w:rPr>
                <w:rFonts w:ascii="Arial" w:hAnsi="Arial"/>
                <w:sz w:val="19"/>
              </w:rPr>
              <w:t>The workbook already contains its VBA project and button assignments. A recipient does not need to import or write VBA, but Excel must be allowed to run macros for the automated buttons and tracking-calendar refresh to work.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Contents</w:t>
      </w:r>
    </w:p>
    <w:p>
      <w:pPr>
        <w:pStyle w:val="ListBullet"/>
        <w:spacing w:after="60"/>
        <w:ind w:left="360"/>
      </w:pPr>
      <w:r>
        <w:rPr>
          <w:rFonts w:ascii="Arial" w:hAnsi="Arial"/>
          <w:sz w:val="20"/>
        </w:rPr>
        <w:t>1. Quick setup</w:t>
      </w:r>
    </w:p>
    <w:p>
      <w:pPr>
        <w:pStyle w:val="ListBullet"/>
        <w:spacing w:after="60"/>
        <w:ind w:left="360"/>
      </w:pPr>
      <w:r>
        <w:rPr>
          <w:rFonts w:ascii="Arial" w:hAnsi="Arial"/>
          <w:sz w:val="20"/>
        </w:rPr>
        <w:t>2. Which workbook should I use?</w:t>
      </w:r>
    </w:p>
    <w:p>
      <w:pPr>
        <w:pStyle w:val="ListBullet"/>
        <w:spacing w:after="60"/>
        <w:ind w:left="360"/>
      </w:pPr>
      <w:r>
        <w:rPr>
          <w:rFonts w:ascii="Arial" w:hAnsi="Arial"/>
          <w:sz w:val="20"/>
        </w:rPr>
        <w:t>3. Daily Excel workflow</w:t>
      </w:r>
    </w:p>
    <w:p>
      <w:pPr>
        <w:pStyle w:val="ListBullet"/>
        <w:spacing w:after="60"/>
        <w:ind w:left="360"/>
      </w:pPr>
      <w:r>
        <w:rPr>
          <w:rFonts w:ascii="Arial" w:hAnsi="Arial"/>
          <w:sz w:val="20"/>
        </w:rPr>
        <w:t>4. Managing habits, goals and schedules</w:t>
      </w:r>
    </w:p>
    <w:p>
      <w:pPr>
        <w:pStyle w:val="ListBullet"/>
        <w:spacing w:after="60"/>
        <w:ind w:left="360"/>
      </w:pPr>
      <w:r>
        <w:rPr>
          <w:rFonts w:ascii="Arial" w:hAnsi="Arial"/>
          <w:sz w:val="20"/>
        </w:rPr>
        <w:t>5. Missing, tracked and paused days</w:t>
      </w:r>
    </w:p>
    <w:p>
      <w:pPr>
        <w:pStyle w:val="ListBullet"/>
        <w:spacing w:after="60"/>
        <w:ind w:left="360"/>
      </w:pPr>
      <w:r>
        <w:rPr>
          <w:rFonts w:ascii="Arial" w:hAnsi="Arial"/>
          <w:sz w:val="20"/>
        </w:rPr>
        <w:t>6. Data checks and refresh</w:t>
      </w:r>
    </w:p>
    <w:p>
      <w:pPr>
        <w:pStyle w:val="ListBullet"/>
        <w:spacing w:after="60"/>
        <w:ind w:left="360"/>
      </w:pPr>
      <w:r>
        <w:rPr>
          <w:rFonts w:ascii="Arial" w:hAnsi="Arial"/>
          <w:sz w:val="20"/>
        </w:rPr>
        <w:t>7. What the measures mean</w:t>
      </w:r>
    </w:p>
    <w:p>
      <w:pPr>
        <w:pStyle w:val="ListBullet"/>
        <w:spacing w:after="60"/>
        <w:ind w:left="360"/>
      </w:pPr>
      <w:r>
        <w:rPr>
          <w:rFonts w:ascii="Arial" w:hAnsi="Arial"/>
          <w:sz w:val="20"/>
        </w:rPr>
        <w:t>8. Power BI navigation and slicers</w:t>
      </w:r>
    </w:p>
    <w:p>
      <w:pPr>
        <w:pStyle w:val="ListBullet"/>
        <w:spacing w:after="60"/>
        <w:ind w:left="360"/>
      </w:pPr>
      <w:r>
        <w:rPr>
          <w:rFonts w:ascii="Arial" w:hAnsi="Arial"/>
          <w:sz w:val="20"/>
        </w:rPr>
        <w:t>9. Overview page</w:t>
      </w:r>
    </w:p>
    <w:p>
      <w:pPr>
        <w:pStyle w:val="ListBullet"/>
        <w:spacing w:after="60"/>
        <w:ind w:left="360"/>
      </w:pPr>
      <w:r>
        <w:rPr>
          <w:rFonts w:ascii="Arial" w:hAnsi="Arial"/>
          <w:sz w:val="20"/>
        </w:rPr>
        <w:t>10. Weekly page</w:t>
      </w:r>
    </w:p>
    <w:p>
      <w:pPr>
        <w:pStyle w:val="ListBullet"/>
        <w:spacing w:after="60"/>
        <w:ind w:left="360"/>
      </w:pPr>
      <w:r>
        <w:rPr>
          <w:rFonts w:ascii="Arial" w:hAnsi="Arial"/>
          <w:sz w:val="20"/>
        </w:rPr>
        <w:t>11. Monthly page</w:t>
      </w:r>
    </w:p>
    <w:p>
      <w:pPr>
        <w:pStyle w:val="ListBullet"/>
        <w:spacing w:after="60"/>
        <w:ind w:left="360"/>
      </w:pPr>
      <w:r>
        <w:rPr>
          <w:rFonts w:ascii="Arial" w:hAnsi="Arial"/>
          <w:sz w:val="20"/>
        </w:rPr>
        <w:t>12. Yearly page</w:t>
      </w:r>
    </w:p>
    <w:p>
      <w:pPr>
        <w:pStyle w:val="ListBullet"/>
        <w:spacing w:after="60"/>
        <w:ind w:left="360"/>
      </w:pPr>
      <w:r>
        <w:rPr>
          <w:rFonts w:ascii="Arial" w:hAnsi="Arial"/>
          <w:sz w:val="20"/>
        </w:rPr>
        <w:t>13. Power BI data model and source tables</w:t>
      </w:r>
    </w:p>
    <w:p>
      <w:pPr>
        <w:pStyle w:val="ListBullet"/>
        <w:spacing w:after="60"/>
        <w:ind w:left="360"/>
      </w:pPr>
      <w:r>
        <w:rPr>
          <w:rFonts w:ascii="Arial" w:hAnsi="Arial"/>
          <w:sz w:val="20"/>
        </w:rPr>
        <w:t>14. Maintenance and handoff</w:t>
      </w:r>
    </w:p>
    <w:p>
      <w:pPr>
        <w:pStyle w:val="ListBullet"/>
        <w:spacing w:after="60"/>
        <w:ind w:left="360"/>
      </w:pPr>
      <w:r>
        <w:rPr>
          <w:rFonts w:ascii="Arial" w:hAnsi="Arial"/>
          <w:sz w:val="20"/>
        </w:rPr>
        <w:t>15. Improvements over earlier versions</w:t>
      </w:r>
    </w:p>
    <w:p>
      <w:pPr>
        <w:pStyle w:val="Heading1"/>
      </w:pPr>
      <w:r>
        <w:t>1. Quick setup</w:t>
      </w:r>
    </w:p>
    <w:p>
      <w:pPr>
        <w:pStyle w:val="Heading2"/>
      </w:pPr>
      <w:r>
        <w:t>1.1 Excel - first use</w:t>
      </w:r>
    </w:p>
    <w:p>
      <w:pPr>
        <w:spacing w:after="80"/>
        <w:ind w:left="259" w:hanging="259"/>
      </w:pPr>
      <w:r>
        <w:rPr>
          <w:rFonts w:ascii="Arial" w:hAnsi="Arial"/>
          <w:sz w:val="20"/>
        </w:rPr>
        <w:t xml:space="preserve">1.  </w:t>
      </w:r>
      <w:r>
        <w:rPr>
          <w:rFonts w:ascii="Arial" w:hAnsi="Arial"/>
          <w:sz w:val="20"/>
        </w:rPr>
        <w:t>Place the .xlsm workbook in a normal local or synced folder that the user can save to.</w:t>
      </w:r>
    </w:p>
    <w:p>
      <w:pPr>
        <w:spacing w:after="80"/>
        <w:ind w:left="259" w:hanging="259"/>
      </w:pPr>
      <w:r>
        <w:rPr>
          <w:rFonts w:ascii="Arial" w:hAnsi="Arial"/>
          <w:sz w:val="20"/>
        </w:rPr>
        <w:t xml:space="preserve">2.  </w:t>
      </w:r>
      <w:r>
        <w:rPr>
          <w:rFonts w:ascii="Arial" w:hAnsi="Arial"/>
          <w:sz w:val="20"/>
        </w:rPr>
        <w:t>If Windows has blocked the downloaded file: close Excel, right-click the file, choose Properties, tick Unblock if shown, then Apply and OK.</w:t>
      </w:r>
    </w:p>
    <w:p>
      <w:pPr>
        <w:spacing w:after="80"/>
        <w:ind w:left="259" w:hanging="259"/>
      </w:pPr>
      <w:r>
        <w:rPr>
          <w:rFonts w:ascii="Arial" w:hAnsi="Arial"/>
          <w:sz w:val="20"/>
        </w:rPr>
        <w:t xml:space="preserve">3.  </w:t>
      </w:r>
      <w:r>
        <w:rPr>
          <w:rFonts w:ascii="Arial" w:hAnsi="Arial"/>
          <w:sz w:val="20"/>
        </w:rPr>
        <w:t>Open the workbook and choose Enable Content / Enable Macros if Excel displays a security prompt.</w:t>
      </w:r>
    </w:p>
    <w:p>
      <w:pPr>
        <w:spacing w:after="80"/>
        <w:ind w:left="259" w:hanging="259"/>
      </w:pPr>
      <w:r>
        <w:rPr>
          <w:rFonts w:ascii="Arial" w:hAnsi="Arial"/>
          <w:sz w:val="20"/>
        </w:rPr>
        <w:t xml:space="preserve">4.  </w:t>
      </w:r>
      <w:r>
        <w:rPr>
          <w:rFonts w:ascii="Arial" w:hAnsi="Arial"/>
          <w:sz w:val="20"/>
        </w:rPr>
        <w:t>Use the Home page buttons to work with the tracker. The hidden technical sheets should not normally be edited directly.</w:t>
      </w:r>
    </w:p>
    <w:p>
      <w:pPr>
        <w:spacing w:after="80"/>
        <w:ind w:left="259" w:hanging="259"/>
      </w:pPr>
      <w:r>
        <w:rPr>
          <w:rFonts w:ascii="Arial" w:hAnsi="Arial"/>
          <w:sz w:val="20"/>
        </w:rPr>
        <w:t xml:space="preserve">5.  </w:t>
      </w:r>
      <w:r>
        <w:rPr>
          <w:rFonts w:ascii="Arial" w:hAnsi="Arial"/>
          <w:sz w:val="20"/>
        </w:rPr>
        <w:t>Run CHECK DATA before a Power BI refresh when configuration or history has been changed.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2C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F4E78"/>
                <w:sz w:val="19"/>
              </w:rPr>
              <w:t xml:space="preserve">Note: </w:t>
            </w:r>
            <w:r>
              <w:rPr>
                <w:rFonts w:ascii="Arial" w:hAnsi="Arial"/>
                <w:sz w:val="19"/>
              </w:rPr>
              <w:t>Power BI can read the workbook without running macros, but the Excel automation - Save Today, Manage Habits, Pause Tracking, Missing/Tracked Day actions and calendar refresh - depends on macros being allowed.</w:t>
            </w:r>
          </w:p>
        </w:tc>
      </w:tr>
    </w:tbl>
    <w:p>
      <w:pPr>
        <w:spacing w:after="0"/>
      </w:pPr>
    </w:p>
    <w:p>
      <w:pPr>
        <w:pStyle w:val="Heading2"/>
      </w:pPr>
      <w:r>
        <w:t>1.2 Power BI - first use or moving the files</w:t>
      </w:r>
    </w:p>
    <w:p>
      <w:pPr>
        <w:spacing w:after="80"/>
        <w:ind w:left="259" w:hanging="259"/>
      </w:pPr>
      <w:r>
        <w:rPr>
          <w:rFonts w:ascii="Arial" w:hAnsi="Arial"/>
          <w:sz w:val="20"/>
        </w:rPr>
        <w:t xml:space="preserve">1.  </w:t>
      </w:r>
      <w:r>
        <w:rPr>
          <w:rFonts w:ascii="Arial" w:hAnsi="Arial"/>
          <w:sz w:val="20"/>
        </w:rPr>
        <w:t>Open the Power BI .pbix file.</w:t>
      </w:r>
    </w:p>
    <w:p>
      <w:pPr>
        <w:spacing w:after="80"/>
        <w:ind w:left="259" w:hanging="259"/>
      </w:pPr>
      <w:r>
        <w:rPr>
          <w:rFonts w:ascii="Arial" w:hAnsi="Arial"/>
          <w:sz w:val="20"/>
        </w:rPr>
        <w:t xml:space="preserve">2.  </w:t>
      </w:r>
      <w:r>
        <w:rPr>
          <w:rFonts w:ascii="Arial" w:hAnsi="Arial"/>
          <w:sz w:val="20"/>
        </w:rPr>
        <w:t>Go to File &gt; Options and settings &gt; Data source settings.</w:t>
      </w:r>
    </w:p>
    <w:p>
      <w:pPr>
        <w:spacing w:after="80"/>
        <w:ind w:left="259" w:hanging="259"/>
      </w:pPr>
      <w:r>
        <w:rPr>
          <w:rFonts w:ascii="Arial" w:hAnsi="Arial"/>
          <w:sz w:val="20"/>
        </w:rPr>
        <w:t xml:space="preserve">3.  </w:t>
      </w:r>
      <w:r>
        <w:rPr>
          <w:rFonts w:ascii="Arial" w:hAnsi="Arial"/>
          <w:sz w:val="20"/>
        </w:rPr>
        <w:t>Select the Excel source and choose Change Source.</w:t>
      </w:r>
    </w:p>
    <w:p>
      <w:pPr>
        <w:spacing w:after="80"/>
        <w:ind w:left="259" w:hanging="259"/>
      </w:pPr>
      <w:r>
        <w:rPr>
          <w:rFonts w:ascii="Arial" w:hAnsi="Arial"/>
          <w:sz w:val="20"/>
        </w:rPr>
        <w:t xml:space="preserve">4.  </w:t>
      </w:r>
      <w:r>
        <w:rPr>
          <w:rFonts w:ascii="Arial" w:hAnsi="Arial"/>
          <w:sz w:val="20"/>
        </w:rPr>
        <w:t>Point Power BI to the correct .xlsm workbook.</w:t>
      </w:r>
    </w:p>
    <w:p>
      <w:pPr>
        <w:spacing w:after="80"/>
        <w:ind w:left="259" w:hanging="259"/>
      </w:pPr>
      <w:r>
        <w:rPr>
          <w:rFonts w:ascii="Arial" w:hAnsi="Arial"/>
          <w:sz w:val="20"/>
        </w:rPr>
        <w:t xml:space="preserve">5.  </w:t>
      </w:r>
      <w:r>
        <w:rPr>
          <w:rFonts w:ascii="Arial" w:hAnsi="Arial"/>
          <w:sz w:val="20"/>
        </w:rPr>
        <w:t>Choose Home &gt; Refresh.</w:t>
      </w:r>
    </w:p>
    <w:p>
      <w:pPr>
        <w:spacing w:after="80"/>
        <w:ind w:left="259" w:hanging="259"/>
      </w:pPr>
      <w:r>
        <w:rPr>
          <w:rFonts w:ascii="Arial" w:hAnsi="Arial"/>
          <w:sz w:val="20"/>
        </w:rPr>
        <w:t xml:space="preserve">6.  </w:t>
      </w:r>
      <w:r>
        <w:rPr>
          <w:rFonts w:ascii="Arial" w:hAnsi="Arial"/>
          <w:sz w:val="20"/>
        </w:rPr>
        <w:t>Confirm the Overview KPIs and the latest tracking date look sensible.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F4E78"/>
                <w:sz w:val="19"/>
              </w:rPr>
              <w:t xml:space="preserve">Note: </w:t>
            </w:r>
            <w:r>
              <w:rPr>
                <w:rFonts w:ascii="Arial" w:hAnsi="Arial"/>
                <w:sz w:val="19"/>
              </w:rPr>
              <w:t>Category and Habit slicers are intended to work across the report. Week, Month and Year slicers are page-specific.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2. Which workbook should I use?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448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8352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Purpose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22222"/>
                <w:sz w:val="19"/>
              </w:rPr>
              <w:t>Sample-data workbook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9"/>
              </w:rPr>
              <w:t>Use for demonstration, screenshots, testing and understanding the dashboard. It contains the historical example tracking data.</w:t>
            </w:r>
          </w:p>
        </w:tc>
      </w:tr>
      <w:tr>
        <w:trPr>
          <w:cantSplit/>
        </w:trPr>
        <w:tc>
          <w:tcPr>
            <w:tcW w:type="dxa" w:w="2448"/>
            <w:shd w:fill="EAF2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22222"/>
                <w:sz w:val="19"/>
              </w:rPr>
              <w:t>Starter workbook</w:t>
            </w:r>
          </w:p>
        </w:tc>
        <w:tc>
          <w:tcPr>
            <w:tcW w:type="dxa" w:w="8352"/>
            <w:shd w:fill="EAF2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9"/>
              </w:rPr>
              <w:t>Use for a new person. The tracker structure, habits, targets, schedules, VBA and Power BI table names are retained, but tracking history is reset.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2C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F4E78"/>
                <w:sz w:val="19"/>
              </w:rPr>
              <w:t xml:space="preserve">Note: </w:t>
            </w:r>
            <w:r>
              <w:rPr>
                <w:rFonts w:ascii="Arial" w:hAnsi="Arial"/>
                <w:sz w:val="19"/>
              </w:rPr>
              <w:t>The supplied starter copy was initialized for the current handoff date. If the same starter file is distributed much later, create a fresh reset copy or update its start/effective dates so old dates are not interpreted as missing tracking days.</w:t>
            </w:r>
          </w:p>
        </w:tc>
      </w:tr>
    </w:tbl>
    <w:p>
      <w:pPr>
        <w:spacing w:after="0"/>
      </w:pPr>
    </w:p>
    <w:p>
      <w:pPr>
        <w:pStyle w:val="Heading1"/>
      </w:pPr>
      <w:r>
        <w:t>3. Daily Excel workflow</w:t>
      </w:r>
    </w:p>
    <w:p>
      <w:pPr>
        <w:pStyle w:val="Heading2"/>
      </w:pPr>
      <w:r>
        <w:t>3.1 Log today</w:t>
      </w:r>
    </w:p>
    <w:p>
      <w:pPr>
        <w:spacing w:after="80"/>
        <w:ind w:left="259" w:hanging="259"/>
      </w:pPr>
      <w:r>
        <w:rPr>
          <w:rFonts w:ascii="Arial" w:hAnsi="Arial"/>
          <w:sz w:val="20"/>
        </w:rPr>
        <w:t xml:space="preserve">1.  </w:t>
      </w:r>
      <w:r>
        <w:rPr>
          <w:rFonts w:ascii="Arial" w:hAnsi="Arial"/>
          <w:sz w:val="20"/>
        </w:rPr>
        <w:t>From Home, choose LOG TODAY.</w:t>
      </w:r>
    </w:p>
    <w:p>
      <w:pPr>
        <w:spacing w:after="80"/>
        <w:ind w:left="259" w:hanging="259"/>
      </w:pPr>
      <w:r>
        <w:rPr>
          <w:rFonts w:ascii="Arial" w:hAnsi="Arial"/>
          <w:sz w:val="20"/>
        </w:rPr>
        <w:t xml:space="preserve">2.  </w:t>
      </w:r>
      <w:r>
        <w:rPr>
          <w:rFonts w:ascii="Arial" w:hAnsi="Arial"/>
          <w:sz w:val="20"/>
        </w:rPr>
        <w:t>Check the Date at the top of the page.</w:t>
      </w:r>
    </w:p>
    <w:p>
      <w:pPr>
        <w:spacing w:after="80"/>
        <w:ind w:left="259" w:hanging="259"/>
      </w:pPr>
      <w:r>
        <w:rPr>
          <w:rFonts w:ascii="Arial" w:hAnsi="Arial"/>
          <w:sz w:val="20"/>
        </w:rPr>
        <w:t xml:space="preserve">3.  </w:t>
      </w:r>
      <w:r>
        <w:rPr>
          <w:rFonts w:ascii="Arial" w:hAnsi="Arial"/>
          <w:sz w:val="20"/>
        </w:rPr>
        <w:t>Enter each habit result in the Entry column. The habit, category, goal and unit are shown alongside it.</w:t>
      </w:r>
    </w:p>
    <w:p>
      <w:pPr>
        <w:spacing w:after="80"/>
        <w:ind w:left="259" w:hanging="259"/>
      </w:pPr>
      <w:r>
        <w:rPr>
          <w:rFonts w:ascii="Arial" w:hAnsi="Arial"/>
          <w:sz w:val="20"/>
        </w:rPr>
        <w:t xml:space="preserve">4.  </w:t>
      </w:r>
      <w:r>
        <w:rPr>
          <w:rFonts w:ascii="Arial" w:hAnsi="Arial"/>
          <w:sz w:val="20"/>
        </w:rPr>
        <w:t>Add a note only when it is useful for context.</w:t>
      </w:r>
    </w:p>
    <w:p>
      <w:pPr>
        <w:spacing w:after="80"/>
        <w:ind w:left="259" w:hanging="259"/>
      </w:pPr>
      <w:r>
        <w:rPr>
          <w:rFonts w:ascii="Arial" w:hAnsi="Arial"/>
          <w:sz w:val="20"/>
        </w:rPr>
        <w:t xml:space="preserve">5.  </w:t>
      </w:r>
      <w:r>
        <w:rPr>
          <w:rFonts w:ascii="Arial" w:hAnsi="Arial"/>
          <w:sz w:val="20"/>
        </w:rPr>
        <w:t>Choose SAVE TODAY. The first save records Logged At; later changes update Updated At.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44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Entry</w:t>
            </w:r>
          </w:p>
        </w:tc>
        <w:tc>
          <w:tcPr>
            <w:tcW w:type="dxa" w:w="4464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Use it when...</w:t>
            </w:r>
          </w:p>
        </w:tc>
        <w:tc>
          <w:tcPr>
            <w:tcW w:type="dxa" w:w="4896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Effect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22222"/>
                <w:sz w:val="18"/>
              </w:rPr>
              <w:t>A number</w:t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8"/>
              </w:rPr>
              <w:t>The habit uses a numeric measure, such as hours, reps or minutes.</w:t>
            </w:r>
          </w:p>
        </w:tc>
        <w:tc>
          <w:tcPr>
            <w:tcW w:type="dxa" w:w="48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8"/>
              </w:rPr>
              <w:t>The actual value is compared with the goal that applied on that date.</w:t>
            </w:r>
          </w:p>
        </w:tc>
      </w:tr>
      <w:tr>
        <w:trPr>
          <w:cantSplit/>
        </w:trPr>
        <w:tc>
          <w:tcPr>
            <w:tcW w:type="dxa" w:w="1440"/>
            <w:shd w:fill="EAF2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22222"/>
                <w:sz w:val="18"/>
              </w:rPr>
              <w:t>Yes / No</w:t>
            </w:r>
          </w:p>
        </w:tc>
        <w:tc>
          <w:tcPr>
            <w:tcW w:type="dxa" w:w="4464"/>
            <w:shd w:fill="EAF2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8"/>
              </w:rPr>
              <w:t>The habit uses a binary measure.</w:t>
            </w:r>
          </w:p>
        </w:tc>
        <w:tc>
          <w:tcPr>
            <w:tcW w:type="dxa" w:w="4896"/>
            <w:shd w:fill="EAF2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8"/>
              </w:rPr>
              <w:t>Yes can meet the target; No records an attempted result that did not meet it.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22222"/>
                <w:sz w:val="18"/>
              </w:rPr>
              <w:t>Rest</w:t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8"/>
              </w:rPr>
              <w:t>The habit is intentionally a non-opportunity for that date.</w:t>
            </w:r>
          </w:p>
        </w:tc>
        <w:tc>
          <w:tcPr>
            <w:tcW w:type="dxa" w:w="48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8"/>
              </w:rPr>
              <w:t>It is not treated as a miss and is excluded from scheduled-opportunity performance.</w:t>
            </w:r>
          </w:p>
        </w:tc>
      </w:tr>
      <w:tr>
        <w:trPr>
          <w:cantSplit/>
        </w:trPr>
        <w:tc>
          <w:tcPr>
            <w:tcW w:type="dxa" w:w="1440"/>
            <w:shd w:fill="EAF2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22222"/>
                <w:sz w:val="18"/>
              </w:rPr>
              <w:t>Skip</w:t>
            </w:r>
          </w:p>
        </w:tc>
        <w:tc>
          <w:tcPr>
            <w:tcW w:type="dxa" w:w="4464"/>
            <w:shd w:fill="EAF2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8"/>
              </w:rPr>
              <w:t>The habit was expected, but you deliberately did not do it.</w:t>
            </w:r>
          </w:p>
        </w:tc>
        <w:tc>
          <w:tcPr>
            <w:tcW w:type="dxa" w:w="4896"/>
            <w:shd w:fill="EAF2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8"/>
              </w:rPr>
              <w:t>It remains a scheduled opportunity and counts against strict adherence.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2C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F4E78"/>
                <w:sz w:val="19"/>
              </w:rPr>
              <w:t xml:space="preserve">Key distinction: </w:t>
            </w:r>
            <w:r>
              <w:rPr>
                <w:rFonts w:ascii="Arial" w:hAnsi="Arial"/>
                <w:sz w:val="19"/>
              </w:rPr>
              <w:t>Rest and Skip are not the same. Rest means the habit was not an expected opportunity. Skip means it was expected but intentionally not completed.</w:t>
            </w:r>
          </w:p>
        </w:tc>
      </w:tr>
    </w:tbl>
    <w:p>
      <w:pPr>
        <w:spacing w:after="0"/>
      </w:pPr>
    </w:p>
    <w:p>
      <w:pPr>
        <w:pStyle w:val="Heading2"/>
      </w:pPr>
      <w:r>
        <w:t>3.2 Backfill or edit a previous day</w:t>
      </w:r>
    </w:p>
    <w:p>
      <w:pPr/>
      <w:r>
        <w:t>Use Missing Days or Tracked Days, select the date, then choose OPEN SELECTED DAY. Enter or edit the actual habit results and save. Do not use a tracking override to invent habit performance; overrides are for tracking consistency only.</w:t>
      </w:r>
    </w:p>
    <w:p>
      <w:pPr>
        <w:pStyle w:val="Heading1"/>
      </w:pPr>
      <w:r>
        <w:t>4. Managing habits, goals and schedules</w:t>
      </w:r>
    </w:p>
    <w:p>
      <w:pPr>
        <w:pStyle w:val="Heading2"/>
      </w:pPr>
      <w:r>
        <w:t>4.1 Add a new habit</w:t>
      </w:r>
    </w:p>
    <w:p>
      <w:pPr>
        <w:spacing w:after="80"/>
        <w:ind w:left="259" w:hanging="259"/>
      </w:pPr>
      <w:r>
        <w:rPr>
          <w:rFonts w:ascii="Arial" w:hAnsi="Arial"/>
          <w:sz w:val="20"/>
        </w:rPr>
        <w:t xml:space="preserve">1.  </w:t>
      </w:r>
      <w:r>
        <w:rPr>
          <w:rFonts w:ascii="Arial" w:hAnsi="Arial"/>
          <w:sz w:val="20"/>
        </w:rPr>
        <w:t>Open MANAGE HABITS from Home.</w:t>
      </w:r>
    </w:p>
    <w:p>
      <w:pPr>
        <w:spacing w:after="80"/>
        <w:ind w:left="259" w:hanging="259"/>
      </w:pPr>
      <w:r>
        <w:rPr>
          <w:rFonts w:ascii="Arial" w:hAnsi="Arial"/>
          <w:sz w:val="20"/>
        </w:rPr>
        <w:t xml:space="preserve">2.  </w:t>
      </w:r>
      <w:r>
        <w:rPr>
          <w:rFonts w:ascii="Arial" w:hAnsi="Arial"/>
          <w:sz w:val="20"/>
        </w:rPr>
        <w:t>Choose NEW HABIT.</w:t>
      </w:r>
    </w:p>
    <w:p>
      <w:pPr>
        <w:spacing w:after="80"/>
        <w:ind w:left="259" w:hanging="259"/>
      </w:pPr>
      <w:r>
        <w:rPr>
          <w:rFonts w:ascii="Arial" w:hAnsi="Arial"/>
          <w:sz w:val="20"/>
        </w:rPr>
        <w:t xml:space="preserve">3.  </w:t>
      </w:r>
      <w:r>
        <w:rPr>
          <w:rFonts w:ascii="Arial" w:hAnsi="Arial"/>
          <w:sz w:val="20"/>
        </w:rPr>
        <w:t>Enter the Name, Category, Measure and Unit.</w:t>
      </w:r>
    </w:p>
    <w:p>
      <w:pPr>
        <w:spacing w:after="80"/>
        <w:ind w:left="259" w:hanging="259"/>
      </w:pPr>
      <w:r>
        <w:rPr>
          <w:rFonts w:ascii="Arial" w:hAnsi="Arial"/>
          <w:sz w:val="20"/>
        </w:rPr>
        <w:t xml:space="preserve">4.  </w:t>
      </w:r>
      <w:r>
        <w:rPr>
          <w:rFonts w:ascii="Arial" w:hAnsi="Arial"/>
          <w:sz w:val="20"/>
        </w:rPr>
        <w:t>Choose the Goal type and enter the goal value. Use Upper goal when the goal type requires a range.</w:t>
      </w:r>
    </w:p>
    <w:p>
      <w:pPr>
        <w:spacing w:after="80"/>
        <w:ind w:left="259" w:hanging="259"/>
      </w:pPr>
      <w:r>
        <w:rPr>
          <w:rFonts w:ascii="Arial" w:hAnsi="Arial"/>
          <w:sz w:val="20"/>
        </w:rPr>
        <w:t xml:space="preserve">5.  </w:t>
      </w:r>
      <w:r>
        <w:rPr>
          <w:rFonts w:ascii="Arial" w:hAnsi="Arial"/>
          <w:sz w:val="20"/>
        </w:rPr>
        <w:t>Choose whether the habit is included in dashboard overall calculations.</w:t>
      </w:r>
    </w:p>
    <w:p>
      <w:pPr>
        <w:spacing w:after="80"/>
        <w:ind w:left="259" w:hanging="259"/>
      </w:pPr>
      <w:r>
        <w:rPr>
          <w:rFonts w:ascii="Arial" w:hAnsi="Arial"/>
          <w:sz w:val="20"/>
        </w:rPr>
        <w:t xml:space="preserve">6.  </w:t>
      </w:r>
      <w:r>
        <w:rPr>
          <w:rFonts w:ascii="Arial" w:hAnsi="Arial"/>
          <w:sz w:val="20"/>
        </w:rPr>
        <w:t>Set Changes from to the date the habit should begin.</w:t>
      </w:r>
    </w:p>
    <w:p>
      <w:pPr>
        <w:spacing w:after="80"/>
        <w:ind w:left="259" w:hanging="259"/>
      </w:pPr>
      <w:r>
        <w:rPr>
          <w:rFonts w:ascii="Arial" w:hAnsi="Arial"/>
          <w:sz w:val="20"/>
        </w:rPr>
        <w:t xml:space="preserve">7.  </w:t>
      </w:r>
      <w:r>
        <w:rPr>
          <w:rFonts w:ascii="Arial" w:hAnsi="Arial"/>
          <w:sz w:val="20"/>
        </w:rPr>
        <w:t>Choose the schedule (Every day or Custom) and, for Custom, select the required weekdays.</w:t>
      </w:r>
    </w:p>
    <w:p>
      <w:pPr>
        <w:spacing w:after="80"/>
        <w:ind w:left="259" w:hanging="259"/>
      </w:pPr>
      <w:r>
        <w:rPr>
          <w:rFonts w:ascii="Arial" w:hAnsi="Arial"/>
          <w:sz w:val="20"/>
        </w:rPr>
        <w:t xml:space="preserve">8.  </w:t>
      </w:r>
      <w:r>
        <w:rPr>
          <w:rFonts w:ascii="Arial" w:hAnsi="Arial"/>
          <w:sz w:val="20"/>
        </w:rPr>
        <w:t>Choose SAVE CHANGES.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88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Setting</w:t>
            </w:r>
          </w:p>
        </w:tc>
        <w:tc>
          <w:tcPr>
            <w:tcW w:type="dxa" w:w="792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Meaning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22222"/>
                <w:sz w:val="18"/>
              </w:rPr>
              <w:t>Name</w:t>
            </w:r>
          </w:p>
        </w:tc>
        <w:tc>
          <w:tcPr>
            <w:tcW w:type="dxa" w:w="79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8"/>
              </w:rPr>
              <w:t>The label displayed in Excel and Power BI.</w:t>
            </w:r>
          </w:p>
        </w:tc>
      </w:tr>
      <w:tr>
        <w:trPr>
          <w:cantSplit/>
        </w:trPr>
        <w:tc>
          <w:tcPr>
            <w:tcW w:type="dxa" w:w="2880"/>
            <w:shd w:fill="EAF2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22222"/>
                <w:sz w:val="18"/>
              </w:rPr>
              <w:t>Category</w:t>
            </w:r>
          </w:p>
        </w:tc>
        <w:tc>
          <w:tcPr>
            <w:tcW w:type="dxa" w:w="7920"/>
            <w:shd w:fill="EAF2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8"/>
              </w:rPr>
              <w:t>Groups related habits for filtering and category analysis.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22222"/>
                <w:sz w:val="18"/>
              </w:rPr>
              <w:t>Measure</w:t>
            </w:r>
          </w:p>
        </w:tc>
        <w:tc>
          <w:tcPr>
            <w:tcW w:type="dxa" w:w="79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8"/>
              </w:rPr>
              <w:t>The type of value entered, such as Number or Yes/No.</w:t>
            </w:r>
          </w:p>
        </w:tc>
      </w:tr>
      <w:tr>
        <w:trPr>
          <w:cantSplit/>
        </w:trPr>
        <w:tc>
          <w:tcPr>
            <w:tcW w:type="dxa" w:w="2880"/>
            <w:shd w:fill="EAF2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22222"/>
                <w:sz w:val="18"/>
              </w:rPr>
              <w:t>Unit</w:t>
            </w:r>
          </w:p>
        </w:tc>
        <w:tc>
          <w:tcPr>
            <w:tcW w:type="dxa" w:w="7920"/>
            <w:shd w:fill="EAF2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8"/>
              </w:rPr>
              <w:t>Display unit such as Hours, Reps or Minutes.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22222"/>
                <w:sz w:val="18"/>
              </w:rPr>
              <w:t>Goal type</w:t>
            </w:r>
          </w:p>
        </w:tc>
        <w:tc>
          <w:tcPr>
            <w:tcW w:type="dxa" w:w="79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8"/>
              </w:rPr>
              <w:t>How actual values are evaluated: at least, at most, exact or range.</w:t>
            </w:r>
          </w:p>
        </w:tc>
      </w:tr>
      <w:tr>
        <w:trPr>
          <w:cantSplit/>
        </w:trPr>
        <w:tc>
          <w:tcPr>
            <w:tcW w:type="dxa" w:w="2880"/>
            <w:shd w:fill="EAF2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22222"/>
                <w:sz w:val="18"/>
              </w:rPr>
              <w:t>Goal / Upper goal</w:t>
            </w:r>
          </w:p>
        </w:tc>
        <w:tc>
          <w:tcPr>
            <w:tcW w:type="dxa" w:w="7920"/>
            <w:shd w:fill="EAF2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8"/>
              </w:rPr>
              <w:t>The applicable threshold or range.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22222"/>
                <w:sz w:val="18"/>
              </w:rPr>
              <w:t>Include in dashboard</w:t>
            </w:r>
          </w:p>
        </w:tc>
        <w:tc>
          <w:tcPr>
            <w:tcW w:type="dxa" w:w="79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8"/>
              </w:rPr>
              <w:t>Controls whether the habit is included in overall calculations.</w:t>
            </w:r>
          </w:p>
        </w:tc>
      </w:tr>
      <w:tr>
        <w:trPr>
          <w:cantSplit/>
        </w:trPr>
        <w:tc>
          <w:tcPr>
            <w:tcW w:type="dxa" w:w="2880"/>
            <w:shd w:fill="EAF2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22222"/>
                <w:sz w:val="18"/>
              </w:rPr>
              <w:t>Changes from</w:t>
            </w:r>
          </w:p>
        </w:tc>
        <w:tc>
          <w:tcPr>
            <w:tcW w:type="dxa" w:w="7920"/>
            <w:shd w:fill="EAF2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8"/>
              </w:rPr>
              <w:t>The effective date for a new target or schedule.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22222"/>
                <w:sz w:val="18"/>
              </w:rPr>
              <w:t>Schedule</w:t>
            </w:r>
          </w:p>
        </w:tc>
        <w:tc>
          <w:tcPr>
            <w:tcW w:type="dxa" w:w="79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8"/>
              </w:rPr>
              <w:t>Which days count as planned opportunities.</w:t>
            </w:r>
          </w:p>
        </w:tc>
      </w:tr>
    </w:tbl>
    <w:p>
      <w:pPr>
        <w:spacing w:after="0"/>
      </w:pPr>
    </w:p>
    <w:p>
      <w:pPr>
        <w:pStyle w:val="Heading2"/>
      </w:pPr>
      <w:r>
        <w:t>4.2 Change a goal or schedule</w:t>
      </w:r>
    </w:p>
    <w:p>
      <w:r>
        <w:t>Load the habit, make the change, set Changes from, then save. The workbook creates dated target/schedule history so old results keep the rules that applied at the time. Historical results are not rewritten simply because today's target changes.</w:t>
      </w:r>
    </w:p>
    <w:p>
      <w:pPr>
        <w:pStyle w:val="Heading2"/>
      </w:pPr>
      <w:r>
        <w:t>4.3 Stop tracking a habit</w:t>
      </w:r>
    </w:p>
    <w:p>
      <w:r>
        <w:t>Load the habit and choose STOP TRACKING. The habit is end-dated rather than deleted, preserving its historical records and allowing old Power BI results to remain valid.</w:t>
      </w:r>
    </w:p>
    <w:p>
      <w:pPr>
        <w:pStyle w:val="Heading1"/>
      </w:pPr>
      <w:r>
        <w:t>5. Missing, tracked and paused days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728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Status / control</w:t>
            </w:r>
          </w:p>
        </w:tc>
        <w:tc>
          <w:tcPr>
            <w:tcW w:type="dxa" w:w="432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Meaning</w:t>
            </w:r>
          </w:p>
        </w:tc>
        <w:tc>
          <w:tcPr>
            <w:tcW w:type="dxa" w:w="4752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What to do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22222"/>
                <w:sz w:val="18"/>
              </w:rPr>
              <w:t>Tracked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8"/>
              </w:rPr>
              <w:t>The calendar sees the day as tracked.</w:t>
            </w:r>
          </w:p>
        </w:tc>
        <w:tc>
          <w:tcPr>
            <w:tcW w:type="dxa" w:w="47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8"/>
              </w:rPr>
              <w:t>Normally no action is needed. Use OPEN SELECTED DAY to review/edit habit entries.</w:t>
            </w:r>
          </w:p>
        </w:tc>
      </w:tr>
      <w:tr>
        <w:trPr>
          <w:cantSplit/>
        </w:trPr>
        <w:tc>
          <w:tcPr>
            <w:tcW w:type="dxa" w:w="1728"/>
            <w:shd w:fill="EAF2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22222"/>
                <w:sz w:val="18"/>
              </w:rPr>
              <w:t>Missing</w:t>
            </w:r>
          </w:p>
        </w:tc>
        <w:tc>
          <w:tcPr>
            <w:tcW w:type="dxa" w:w="4320"/>
            <w:shd w:fill="EAF2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8"/>
              </w:rPr>
              <w:t>The day was expected for tracking but has no qualifying saved log.</w:t>
            </w:r>
          </w:p>
        </w:tc>
        <w:tc>
          <w:tcPr>
            <w:tcW w:type="dxa" w:w="4752"/>
            <w:shd w:fill="EAF2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8"/>
              </w:rPr>
              <w:t>Open the day and enter the actual habit results, or use an override only if the tracking status itself is wrong.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22222"/>
                <w:sz w:val="18"/>
              </w:rPr>
              <w:t>Paused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8"/>
              </w:rPr>
              <w:t>A deliberate break such as holiday or illness.</w:t>
            </w:r>
          </w:p>
        </w:tc>
        <w:tc>
          <w:tcPr>
            <w:tcW w:type="dxa" w:w="47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8"/>
              </w:rPr>
              <w:t>Use PAUSE TRACKING with a start date, end date and reason.</w:t>
            </w:r>
          </w:p>
        </w:tc>
      </w:tr>
      <w:tr>
        <w:trPr>
          <w:cantSplit/>
        </w:trPr>
        <w:tc>
          <w:tcPr>
            <w:tcW w:type="dxa" w:w="1728"/>
            <w:shd w:fill="EAF2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22222"/>
                <w:sz w:val="18"/>
              </w:rPr>
              <w:t>Override</w:t>
            </w:r>
          </w:p>
        </w:tc>
        <w:tc>
          <w:tcPr>
            <w:tcW w:type="dxa" w:w="4320"/>
            <w:shd w:fill="EAF2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8"/>
              </w:rPr>
              <w:t>A manual correction to tracking status.</w:t>
            </w:r>
          </w:p>
        </w:tc>
        <w:tc>
          <w:tcPr>
            <w:tcW w:type="dxa" w:w="4752"/>
            <w:shd w:fill="EAF2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8"/>
              </w:rPr>
              <w:t>Use only when the calculated tracking status is wrong. It does not create habit performance.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F4E78"/>
                <w:sz w:val="19"/>
              </w:rPr>
              <w:t xml:space="preserve">Note: </w:t>
            </w:r>
            <w:r>
              <w:rPr>
                <w:rFonts w:ascii="Arial" w:hAnsi="Arial"/>
                <w:sz w:val="19"/>
              </w:rPr>
              <w:t>Paused days remain in the calendar and history but are excluded from expected tracking days. Pausing does not delete existing habit entries or create artificial results.</w:t>
            </w:r>
          </w:p>
        </w:tc>
      </w:tr>
    </w:tbl>
    <w:p>
      <w:pPr>
        <w:spacing w:after="0"/>
      </w:pPr>
    </w:p>
    <w:p>
      <w:pPr>
        <w:pStyle w:val="Heading1"/>
      </w:pPr>
      <w:r>
        <w:t>6. Data checks and refresh</w:t>
      </w:r>
    </w:p>
    <w:p>
      <w:pPr>
        <w:pStyle w:val="Heading2"/>
      </w:pPr>
      <w:r>
        <w:t>6.1 Data Check page</w:t>
      </w:r>
    </w:p>
    <w:p>
      <w:r>
        <w:t>Run CHECK DATA before refreshing Power BI after structural changes. A clean run should show OK / 0 for every check.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3456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Check</w:t>
            </w:r>
          </w:p>
        </w:tc>
        <w:tc>
          <w:tcPr>
            <w:tcW w:type="dxa" w:w="7344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Why it matters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22222"/>
                <w:sz w:val="18"/>
              </w:rPr>
              <w:t>Duplicate Date + Habit</w:t>
            </w:r>
          </w:p>
        </w:tc>
        <w:tc>
          <w:tcPr>
            <w:tcW w:type="dxa" w:w="73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8"/>
              </w:rPr>
              <w:t>A habit should have only one saved result for a date.</w:t>
            </w:r>
          </w:p>
        </w:tc>
      </w:tr>
      <w:tr>
        <w:trPr>
          <w:cantSplit/>
        </w:trPr>
        <w:tc>
          <w:tcPr>
            <w:tcW w:type="dxa" w:w="3456"/>
            <w:shd w:fill="EAF2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22222"/>
                <w:sz w:val="18"/>
              </w:rPr>
              <w:t>Duplicate Habit IDs</w:t>
            </w:r>
          </w:p>
        </w:tc>
        <w:tc>
          <w:tcPr>
            <w:tcW w:type="dxa" w:w="7344"/>
            <w:shd w:fill="EAF2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8"/>
              </w:rPr>
              <w:t>Habit IDs are permanent technical keys and must remain unique.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22222"/>
                <w:sz w:val="18"/>
              </w:rPr>
              <w:t>Active habits missing target</w:t>
            </w:r>
          </w:p>
        </w:tc>
        <w:tc>
          <w:tcPr>
            <w:tcW w:type="dxa" w:w="73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8"/>
              </w:rPr>
              <w:t>Every active habit needs a target that applies to the date.</w:t>
            </w:r>
          </w:p>
        </w:tc>
      </w:tr>
      <w:tr>
        <w:trPr>
          <w:cantSplit/>
        </w:trPr>
        <w:tc>
          <w:tcPr>
            <w:tcW w:type="dxa" w:w="3456"/>
            <w:shd w:fill="EAF2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22222"/>
                <w:sz w:val="18"/>
              </w:rPr>
              <w:t>Active habits missing schedule</w:t>
            </w:r>
          </w:p>
        </w:tc>
        <w:tc>
          <w:tcPr>
            <w:tcW w:type="dxa" w:w="7344"/>
            <w:shd w:fill="EAF2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8"/>
              </w:rPr>
              <w:t>Every active habit needs an applicable schedule.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22222"/>
                <w:sz w:val="18"/>
              </w:rPr>
              <w:t>Overlapping target periods</w:t>
            </w:r>
          </w:p>
        </w:tc>
        <w:tc>
          <w:tcPr>
            <w:tcW w:type="dxa" w:w="73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8"/>
              </w:rPr>
              <w:t>Two targets must not apply to the same habit/date.</w:t>
            </w:r>
          </w:p>
        </w:tc>
      </w:tr>
      <w:tr>
        <w:trPr>
          <w:cantSplit/>
        </w:trPr>
        <w:tc>
          <w:tcPr>
            <w:tcW w:type="dxa" w:w="3456"/>
            <w:shd w:fill="EAF2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22222"/>
                <w:sz w:val="18"/>
              </w:rPr>
              <w:t>Overlapping schedule periods</w:t>
            </w:r>
          </w:p>
        </w:tc>
        <w:tc>
          <w:tcPr>
            <w:tcW w:type="dxa" w:w="7344"/>
            <w:shd w:fill="EAF2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8"/>
              </w:rPr>
              <w:t>Two schedules must not apply to the same habit/date.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22222"/>
                <w:sz w:val="18"/>
              </w:rPr>
              <w:t>Invalid history date ranges</w:t>
            </w:r>
          </w:p>
        </w:tc>
        <w:tc>
          <w:tcPr>
            <w:tcW w:type="dxa" w:w="73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8"/>
              </w:rPr>
              <w:t>Effective To must not be earlier than Effective From.</w:t>
            </w:r>
          </w:p>
        </w:tc>
      </w:tr>
    </w:tbl>
    <w:p>
      <w:pPr>
        <w:spacing w:after="0"/>
      </w:pPr>
    </w:p>
    <w:p>
      <w:pPr>
        <w:pStyle w:val="Heading2"/>
      </w:pPr>
      <w:r>
        <w:t>6.2 Recommended refresh sequence</w:t>
      </w:r>
    </w:p>
    <w:p>
      <w:pPr>
        <w:spacing w:after="80"/>
        <w:ind w:left="259" w:hanging="259"/>
      </w:pPr>
      <w:r>
        <w:rPr>
          <w:rFonts w:ascii="Arial" w:hAnsi="Arial"/>
          <w:sz w:val="20"/>
        </w:rPr>
        <w:t xml:space="preserve">1.  </w:t>
      </w:r>
      <w:r>
        <w:rPr>
          <w:rFonts w:ascii="Arial" w:hAnsi="Arial"/>
          <w:sz w:val="20"/>
        </w:rPr>
        <w:t>Open Excel and allow macros.</w:t>
      </w:r>
    </w:p>
    <w:p>
      <w:pPr>
        <w:spacing w:after="80"/>
        <w:ind w:left="259" w:hanging="259"/>
      </w:pPr>
      <w:r>
        <w:rPr>
          <w:rFonts w:ascii="Arial" w:hAnsi="Arial"/>
          <w:sz w:val="20"/>
        </w:rPr>
        <w:t xml:space="preserve">2.  </w:t>
      </w:r>
      <w:r>
        <w:rPr>
          <w:rFonts w:ascii="Arial" w:hAnsi="Arial"/>
          <w:sz w:val="20"/>
        </w:rPr>
        <w:t>Complete/confirm the daily log or configuration changes.</w:t>
      </w:r>
    </w:p>
    <w:p>
      <w:pPr>
        <w:spacing w:after="80"/>
        <w:ind w:left="259" w:hanging="259"/>
      </w:pPr>
      <w:r>
        <w:rPr>
          <w:rFonts w:ascii="Arial" w:hAnsi="Arial"/>
          <w:sz w:val="20"/>
        </w:rPr>
        <w:t xml:space="preserve">3.  </w:t>
      </w:r>
      <w:r>
        <w:rPr>
          <w:rFonts w:ascii="Arial" w:hAnsi="Arial"/>
          <w:sz w:val="20"/>
        </w:rPr>
        <w:t>Run Data Check if anything structural changed.</w:t>
      </w:r>
    </w:p>
    <w:p>
      <w:pPr>
        <w:spacing w:after="80"/>
        <w:ind w:left="259" w:hanging="259"/>
      </w:pPr>
      <w:r>
        <w:rPr>
          <w:rFonts w:ascii="Arial" w:hAnsi="Arial"/>
          <w:sz w:val="20"/>
        </w:rPr>
        <w:t xml:space="preserve">4.  </w:t>
      </w:r>
      <w:r>
        <w:rPr>
          <w:rFonts w:ascii="Arial" w:hAnsi="Arial"/>
          <w:sz w:val="20"/>
        </w:rPr>
        <w:t>Save and close Excel.</w:t>
      </w:r>
    </w:p>
    <w:p>
      <w:pPr>
        <w:spacing w:after="80"/>
        <w:ind w:left="259" w:hanging="259"/>
      </w:pPr>
      <w:r>
        <w:rPr>
          <w:rFonts w:ascii="Arial" w:hAnsi="Arial"/>
          <w:sz w:val="20"/>
        </w:rPr>
        <w:t xml:space="preserve">5.  </w:t>
      </w:r>
      <w:r>
        <w:rPr>
          <w:rFonts w:ascii="Arial" w:hAnsi="Arial"/>
          <w:sz w:val="20"/>
        </w:rPr>
        <w:t>Open Power BI and choose Refresh.</w:t>
      </w:r>
    </w:p>
    <w:p>
      <w:pPr>
        <w:spacing w:after="80"/>
        <w:ind w:left="259" w:hanging="259"/>
      </w:pPr>
      <w:r>
        <w:rPr>
          <w:rFonts w:ascii="Arial" w:hAnsi="Arial"/>
          <w:sz w:val="20"/>
        </w:rPr>
        <w:t xml:space="preserve">6.  </w:t>
      </w:r>
      <w:r>
        <w:rPr>
          <w:rFonts w:ascii="Arial" w:hAnsi="Arial"/>
          <w:sz w:val="20"/>
        </w:rPr>
        <w:t>Check the latest date, Tracking Rate and Missing Days for reasonableness.</w:t>
      </w:r>
    </w:p>
    <w:p>
      <w:pPr>
        <w:pStyle w:val="Heading1"/>
      </w:pPr>
      <w:r>
        <w:t>7. What the measures mean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232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Dashboard label</w:t>
            </w:r>
          </w:p>
        </w:tc>
        <w:tc>
          <w:tcPr>
            <w:tcW w:type="dxa" w:w="3024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Power BI measure</w:t>
            </w:r>
          </w:p>
        </w:tc>
        <w:tc>
          <w:tcPr>
            <w:tcW w:type="dxa" w:w="5544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Meaning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22222"/>
                <w:sz w:val="17"/>
              </w:rPr>
              <w:t>Tracking Rate</w:t>
            </w:r>
          </w:p>
        </w:tc>
        <w:tc>
          <w:tcPr>
            <w:tcW w:type="dxa" w:w="30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[Tracking Rate]</w:t>
            </w:r>
          </w:p>
        </w:tc>
        <w:tc>
          <w:tcPr>
            <w:tcW w:type="dxa" w:w="55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Days Tracked / (Days Tracked + Missing Days). Paused days are excluded from the expected-day denominator.</w:t>
            </w:r>
          </w:p>
        </w:tc>
      </w:tr>
      <w:tr>
        <w:trPr>
          <w:cantSplit/>
        </w:trPr>
        <w:tc>
          <w:tcPr>
            <w:tcW w:type="dxa" w:w="2232"/>
            <w:shd w:fill="EAF2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22222"/>
                <w:sz w:val="17"/>
              </w:rPr>
              <w:t>Target Hit Rate</w:t>
            </w:r>
          </w:p>
        </w:tc>
        <w:tc>
          <w:tcPr>
            <w:tcW w:type="dxa" w:w="3024"/>
            <w:shd w:fill="EAF2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[Target Hit Rate]</w:t>
            </w:r>
          </w:p>
        </w:tc>
        <w:tc>
          <w:tcPr>
            <w:tcW w:type="dxa" w:w="5544"/>
            <w:shd w:fill="EAF2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Strict adherence rate across scheduled/evaluable opportunities. Missed attempts, skips and untracked scheduled opportunities reduce the rate.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22222"/>
                <w:sz w:val="17"/>
              </w:rPr>
              <w:t>Logged Target Hit Rate</w:t>
            </w:r>
          </w:p>
        </w:tc>
        <w:tc>
          <w:tcPr>
            <w:tcW w:type="dxa" w:w="30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[Logged Target Hit Rate]</w:t>
            </w:r>
          </w:p>
        </w:tc>
        <w:tc>
          <w:tcPr>
            <w:tcW w:type="dxa" w:w="55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Hit rate only for scheduled opportunities actually logged as Track. It separates quality of attempted performance from missing/skip behaviour.</w:t>
            </w:r>
          </w:p>
        </w:tc>
      </w:tr>
      <w:tr>
        <w:trPr>
          <w:cantSplit/>
        </w:trPr>
        <w:tc>
          <w:tcPr>
            <w:tcW w:type="dxa" w:w="2232"/>
            <w:shd w:fill="EAF2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22222"/>
                <w:sz w:val="17"/>
              </w:rPr>
              <w:t>Achievement</w:t>
            </w:r>
          </w:p>
        </w:tc>
        <w:tc>
          <w:tcPr>
            <w:tcW w:type="dxa" w:w="3024"/>
            <w:shd w:fill="EAF2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[Opportunity Achievement %]</w:t>
            </w:r>
          </w:p>
        </w:tc>
        <w:tc>
          <w:tcPr>
            <w:tcW w:type="dxa" w:w="5544"/>
            <w:shd w:fill="EAF2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Average capped progress toward the target across scheduled opportunities. Partial progress can contribute; skipped/untracked opportunities contribute zero.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22222"/>
                <w:sz w:val="17"/>
              </w:rPr>
              <w:t>Scheduled Opportunities</w:t>
            </w:r>
          </w:p>
        </w:tc>
        <w:tc>
          <w:tcPr>
            <w:tcW w:type="dxa" w:w="30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[Scheduled Opportunities]</w:t>
            </w:r>
          </w:p>
        </w:tc>
        <w:tc>
          <w:tcPr>
            <w:tcW w:type="dxa" w:w="55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Habit-date combinations that were scheduled and eligible to be evaluated.</w:t>
            </w:r>
          </w:p>
        </w:tc>
      </w:tr>
      <w:tr>
        <w:trPr>
          <w:cantSplit/>
        </w:trPr>
        <w:tc>
          <w:tcPr>
            <w:tcW w:type="dxa" w:w="2232"/>
            <w:shd w:fill="EAF2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22222"/>
                <w:sz w:val="17"/>
              </w:rPr>
              <w:t>Targets Met</w:t>
            </w:r>
          </w:p>
        </w:tc>
        <w:tc>
          <w:tcPr>
            <w:tcW w:type="dxa" w:w="3024"/>
            <w:shd w:fill="EAF2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[Targets Met]</w:t>
            </w:r>
          </w:p>
        </w:tc>
        <w:tc>
          <w:tcPr>
            <w:tcW w:type="dxa" w:w="5544"/>
            <w:shd w:fill="EAF2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Scheduled opportunities where the applicable target was achieved.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22222"/>
                <w:sz w:val="17"/>
              </w:rPr>
              <w:t>Recorded Misses</w:t>
            </w:r>
          </w:p>
        </w:tc>
        <w:tc>
          <w:tcPr>
            <w:tcW w:type="dxa" w:w="30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[Recorded Misses]</w:t>
            </w:r>
          </w:p>
        </w:tc>
        <w:tc>
          <w:tcPr>
            <w:tcW w:type="dxa" w:w="55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Scheduled Track attempts where the target was not achieved.</w:t>
            </w:r>
          </w:p>
        </w:tc>
      </w:tr>
      <w:tr>
        <w:trPr>
          <w:cantSplit/>
        </w:trPr>
        <w:tc>
          <w:tcPr>
            <w:tcW w:type="dxa" w:w="2232"/>
            <w:shd w:fill="EAF2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22222"/>
                <w:sz w:val="17"/>
              </w:rPr>
              <w:t>Skipped Opportunities</w:t>
            </w:r>
          </w:p>
        </w:tc>
        <w:tc>
          <w:tcPr>
            <w:tcW w:type="dxa" w:w="3024"/>
            <w:shd w:fill="EAF2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[Skipped Opportunities]</w:t>
            </w:r>
          </w:p>
        </w:tc>
        <w:tc>
          <w:tcPr>
            <w:tcW w:type="dxa" w:w="5544"/>
            <w:shd w:fill="EAF2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Scheduled opportunities deliberately marked Skip.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22222"/>
                <w:sz w:val="17"/>
              </w:rPr>
              <w:t>Untracked Opportunities</w:t>
            </w:r>
          </w:p>
        </w:tc>
        <w:tc>
          <w:tcPr>
            <w:tcW w:type="dxa" w:w="30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[Untracked Opportunities]</w:t>
            </w:r>
          </w:p>
        </w:tc>
        <w:tc>
          <w:tcPr>
            <w:tcW w:type="dxa" w:w="55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Scheduled opportunities with no recorded outcome.</w:t>
            </w:r>
          </w:p>
        </w:tc>
      </w:tr>
      <w:tr>
        <w:trPr>
          <w:cantSplit/>
        </w:trPr>
        <w:tc>
          <w:tcPr>
            <w:tcW w:type="dxa" w:w="2232"/>
            <w:shd w:fill="EAF2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22222"/>
                <w:sz w:val="17"/>
              </w:rPr>
              <w:t>Current Target Streak</w:t>
            </w:r>
          </w:p>
        </w:tc>
        <w:tc>
          <w:tcPr>
            <w:tcW w:type="dxa" w:w="3024"/>
            <w:shd w:fill="EAF2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[Current Target Streak]</w:t>
            </w:r>
          </w:p>
        </w:tc>
        <w:tc>
          <w:tcPr>
            <w:tcW w:type="dxa" w:w="5544"/>
            <w:shd w:fill="EAF2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Consecutive scheduled opportunities met for the selected habit. Rest/paused non-opportunities do not count; a miss, skip or untracked opportunity breaks the streak.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22222"/>
                <w:sz w:val="17"/>
              </w:rPr>
              <w:t>Best Target Streak</w:t>
            </w:r>
          </w:p>
        </w:tc>
        <w:tc>
          <w:tcPr>
            <w:tcW w:type="dxa" w:w="30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[Longest Target Streak]</w:t>
            </w:r>
          </w:p>
        </w:tc>
        <w:tc>
          <w:tcPr>
            <w:tcW w:type="dxa" w:w="55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Longest run of consecutive target hits for the selected habit.</w:t>
            </w:r>
          </w:p>
        </w:tc>
      </w:tr>
      <w:tr>
        <w:trPr>
          <w:cantSplit/>
        </w:trPr>
        <w:tc>
          <w:tcPr>
            <w:tcW w:type="dxa" w:w="2232"/>
            <w:shd w:fill="EAF2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22222"/>
                <w:sz w:val="17"/>
              </w:rPr>
              <w:t>Tracking Streak</w:t>
            </w:r>
          </w:p>
        </w:tc>
        <w:tc>
          <w:tcPr>
            <w:tcW w:type="dxa" w:w="3024"/>
            <w:shd w:fill="EAF2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[Current Tracking Streak]</w:t>
            </w:r>
          </w:p>
        </w:tc>
        <w:tc>
          <w:tcPr>
            <w:tcW w:type="dxa" w:w="5544"/>
            <w:shd w:fill="EAF2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Consecutive tracked calendar days since the last Missing day; paused days are excluded from the tracking expectation.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22222"/>
                <w:sz w:val="17"/>
              </w:rPr>
              <w:t>Days Since Hit</w:t>
            </w:r>
          </w:p>
        </w:tc>
        <w:tc>
          <w:tcPr>
            <w:tcW w:type="dxa" w:w="30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[Days Since Last Target Hit]</w:t>
            </w:r>
          </w:p>
        </w:tc>
        <w:tc>
          <w:tcPr>
            <w:tcW w:type="dxa" w:w="55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Calendar days since the selected habit last met its target.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2F0D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F4E78"/>
                <w:sz w:val="19"/>
              </w:rPr>
              <w:t xml:space="preserve">Validation rule: </w:t>
            </w:r>
            <w:r>
              <w:rPr>
                <w:rFonts w:ascii="Arial" w:hAnsi="Arial"/>
                <w:sz w:val="19"/>
              </w:rPr>
              <w:t>Outcome reconciliation: Scheduled Opportunities = Targets Met + Recorded Misses + Skipped Opportunities + Untracked Opportunities.</w:t>
            </w:r>
          </w:p>
        </w:tc>
      </w:tr>
    </w:tbl>
    <w:p>
      <w:pPr>
        <w:spacing w:after="0"/>
      </w:pPr>
    </w:p>
    <w:p>
      <w:pPr>
        <w:pStyle w:val="Heading1"/>
      </w:pPr>
      <w:r>
        <w:t>8. Power BI navigation and slicers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232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Control</w:t>
            </w:r>
          </w:p>
        </w:tc>
        <w:tc>
          <w:tcPr>
            <w:tcW w:type="dxa" w:w="3456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Field / action</w:t>
            </w:r>
          </w:p>
        </w:tc>
        <w:tc>
          <w:tcPr>
            <w:tcW w:type="dxa" w:w="5112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Behaviour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22222"/>
                <w:sz w:val="18"/>
              </w:rPr>
              <w:t>Overview / Weekly / Monthly / Yearly buttons</w:t>
            </w:r>
          </w:p>
        </w:tc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8"/>
              </w:rPr>
              <w:t>Page Navigator</w:t>
            </w:r>
          </w:p>
        </w:tc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8"/>
              </w:rPr>
              <w:t>Moves between the four report pages.</w:t>
            </w:r>
          </w:p>
        </w:tc>
      </w:tr>
      <w:tr>
        <w:trPr>
          <w:cantSplit/>
        </w:trPr>
        <w:tc>
          <w:tcPr>
            <w:tcW w:type="dxa" w:w="2232"/>
            <w:shd w:fill="EAF2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22222"/>
                <w:sz w:val="18"/>
              </w:rPr>
              <w:t>Category slicer</w:t>
            </w:r>
          </w:p>
        </w:tc>
        <w:tc>
          <w:tcPr>
            <w:tcW w:type="dxa" w:w="3456"/>
            <w:shd w:fill="EAF2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8"/>
              </w:rPr>
              <w:t>DimHabit[Category]</w:t>
            </w:r>
          </w:p>
        </w:tc>
        <w:tc>
          <w:tcPr>
            <w:tcW w:type="dxa" w:w="5112"/>
            <w:shd w:fill="EAF2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8"/>
              </w:rPr>
              <w:t>Filters the report to a habit category; intended to stay in sync across pages.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22222"/>
                <w:sz w:val="18"/>
              </w:rPr>
              <w:t>Habit Name slicer</w:t>
            </w:r>
          </w:p>
        </w:tc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8"/>
              </w:rPr>
              <w:t>DimHabit[Habit_Name]</w:t>
            </w:r>
          </w:p>
        </w:tc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8"/>
              </w:rPr>
              <w:t>Filters to one or more specific habits; intended to stay in sync across pages.</w:t>
            </w:r>
          </w:p>
        </w:tc>
      </w:tr>
      <w:tr>
        <w:trPr>
          <w:cantSplit/>
        </w:trPr>
        <w:tc>
          <w:tcPr>
            <w:tcW w:type="dxa" w:w="2232"/>
            <w:shd w:fill="EAF2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22222"/>
                <w:sz w:val="18"/>
              </w:rPr>
              <w:t>Week slicer</w:t>
            </w:r>
          </w:p>
        </w:tc>
        <w:tc>
          <w:tcPr>
            <w:tcW w:type="dxa" w:w="3456"/>
            <w:shd w:fill="EAF2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8"/>
              </w:rPr>
              <w:t>DimDate[Week Label]</w:t>
            </w:r>
          </w:p>
        </w:tc>
        <w:tc>
          <w:tcPr>
            <w:tcW w:type="dxa" w:w="5112"/>
            <w:shd w:fill="EAF2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8"/>
              </w:rPr>
              <w:t>Weekly page only. Single-select chronological week.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22222"/>
                <w:sz w:val="18"/>
              </w:rPr>
              <w:t>Month slicer</w:t>
            </w:r>
          </w:p>
        </w:tc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8"/>
              </w:rPr>
              <w:t>DimDate[Year_Month]</w:t>
            </w:r>
          </w:p>
        </w:tc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8"/>
              </w:rPr>
              <w:t>Monthly page only. Single-select month.</w:t>
            </w:r>
          </w:p>
        </w:tc>
      </w:tr>
      <w:tr>
        <w:trPr>
          <w:cantSplit/>
        </w:trPr>
        <w:tc>
          <w:tcPr>
            <w:tcW w:type="dxa" w:w="2232"/>
            <w:shd w:fill="EAF2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22222"/>
                <w:sz w:val="18"/>
              </w:rPr>
              <w:t>Year slicer</w:t>
            </w:r>
          </w:p>
        </w:tc>
        <w:tc>
          <w:tcPr>
            <w:tcW w:type="dxa" w:w="3456"/>
            <w:shd w:fill="EAF2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8"/>
              </w:rPr>
              <w:t>DimDate[Year]</w:t>
            </w:r>
          </w:p>
        </w:tc>
        <w:tc>
          <w:tcPr>
            <w:tcW w:type="dxa" w:w="5112"/>
            <w:shd w:fill="EAF2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8"/>
              </w:rPr>
              <w:t>Yearly page only. Single-select year; future years are hidden.</w:t>
            </w:r>
          </w:p>
        </w:tc>
      </w:tr>
    </w:tbl>
    <w:p>
      <w:pPr>
        <w:spacing w:after="0"/>
      </w:pPr>
    </w:p>
    <w:p>
      <w:pPr>
        <w:pStyle w:val="Heading1"/>
      </w:pPr>
      <w:r>
        <w:t>9. Overview page</w:t>
      </w:r>
    </w:p>
    <w:p>
      <w:pPr>
        <w:spacing w:after="160"/>
      </w:pPr>
      <w:r>
        <w:t>Purpose: a high-level health check of tracking consistency, current adherence, recent logged performance and habit/category differences.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096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Element</w:t>
            </w:r>
          </w:p>
        </w:tc>
        <w:tc>
          <w:tcPr>
            <w:tcW w:type="dxa" w:w="3672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Field / measure</w:t>
            </w:r>
          </w:p>
        </w:tc>
        <w:tc>
          <w:tcPr>
            <w:tcW w:type="dxa" w:w="4032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What it shows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22222"/>
                <w:sz w:val="17"/>
              </w:rPr>
              <w:t>Tracking Rate card</w:t>
            </w:r>
          </w:p>
        </w:tc>
        <w:tc>
          <w:tcPr>
            <w:tcW w:type="dxa" w:w="36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[Tracking Rate]</w:t>
            </w:r>
          </w:p>
        </w:tc>
        <w:tc>
          <w:tcPr>
            <w:tcW w:type="dxa" w:w="40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How consistently expected tracking days have been recorded.</w:t>
            </w:r>
          </w:p>
        </w:tc>
      </w:tr>
      <w:tr>
        <w:trPr>
          <w:cantSplit/>
        </w:trPr>
        <w:tc>
          <w:tcPr>
            <w:tcW w:type="dxa" w:w="3096"/>
            <w:shd w:fill="EAF2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22222"/>
                <w:sz w:val="17"/>
              </w:rPr>
              <w:t>Target Hit Rate card</w:t>
            </w:r>
          </w:p>
        </w:tc>
        <w:tc>
          <w:tcPr>
            <w:tcW w:type="dxa" w:w="3672"/>
            <w:shd w:fill="EAF2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[Target Hit Rate]</w:t>
            </w:r>
          </w:p>
        </w:tc>
        <w:tc>
          <w:tcPr>
            <w:tcW w:type="dxa" w:w="4032"/>
            <w:shd w:fill="EAF2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Strict overall target-hit rate, including scheduled opportunities that were skipped or left untracked.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22222"/>
                <w:sz w:val="17"/>
              </w:rPr>
              <w:t>Achievement card</w:t>
            </w:r>
          </w:p>
        </w:tc>
        <w:tc>
          <w:tcPr>
            <w:tcW w:type="dxa" w:w="36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[Opportunity Achievement %]</w:t>
            </w:r>
          </w:p>
        </w:tc>
        <w:tc>
          <w:tcPr>
            <w:tcW w:type="dxa" w:w="40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Overall progress toward targets, allowing partial progress but capping each opportunity at 100%.</w:t>
            </w:r>
          </w:p>
        </w:tc>
      </w:tr>
      <w:tr>
        <w:trPr>
          <w:cantSplit/>
        </w:trPr>
        <w:tc>
          <w:tcPr>
            <w:tcW w:type="dxa" w:w="3096"/>
            <w:shd w:fill="EAF2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22222"/>
                <w:sz w:val="17"/>
              </w:rPr>
              <w:t>Tracking Streak card</w:t>
            </w:r>
          </w:p>
        </w:tc>
        <w:tc>
          <w:tcPr>
            <w:tcW w:type="dxa" w:w="3672"/>
            <w:shd w:fill="EAF2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[Current Tracking Streak]</w:t>
            </w:r>
          </w:p>
        </w:tc>
        <w:tc>
          <w:tcPr>
            <w:tcW w:type="dxa" w:w="4032"/>
            <w:shd w:fill="EAF2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Current run of tracked days since the most recent missing day.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22222"/>
                <w:sz w:val="17"/>
              </w:rPr>
              <w:t>Missing Days card</w:t>
            </w:r>
          </w:p>
        </w:tc>
        <w:tc>
          <w:tcPr>
            <w:tcW w:type="dxa" w:w="36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[Missing Days]</w:t>
            </w:r>
          </w:p>
        </w:tc>
        <w:tc>
          <w:tcPr>
            <w:tcW w:type="dxa" w:w="40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Number of calendar days currently classified as Missing in the selected context.</w:t>
            </w:r>
          </w:p>
        </w:tc>
      </w:tr>
      <w:tr>
        <w:trPr>
          <w:cantSplit/>
        </w:trPr>
        <w:tc>
          <w:tcPr>
            <w:tcW w:type="dxa" w:w="3096"/>
            <w:shd w:fill="EAF2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22222"/>
                <w:sz w:val="17"/>
              </w:rPr>
              <w:t>Habit summary table</w:t>
            </w:r>
          </w:p>
        </w:tc>
        <w:tc>
          <w:tcPr>
            <w:tcW w:type="dxa" w:w="3672"/>
            <w:shd w:fill="EAF2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Habit + [Target Hit Rate], [Opportunity Achievement %], [Current Target Streak], [Longest Target Streak], [Days Since Last Target Hit]</w:t>
            </w:r>
          </w:p>
        </w:tc>
        <w:tc>
          <w:tcPr>
            <w:tcW w:type="dxa" w:w="4032"/>
            <w:shd w:fill="EAF2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Habit-level adherence, progress and streak context.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22222"/>
                <w:sz w:val="17"/>
              </w:rPr>
              <w:t>Target Hit Rate by Category</w:t>
            </w:r>
          </w:p>
        </w:tc>
        <w:tc>
          <w:tcPr>
            <w:tcW w:type="dxa" w:w="36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DimHabit[Category] + [Target Hit Rate]</w:t>
            </w:r>
          </w:p>
        </w:tc>
        <w:tc>
          <w:tcPr>
            <w:tcW w:type="dxa" w:w="40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Compares strict target-hit performance between categories.</w:t>
            </w:r>
          </w:p>
        </w:tc>
      </w:tr>
      <w:tr>
        <w:trPr>
          <w:cantSplit/>
        </w:trPr>
        <w:tc>
          <w:tcPr>
            <w:tcW w:type="dxa" w:w="3096"/>
            <w:shd w:fill="EAF2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22222"/>
                <w:sz w:val="17"/>
              </w:rPr>
              <w:t>Habit Completion Breakdown</w:t>
            </w:r>
          </w:p>
        </w:tc>
        <w:tc>
          <w:tcPr>
            <w:tcW w:type="dxa" w:w="3672"/>
            <w:shd w:fill="EAF2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[Targets Met], [Recorded Misses], [Skipped Opportunities], [Untracked Opportunities]; centre = [Scheduled Opportunities]</w:t>
            </w:r>
          </w:p>
        </w:tc>
        <w:tc>
          <w:tcPr>
            <w:tcW w:type="dxa" w:w="4032"/>
            <w:shd w:fill="EAF2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Shows how all scheduled opportunities ended. The slices are mutually exclusive and should reconcile to Scheduled Opportunities.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22222"/>
                <w:sz w:val="17"/>
              </w:rPr>
              <w:t>Logged Target Hit Rate: 7-Day Rolling</w:t>
            </w:r>
          </w:p>
        </w:tc>
        <w:tc>
          <w:tcPr>
            <w:tcW w:type="dxa" w:w="36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DimDate[Date] + [Logged Target Hit Rate - 7D]</w:t>
            </w:r>
          </w:p>
        </w:tc>
        <w:tc>
          <w:tcPr>
            <w:tcW w:type="dxa" w:w="40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Smoothed recent performance for actually logged attempts, without turning unlogged future/absent attempts into logged-performance failures.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F4E78"/>
                <w:sz w:val="19"/>
              </w:rPr>
              <w:t xml:space="preserve">Note: </w:t>
            </w:r>
            <w:r>
              <w:rPr>
                <w:rFonts w:ascii="Arial" w:hAnsi="Arial"/>
                <w:sz w:val="19"/>
              </w:rPr>
              <w:t>Overview is intentionally broad. Use Weekly, Monthly or Yearly when the question is about a specific time period or pattern.</w:t>
            </w:r>
          </w:p>
        </w:tc>
      </w:tr>
    </w:tbl>
    <w:p>
      <w:pPr>
        <w:spacing w:after="0"/>
      </w:pPr>
    </w:p>
    <w:p>
      <w:pPr>
        <w:pStyle w:val="Heading1"/>
      </w:pPr>
      <w:r>
        <w:t>10. Weekly page</w:t>
      </w:r>
    </w:p>
    <w:p>
      <w:pPr>
        <w:spacing w:after="160"/>
      </w:pPr>
      <w:r>
        <w:t>Purpose: a detailed operational view of one selected week - what happened each day and which habits drove the result.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096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Element</w:t>
            </w:r>
          </w:p>
        </w:tc>
        <w:tc>
          <w:tcPr>
            <w:tcW w:type="dxa" w:w="3672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Field / measure</w:t>
            </w:r>
          </w:p>
        </w:tc>
        <w:tc>
          <w:tcPr>
            <w:tcW w:type="dxa" w:w="4032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What it shows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22222"/>
                <w:sz w:val="17"/>
              </w:rPr>
              <w:t>Week slicer</w:t>
            </w:r>
          </w:p>
        </w:tc>
        <w:tc>
          <w:tcPr>
            <w:tcW w:type="dxa" w:w="36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DimDate[Week Label]</w:t>
            </w:r>
          </w:p>
        </w:tc>
        <w:tc>
          <w:tcPr>
            <w:tcW w:type="dxa" w:w="40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Selects one week; future-only weeks are hidden.</w:t>
            </w:r>
          </w:p>
        </w:tc>
      </w:tr>
      <w:tr>
        <w:trPr>
          <w:cantSplit/>
        </w:trPr>
        <w:tc>
          <w:tcPr>
            <w:tcW w:type="dxa" w:w="3096"/>
            <w:shd w:fill="EAF2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22222"/>
                <w:sz w:val="17"/>
              </w:rPr>
              <w:t>Tracking Rate card</w:t>
            </w:r>
          </w:p>
        </w:tc>
        <w:tc>
          <w:tcPr>
            <w:tcW w:type="dxa" w:w="3672"/>
            <w:shd w:fill="EAF2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[Tracking Rate]</w:t>
            </w:r>
          </w:p>
        </w:tc>
        <w:tc>
          <w:tcPr>
            <w:tcW w:type="dxa" w:w="4032"/>
            <w:shd w:fill="EAF2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Tracking consistency for the selected week.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22222"/>
                <w:sz w:val="17"/>
              </w:rPr>
              <w:t>Targets Met card</w:t>
            </w:r>
          </w:p>
        </w:tc>
        <w:tc>
          <w:tcPr>
            <w:tcW w:type="dxa" w:w="36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[Targets Met]</w:t>
            </w:r>
          </w:p>
        </w:tc>
        <w:tc>
          <w:tcPr>
            <w:tcW w:type="dxa" w:w="40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Number of scheduled opportunities that met their target during the week.</w:t>
            </w:r>
          </w:p>
        </w:tc>
      </w:tr>
      <w:tr>
        <w:trPr>
          <w:cantSplit/>
        </w:trPr>
        <w:tc>
          <w:tcPr>
            <w:tcW w:type="dxa" w:w="3096"/>
            <w:shd w:fill="EAF2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22222"/>
                <w:sz w:val="17"/>
              </w:rPr>
              <w:t>Achievement card</w:t>
            </w:r>
          </w:p>
        </w:tc>
        <w:tc>
          <w:tcPr>
            <w:tcW w:type="dxa" w:w="3672"/>
            <w:shd w:fill="EAF2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[Opportunity Achievement %]</w:t>
            </w:r>
          </w:p>
        </w:tc>
        <w:tc>
          <w:tcPr>
            <w:tcW w:type="dxa" w:w="4032"/>
            <w:shd w:fill="EAF2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Average capped progress toward target across the week.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22222"/>
                <w:sz w:val="17"/>
              </w:rPr>
              <w:t>Target Hit Rate card</w:t>
            </w:r>
          </w:p>
        </w:tc>
        <w:tc>
          <w:tcPr>
            <w:tcW w:type="dxa" w:w="36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[Target Hit Rate]</w:t>
            </w:r>
          </w:p>
        </w:tc>
        <w:tc>
          <w:tcPr>
            <w:tcW w:type="dxa" w:w="40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Strict target-hit rate for the selected week.</w:t>
            </w:r>
          </w:p>
        </w:tc>
      </w:tr>
      <w:tr>
        <w:trPr>
          <w:cantSplit/>
        </w:trPr>
        <w:tc>
          <w:tcPr>
            <w:tcW w:type="dxa" w:w="3096"/>
            <w:shd w:fill="EAF2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22222"/>
                <w:sz w:val="17"/>
              </w:rPr>
              <w:t>Habit Outcomes by Day matrix</w:t>
            </w:r>
          </w:p>
        </w:tc>
        <w:tc>
          <w:tcPr>
            <w:tcW w:type="dxa" w:w="3672"/>
            <w:shd w:fill="EAF2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DimHabit[Habit_Name] x DimDate[Day_Name] + [Daily Habit Outcome]</w:t>
            </w:r>
          </w:p>
        </w:tc>
        <w:tc>
          <w:tcPr>
            <w:tcW w:type="dxa" w:w="4032"/>
            <w:shd w:fill="EAF2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Cell-level outcome for every habit/day: hit, miss, skip, untracked, rest or paused.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22222"/>
                <w:sz w:val="17"/>
              </w:rPr>
              <w:t>Daily Target Hit Rate</w:t>
            </w:r>
          </w:p>
        </w:tc>
        <w:tc>
          <w:tcPr>
            <w:tcW w:type="dxa" w:w="36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DimDate[Day_Name] + [Target Hit Rate]</w:t>
            </w:r>
          </w:p>
        </w:tc>
        <w:tc>
          <w:tcPr>
            <w:tcW w:type="dxa" w:w="40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Compares strict hit rate from Monday to Sunday.</w:t>
            </w:r>
          </w:p>
        </w:tc>
      </w:tr>
      <w:tr>
        <w:trPr>
          <w:cantSplit/>
        </w:trPr>
        <w:tc>
          <w:tcPr>
            <w:tcW w:type="dxa" w:w="3096"/>
            <w:shd w:fill="EAF2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22222"/>
                <w:sz w:val="17"/>
              </w:rPr>
              <w:t>Weekly Habit Summary</w:t>
            </w:r>
          </w:p>
        </w:tc>
        <w:tc>
          <w:tcPr>
            <w:tcW w:type="dxa" w:w="3672"/>
            <w:shd w:fill="EAF2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Habit + [Scheduled Opportunities], [Targets Met], [Recorded Misses], [Untracked Opportunities], [Target Hit Rate], [Opportunity Achievement %]</w:t>
            </w:r>
          </w:p>
        </w:tc>
        <w:tc>
          <w:tcPr>
            <w:tcW w:type="dxa" w:w="4032"/>
            <w:shd w:fill="EAF2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Summarises the selected week by habit.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22222"/>
                <w:sz w:val="17"/>
              </w:rPr>
              <w:t>Daily Habit Outcomes</w:t>
            </w:r>
          </w:p>
        </w:tc>
        <w:tc>
          <w:tcPr>
            <w:tcW w:type="dxa" w:w="36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Day_Name + [Targets Met], [Recorded Misses], [Skipped Opportunities], [Untracked Opportunities]</w:t>
            </w:r>
          </w:p>
        </w:tc>
        <w:tc>
          <w:tcPr>
            <w:tcW w:type="dxa" w:w="40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Explains each day's hit rate by showing the actual outcome counts.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F4E78"/>
                <w:sz w:val="19"/>
              </w:rPr>
              <w:t xml:space="preserve">Note: </w:t>
            </w:r>
            <w:r>
              <w:rPr>
                <w:rFonts w:ascii="Arial" w:hAnsi="Arial"/>
                <w:sz w:val="19"/>
              </w:rPr>
              <w:t>The current incomplete week may show only elapsed/evaluable days in some visuals. Future days should not be treated as failures.</w:t>
            </w:r>
          </w:p>
        </w:tc>
      </w:tr>
    </w:tbl>
    <w:p>
      <w:pPr>
        <w:spacing w:after="0"/>
      </w:pPr>
    </w:p>
    <w:p>
      <w:pPr>
        <w:pStyle w:val="Heading1"/>
      </w:pPr>
      <w:r>
        <w:t>11. Monthly page</w:t>
      </w:r>
    </w:p>
    <w:p>
      <w:pPr>
        <w:spacing w:after="160"/>
      </w:pPr>
      <w:r>
        <w:t>Purpose: understand the selected month, compare it with the previous comparable month and identify habit/weekday patterns.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096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Element</w:t>
            </w:r>
          </w:p>
        </w:tc>
        <w:tc>
          <w:tcPr>
            <w:tcW w:type="dxa" w:w="3672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Field / measure</w:t>
            </w:r>
          </w:p>
        </w:tc>
        <w:tc>
          <w:tcPr>
            <w:tcW w:type="dxa" w:w="4032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What it shows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22222"/>
                <w:sz w:val="17"/>
              </w:rPr>
              <w:t>Month slicer</w:t>
            </w:r>
          </w:p>
        </w:tc>
        <w:tc>
          <w:tcPr>
            <w:tcW w:type="dxa" w:w="36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DimDate[Year_Month]</w:t>
            </w:r>
          </w:p>
        </w:tc>
        <w:tc>
          <w:tcPr>
            <w:tcW w:type="dxa" w:w="40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Selects one month without mixing the same month name across years.</w:t>
            </w:r>
          </w:p>
        </w:tc>
      </w:tr>
      <w:tr>
        <w:trPr>
          <w:cantSplit/>
        </w:trPr>
        <w:tc>
          <w:tcPr>
            <w:tcW w:type="dxa" w:w="3096"/>
            <w:shd w:fill="EAF2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22222"/>
                <w:sz w:val="17"/>
              </w:rPr>
              <w:t>Tracking Rate card</w:t>
            </w:r>
          </w:p>
        </w:tc>
        <w:tc>
          <w:tcPr>
            <w:tcW w:type="dxa" w:w="3672"/>
            <w:shd w:fill="EAF2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[Tracking Rate]</w:t>
            </w:r>
          </w:p>
        </w:tc>
        <w:tc>
          <w:tcPr>
            <w:tcW w:type="dxa" w:w="4032"/>
            <w:shd w:fill="EAF2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Tracking consistency in the selected month.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22222"/>
                <w:sz w:val="17"/>
              </w:rPr>
              <w:t>Targets Met card</w:t>
            </w:r>
          </w:p>
        </w:tc>
        <w:tc>
          <w:tcPr>
            <w:tcW w:type="dxa" w:w="36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[Targets Met]</w:t>
            </w:r>
          </w:p>
        </w:tc>
        <w:tc>
          <w:tcPr>
            <w:tcW w:type="dxa" w:w="40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Number of successful target opportunities in the month.</w:t>
            </w:r>
          </w:p>
        </w:tc>
      </w:tr>
      <w:tr>
        <w:trPr>
          <w:cantSplit/>
        </w:trPr>
        <w:tc>
          <w:tcPr>
            <w:tcW w:type="dxa" w:w="3096"/>
            <w:shd w:fill="EAF2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22222"/>
                <w:sz w:val="17"/>
              </w:rPr>
              <w:t>Achievement card</w:t>
            </w:r>
          </w:p>
        </w:tc>
        <w:tc>
          <w:tcPr>
            <w:tcW w:type="dxa" w:w="3672"/>
            <w:shd w:fill="EAF2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[Opportunity Achievement %]</w:t>
            </w:r>
          </w:p>
        </w:tc>
        <w:tc>
          <w:tcPr>
            <w:tcW w:type="dxa" w:w="4032"/>
            <w:shd w:fill="EAF2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Average capped target progress in the month.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22222"/>
                <w:sz w:val="17"/>
              </w:rPr>
              <w:t>Target Hit Rate card</w:t>
            </w:r>
          </w:p>
        </w:tc>
        <w:tc>
          <w:tcPr>
            <w:tcW w:type="dxa" w:w="36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[Target Hit Rate MTD]</w:t>
            </w:r>
          </w:p>
        </w:tc>
        <w:tc>
          <w:tcPr>
            <w:tcW w:type="dxa" w:w="40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Month-to-date strict hit rate. For a completed historical month this effectively covers the whole month.</w:t>
            </w:r>
          </w:p>
        </w:tc>
      </w:tr>
      <w:tr>
        <w:trPr>
          <w:cantSplit/>
        </w:trPr>
        <w:tc>
          <w:tcPr>
            <w:tcW w:type="dxa" w:w="3096"/>
            <w:shd w:fill="EAF2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22222"/>
                <w:sz w:val="17"/>
              </w:rPr>
              <w:t>vs Prev Month card</w:t>
            </w:r>
          </w:p>
        </w:tc>
        <w:tc>
          <w:tcPr>
            <w:tcW w:type="dxa" w:w="3672"/>
            <w:shd w:fill="EAF2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[Target Hit Rate MTD Change (pp)]</w:t>
            </w:r>
          </w:p>
        </w:tc>
        <w:tc>
          <w:tcPr>
            <w:tcW w:type="dxa" w:w="4032"/>
            <w:shd w:fill="EAF2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Percentage-point change versus the comparable portion of the previous month. Blank when there is no valid prior month.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22222"/>
                <w:sz w:val="17"/>
              </w:rPr>
              <w:t>Target Hit Rate by Weekday</w:t>
            </w:r>
          </w:p>
        </w:tc>
        <w:tc>
          <w:tcPr>
            <w:tcW w:type="dxa" w:w="36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DimDate[Day_Name] + [Target Hit Rate]</w:t>
            </w:r>
          </w:p>
        </w:tc>
        <w:tc>
          <w:tcPr>
            <w:tcW w:type="dxa" w:w="40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Aggregates all Mondays, Tuesdays, etc. within the selected month to reveal weekday patterns.</w:t>
            </w:r>
          </w:p>
        </w:tc>
      </w:tr>
      <w:tr>
        <w:trPr>
          <w:cantSplit/>
        </w:trPr>
        <w:tc>
          <w:tcPr>
            <w:tcW w:type="dxa" w:w="3096"/>
            <w:shd w:fill="EAF2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22222"/>
                <w:sz w:val="17"/>
              </w:rPr>
              <w:t>Target Hit Rate by Habit</w:t>
            </w:r>
          </w:p>
        </w:tc>
        <w:tc>
          <w:tcPr>
            <w:tcW w:type="dxa" w:w="3672"/>
            <w:shd w:fill="EAF2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DimHabit[Habit_Name] + [Target Hit Rate]</w:t>
            </w:r>
          </w:p>
        </w:tc>
        <w:tc>
          <w:tcPr>
            <w:tcW w:type="dxa" w:w="4032"/>
            <w:shd w:fill="EAF2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Ranks habits by strict target-hit rate for the month.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22222"/>
                <w:sz w:val="17"/>
              </w:rPr>
              <w:t>Monthly Habit Summary</w:t>
            </w:r>
          </w:p>
        </w:tc>
        <w:tc>
          <w:tcPr>
            <w:tcW w:type="dxa" w:w="36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Habit + opportunity/outcome/hit/achievement measures</w:t>
            </w:r>
          </w:p>
        </w:tc>
        <w:tc>
          <w:tcPr>
            <w:tcW w:type="dxa" w:w="40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Detailed monthly result by habit.</w:t>
            </w:r>
          </w:p>
        </w:tc>
      </w:tr>
      <w:tr>
        <w:trPr>
          <w:cantSplit/>
        </w:trPr>
        <w:tc>
          <w:tcPr>
            <w:tcW w:type="dxa" w:w="3096"/>
            <w:shd w:fill="EAF2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22222"/>
                <w:sz w:val="17"/>
              </w:rPr>
              <w:t>Daily Target Hit Rate</w:t>
            </w:r>
          </w:p>
        </w:tc>
        <w:tc>
          <w:tcPr>
            <w:tcW w:type="dxa" w:w="3672"/>
            <w:shd w:fill="EAF2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DimDate[Date] + [Target Hit Rate]</w:t>
            </w:r>
          </w:p>
        </w:tc>
        <w:tc>
          <w:tcPr>
            <w:tcW w:type="dxa" w:w="4032"/>
            <w:shd w:fill="EAF2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Day-by-day strict hit rate across the selected month.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F4E78"/>
                <w:sz w:val="19"/>
              </w:rPr>
              <w:t xml:space="preserve">Note: </w:t>
            </w:r>
            <w:r>
              <w:rPr>
                <w:rFonts w:ascii="Arial" w:hAnsi="Arial"/>
                <w:sz w:val="19"/>
              </w:rPr>
              <w:t>The previous-month card is a percentage-point comparison, not a percentage change. Example: 46% versus 55% is about -9 pp.</w:t>
            </w:r>
          </w:p>
        </w:tc>
      </w:tr>
    </w:tbl>
    <w:p>
      <w:pPr>
        <w:spacing w:after="0"/>
      </w:pPr>
    </w:p>
    <w:p>
      <w:pPr>
        <w:pStyle w:val="Heading1"/>
      </w:pPr>
      <w:r>
        <w:t>12. Yearly page</w:t>
      </w:r>
    </w:p>
    <w:p>
      <w:pPr>
        <w:spacing w:after="160"/>
      </w:pPr>
      <w:r>
        <w:t>Purpose: show the long-term shape of the year, monthly tracking consistency and the habits/categories driving year-to-date results.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096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Element</w:t>
            </w:r>
          </w:p>
        </w:tc>
        <w:tc>
          <w:tcPr>
            <w:tcW w:type="dxa" w:w="3672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Field / measure</w:t>
            </w:r>
          </w:p>
        </w:tc>
        <w:tc>
          <w:tcPr>
            <w:tcW w:type="dxa" w:w="4032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What it shows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22222"/>
                <w:sz w:val="17"/>
              </w:rPr>
              <w:t>Year slicer</w:t>
            </w:r>
          </w:p>
        </w:tc>
        <w:tc>
          <w:tcPr>
            <w:tcW w:type="dxa" w:w="36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DimDate[Year]</w:t>
            </w:r>
          </w:p>
        </w:tc>
        <w:tc>
          <w:tcPr>
            <w:tcW w:type="dxa" w:w="40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Selects the reporting year; future years are hidden.</w:t>
            </w:r>
          </w:p>
        </w:tc>
      </w:tr>
      <w:tr>
        <w:trPr>
          <w:cantSplit/>
        </w:trPr>
        <w:tc>
          <w:tcPr>
            <w:tcW w:type="dxa" w:w="3096"/>
            <w:shd w:fill="EAF2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22222"/>
                <w:sz w:val="17"/>
              </w:rPr>
              <w:t>Tracking Rate card</w:t>
            </w:r>
          </w:p>
        </w:tc>
        <w:tc>
          <w:tcPr>
            <w:tcW w:type="dxa" w:w="3672"/>
            <w:shd w:fill="EAF2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[Tracking Rate]</w:t>
            </w:r>
          </w:p>
        </w:tc>
        <w:tc>
          <w:tcPr>
            <w:tcW w:type="dxa" w:w="4032"/>
            <w:shd w:fill="EAF2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Year-level tracking consistency for the selected year/context.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22222"/>
                <w:sz w:val="17"/>
              </w:rPr>
              <w:t>Targets Met card</w:t>
            </w:r>
          </w:p>
        </w:tc>
        <w:tc>
          <w:tcPr>
            <w:tcW w:type="dxa" w:w="36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[Targets Met]</w:t>
            </w:r>
          </w:p>
        </w:tc>
        <w:tc>
          <w:tcPr>
            <w:tcW w:type="dxa" w:w="40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Number of successful target opportunities in the selected year.</w:t>
            </w:r>
          </w:p>
        </w:tc>
      </w:tr>
      <w:tr>
        <w:trPr>
          <w:cantSplit/>
        </w:trPr>
        <w:tc>
          <w:tcPr>
            <w:tcW w:type="dxa" w:w="3096"/>
            <w:shd w:fill="EAF2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22222"/>
                <w:sz w:val="17"/>
              </w:rPr>
              <w:t>Achievement card</w:t>
            </w:r>
          </w:p>
        </w:tc>
        <w:tc>
          <w:tcPr>
            <w:tcW w:type="dxa" w:w="3672"/>
            <w:shd w:fill="EAF2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[Opportunity Achievement %]</w:t>
            </w:r>
          </w:p>
        </w:tc>
        <w:tc>
          <w:tcPr>
            <w:tcW w:type="dxa" w:w="4032"/>
            <w:shd w:fill="EAF2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Year-level average capped progress toward targets.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22222"/>
                <w:sz w:val="17"/>
              </w:rPr>
              <w:t>Target Hit Rate card</w:t>
            </w:r>
          </w:p>
        </w:tc>
        <w:tc>
          <w:tcPr>
            <w:tcW w:type="dxa" w:w="36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[Target Hit Rate YTD]</w:t>
            </w:r>
          </w:p>
        </w:tc>
        <w:tc>
          <w:tcPr>
            <w:tcW w:type="dxa" w:w="40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Year-to-date strict target-hit rate, stopping at the analysis end date.</w:t>
            </w:r>
          </w:p>
        </w:tc>
      </w:tr>
      <w:tr>
        <w:trPr>
          <w:cantSplit/>
        </w:trPr>
        <w:tc>
          <w:tcPr>
            <w:tcW w:type="dxa" w:w="3096"/>
            <w:shd w:fill="EAF2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22222"/>
                <w:sz w:val="17"/>
              </w:rPr>
              <w:t>vs Prev Year card</w:t>
            </w:r>
          </w:p>
        </w:tc>
        <w:tc>
          <w:tcPr>
            <w:tcW w:type="dxa" w:w="3672"/>
            <w:shd w:fill="EAF2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[Target Hit Rate YTD Change (pp)]</w:t>
            </w:r>
          </w:p>
        </w:tc>
        <w:tc>
          <w:tcPr>
            <w:tcW w:type="dxa" w:w="4032"/>
            <w:shd w:fill="EAF2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Percentage-point change versus the comparable prior-year period; blank when there is no prior-year data.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22222"/>
                <w:sz w:val="17"/>
              </w:rPr>
              <w:t>Target Hit Rate by Category</w:t>
            </w:r>
          </w:p>
        </w:tc>
        <w:tc>
          <w:tcPr>
            <w:tcW w:type="dxa" w:w="36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DimHabit[Category] + [Target Hit Rate]</w:t>
            </w:r>
          </w:p>
        </w:tc>
        <w:tc>
          <w:tcPr>
            <w:tcW w:type="dxa" w:w="40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Compares category performance across the selected year.</w:t>
            </w:r>
          </w:p>
        </w:tc>
      </w:tr>
      <w:tr>
        <w:trPr>
          <w:cantSplit/>
        </w:trPr>
        <w:tc>
          <w:tcPr>
            <w:tcW w:type="dxa" w:w="3096"/>
            <w:shd w:fill="EAF2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22222"/>
                <w:sz w:val="17"/>
              </w:rPr>
              <w:t>Monthly Tracking Rate</w:t>
            </w:r>
          </w:p>
        </w:tc>
        <w:tc>
          <w:tcPr>
            <w:tcW w:type="dxa" w:w="3672"/>
            <w:shd w:fill="EAF2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DimDate[Month_Short] + [Tracking Rate]</w:t>
            </w:r>
          </w:p>
        </w:tc>
        <w:tc>
          <w:tcPr>
            <w:tcW w:type="dxa" w:w="4032"/>
            <w:shd w:fill="EAF2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Shows which months were consistently tracked and which were not.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22222"/>
                <w:sz w:val="17"/>
              </w:rPr>
              <w:t>Yearly Habit Summary</w:t>
            </w:r>
          </w:p>
        </w:tc>
        <w:tc>
          <w:tcPr>
            <w:tcW w:type="dxa" w:w="36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Habit + opportunity/outcome/hit/achievement measures</w:t>
            </w:r>
          </w:p>
        </w:tc>
        <w:tc>
          <w:tcPr>
            <w:tcW w:type="dxa" w:w="40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Year-to-date habit-level detail.</w:t>
            </w:r>
          </w:p>
        </w:tc>
      </w:tr>
      <w:tr>
        <w:trPr>
          <w:cantSplit/>
        </w:trPr>
        <w:tc>
          <w:tcPr>
            <w:tcW w:type="dxa" w:w="3096"/>
            <w:shd w:fill="EAF2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22222"/>
                <w:sz w:val="17"/>
              </w:rPr>
              <w:t>Monthly Performance Trend</w:t>
            </w:r>
          </w:p>
        </w:tc>
        <w:tc>
          <w:tcPr>
            <w:tcW w:type="dxa" w:w="3672"/>
            <w:shd w:fill="EAF2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DimDate[Month_Short] + [Target Hit Rate] + [Opportunity Achievement %]</w:t>
            </w:r>
          </w:p>
        </w:tc>
        <w:tc>
          <w:tcPr>
            <w:tcW w:type="dxa" w:w="4032"/>
            <w:shd w:fill="EAF2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Shows month-by-month strict adherence alongside progress toward targets.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F4E78"/>
                <w:sz w:val="19"/>
              </w:rPr>
              <w:t xml:space="preserve">Note: </w:t>
            </w:r>
            <w:r>
              <w:rPr>
                <w:rFonts w:ascii="Arial" w:hAnsi="Arial"/>
                <w:sz w:val="19"/>
              </w:rPr>
              <w:t>If the selected year is the first year of data, the previous-year comparison should be blank rather than implying an improvement from zero.</w:t>
            </w:r>
          </w:p>
        </w:tc>
      </w:tr>
    </w:tbl>
    <w:p>
      <w:pPr>
        <w:spacing w:after="0"/>
      </w:pPr>
    </w:p>
    <w:p>
      <w:pPr>
        <w:pStyle w:val="Heading1"/>
      </w:pPr>
      <w:r>
        <w:t>13. Power BI data model and source tables</w:t>
      </w:r>
    </w:p>
    <w:p>
      <w:r>
        <w:t>The visible Excel pages are for users. Power BI reads structured tables on hidden backend sheets. Keep these table names stable when reusing the PBIX.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88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Excel table</w:t>
            </w:r>
          </w:p>
        </w:tc>
        <w:tc>
          <w:tcPr>
            <w:tcW w:type="dxa" w:w="792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Purpose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22222"/>
                <w:sz w:val="18"/>
              </w:rPr>
              <w:t>LogDataV32</w:t>
            </w:r>
          </w:p>
        </w:tc>
        <w:tc>
          <w:tcPr>
            <w:tcW w:type="dxa" w:w="79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8"/>
              </w:rPr>
              <w:t>Saved habit results by Date + Habit_ID, including Status, Actual, Notes and timestamps.</w:t>
            </w:r>
          </w:p>
        </w:tc>
      </w:tr>
      <w:tr>
        <w:trPr>
          <w:cantSplit/>
        </w:trPr>
        <w:tc>
          <w:tcPr>
            <w:tcW w:type="dxa" w:w="2880"/>
            <w:shd w:fill="EAF2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22222"/>
                <w:sz w:val="18"/>
              </w:rPr>
              <w:t>TrackingCalendarV32</w:t>
            </w:r>
          </w:p>
        </w:tc>
        <w:tc>
          <w:tcPr>
            <w:tcW w:type="dxa" w:w="7920"/>
            <w:shd w:fill="EAF2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8"/>
              </w:rPr>
              <w:t>Calendar tracking status with Calculated, Override and Final status plus pause reason.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22222"/>
                <w:sz w:val="18"/>
              </w:rPr>
              <w:t>HabitConfig</w:t>
            </w:r>
          </w:p>
        </w:tc>
        <w:tc>
          <w:tcPr>
            <w:tcW w:type="dxa" w:w="79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8"/>
              </w:rPr>
              <w:t>Habit metadata and lifecycle information.</w:t>
            </w:r>
          </w:p>
        </w:tc>
      </w:tr>
      <w:tr>
        <w:trPr>
          <w:cantSplit/>
        </w:trPr>
        <w:tc>
          <w:tcPr>
            <w:tcW w:type="dxa" w:w="2880"/>
            <w:shd w:fill="EAF2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22222"/>
                <w:sz w:val="18"/>
              </w:rPr>
              <w:t>TargetHistory</w:t>
            </w:r>
          </w:p>
        </w:tc>
        <w:tc>
          <w:tcPr>
            <w:tcW w:type="dxa" w:w="7920"/>
            <w:shd w:fill="EAF2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8"/>
              </w:rPr>
              <w:t>Effective-dated target rules.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22222"/>
                <w:sz w:val="18"/>
              </w:rPr>
              <w:t>HabitSchedule</w:t>
            </w:r>
          </w:p>
        </w:tc>
        <w:tc>
          <w:tcPr>
            <w:tcW w:type="dxa" w:w="79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8"/>
              </w:rPr>
              <w:t>Effective-dated weekday schedules and rest status.</w:t>
            </w:r>
          </w:p>
        </w:tc>
      </w:tr>
    </w:tbl>
    <w:p>
      <w:pPr>
        <w:spacing w:after="0"/>
      </w:pPr>
    </w:p>
    <w:p>
      <w:pPr>
        <w:pStyle w:val="Heading2"/>
      </w:pPr>
      <w:r>
        <w:t>Core Power BI model</w:t>
      </w:r>
    </w:p>
    <w:p>
      <w:pPr>
        <w:spacing w:after="40"/>
        <w:ind w:left="288"/>
      </w:pPr>
      <w:r>
        <w:rPr>
          <w:rFonts w:ascii="Consolas" w:hAnsi="Consolas"/>
          <w:color w:val="1F4E78"/>
          <w:sz w:val="18"/>
        </w:rPr>
        <w:t>DimDate[Date]  1 -&gt; *  FactHabitDaily[Date]</w:t>
      </w:r>
    </w:p>
    <w:p>
      <w:pPr>
        <w:spacing w:after="40"/>
        <w:ind w:left="288"/>
      </w:pPr>
      <w:r>
        <w:rPr>
          <w:rFonts w:ascii="Consolas" w:hAnsi="Consolas"/>
          <w:color w:val="1F4E78"/>
          <w:sz w:val="18"/>
        </w:rPr>
        <w:t>DimDate[Date]  1 -&gt; *  FactTrackingDay[Date]</w:t>
      </w:r>
    </w:p>
    <w:p>
      <w:pPr>
        <w:spacing w:after="40"/>
        <w:ind w:left="288"/>
      </w:pPr>
      <w:r>
        <w:rPr>
          <w:rFonts w:ascii="Consolas" w:hAnsi="Consolas"/>
          <w:color w:val="1F4E78"/>
          <w:sz w:val="18"/>
        </w:rPr>
        <w:t>DimHabit[Habit_ID]  1 -&gt; *  FactHabitDaily[Habit_ID]</w:t>
      </w:r>
    </w:p>
    <w:p>
      <w:r>
        <w:t>FactHabitDaily creates the Date x Habit analytical grain, applies lifecycle, schedule and target history, and derives scheduled opportunities, daily status, target results and achievement. FactTrackingDay handles tracking consistency separately so a manual tracking override does not create fake habit performance.</w:t>
      </w:r>
    </w:p>
    <w:p>
      <w:pPr>
        <w:pStyle w:val="Heading1"/>
      </w:pPr>
      <w:r>
        <w:t>14. Maintenance and handoff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3024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Task</w:t>
            </w:r>
          </w:p>
        </w:tc>
        <w:tc>
          <w:tcPr>
            <w:tcW w:type="dxa" w:w="7776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Recommended approach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22222"/>
                <w:sz w:val="18"/>
              </w:rPr>
              <w:t>Give the tracker to another user</w:t>
            </w:r>
          </w:p>
        </w:tc>
        <w:tc>
          <w:tcPr>
            <w:tcW w:type="dxa" w:w="777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8"/>
              </w:rPr>
              <w:t>Provide the starter .xlsm plus the PBIX. The recipient enables macros, changes the Power BI source path and refreshes.</w:t>
            </w:r>
          </w:p>
        </w:tc>
      </w:tr>
      <w:tr>
        <w:trPr>
          <w:cantSplit/>
        </w:trPr>
        <w:tc>
          <w:tcPr>
            <w:tcW w:type="dxa" w:w="3024"/>
            <w:shd w:fill="EAF2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22222"/>
                <w:sz w:val="18"/>
              </w:rPr>
              <w:t>Preserve a demo</w:t>
            </w:r>
          </w:p>
        </w:tc>
        <w:tc>
          <w:tcPr>
            <w:tcW w:type="dxa" w:w="7776"/>
            <w:shd w:fill="EAF2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8"/>
              </w:rPr>
              <w:t>Keep the sample-data workbook and a PBIX refreshed against it.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22222"/>
                <w:sz w:val="18"/>
              </w:rPr>
              <w:t>Rename a habit</w:t>
            </w:r>
          </w:p>
        </w:tc>
        <w:tc>
          <w:tcPr>
            <w:tcW w:type="dxa" w:w="777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8"/>
              </w:rPr>
              <w:t>Use Manage Habits; do not change Habit_ID manually.</w:t>
            </w:r>
          </w:p>
        </w:tc>
      </w:tr>
      <w:tr>
        <w:trPr>
          <w:cantSplit/>
        </w:trPr>
        <w:tc>
          <w:tcPr>
            <w:tcW w:type="dxa" w:w="3024"/>
            <w:shd w:fill="EAF2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22222"/>
                <w:sz w:val="18"/>
              </w:rPr>
              <w:t>Change a target/schedule</w:t>
            </w:r>
          </w:p>
        </w:tc>
        <w:tc>
          <w:tcPr>
            <w:tcW w:type="dxa" w:w="7776"/>
            <w:shd w:fill="EAF2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8"/>
              </w:rPr>
              <w:t>Use Manage Habits with the correct Changes from date so history remains valid.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22222"/>
                <w:sz w:val="18"/>
              </w:rPr>
              <w:t>Retire a habit</w:t>
            </w:r>
          </w:p>
        </w:tc>
        <w:tc>
          <w:tcPr>
            <w:tcW w:type="dxa" w:w="777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8"/>
              </w:rPr>
              <w:t>Use STOP TRACKING rather than deleting history.</w:t>
            </w:r>
          </w:p>
        </w:tc>
      </w:tr>
      <w:tr>
        <w:trPr>
          <w:cantSplit/>
        </w:trPr>
        <w:tc>
          <w:tcPr>
            <w:tcW w:type="dxa" w:w="3024"/>
            <w:shd w:fill="EAF2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22222"/>
                <w:sz w:val="18"/>
              </w:rPr>
              <w:t>Troubleshoot strange totals</w:t>
            </w:r>
          </w:p>
        </w:tc>
        <w:tc>
          <w:tcPr>
            <w:tcW w:type="dxa" w:w="7776"/>
            <w:shd w:fill="EAF2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8"/>
              </w:rPr>
              <w:t>Run Data Check, confirm source path, refresh Excel calendar, then refresh Power BI.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22222"/>
                <w:sz w:val="18"/>
              </w:rPr>
              <w:t>Back up the system</w:t>
            </w:r>
          </w:p>
        </w:tc>
        <w:tc>
          <w:tcPr>
            <w:tcW w:type="dxa" w:w="777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8"/>
              </w:rPr>
              <w:t>Keep copies of the .xlsm, .pbix, DAX exports and VBA module.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2C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F4E78"/>
                <w:sz w:val="19"/>
              </w:rPr>
              <w:t xml:space="preserve">Note: </w:t>
            </w:r>
            <w:r>
              <w:rPr>
                <w:rFonts w:ascii="Arial" w:hAnsi="Arial"/>
                <w:sz w:val="19"/>
              </w:rPr>
              <w:t>Do not delete or rename the hidden technical tables unless you also update Power Query. The PBIX is designed around LogDataV32, TrackingCalendarV32, HabitConfig, TargetHistory and HabitSchedule.</w:t>
            </w:r>
          </w:p>
        </w:tc>
      </w:tr>
    </w:tbl>
    <w:p>
      <w:pPr>
        <w:spacing w:after="0"/>
      </w:pPr>
    </w:p>
    <w:p>
      <w:pPr>
        <w:pStyle w:val="Heading1"/>
      </w:pPr>
      <w:r>
        <w:t>15. Improvements over earlier versions</w:t>
      </w:r>
    </w:p>
    <w:p>
      <w:r>
        <w:t>The current tracker addresses the main limitations of the earlier builds and is substantially more reusable and auditable.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88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Improvement</w:t>
            </w:r>
          </w:p>
        </w:tc>
        <w:tc>
          <w:tcPr>
            <w:tcW w:type="dxa" w:w="792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What changed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22222"/>
                <w:sz w:val="17"/>
              </w:rPr>
              <w:t>Target history</w:t>
            </w:r>
          </w:p>
        </w:tc>
        <w:tc>
          <w:tcPr>
            <w:tcW w:type="dxa" w:w="79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Earlier versions applied the current target more broadly. The current workbook stores effective-dated target history so past results stay tied to the rule that applied at the time.</w:t>
            </w:r>
          </w:p>
        </w:tc>
      </w:tr>
      <w:tr>
        <w:trPr>
          <w:cantSplit/>
        </w:trPr>
        <w:tc>
          <w:tcPr>
            <w:tcW w:type="dxa" w:w="2880"/>
            <w:shd w:fill="EAF2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22222"/>
                <w:sz w:val="17"/>
              </w:rPr>
              <w:t>Schedule history and rest days</w:t>
            </w:r>
          </w:p>
        </w:tc>
        <w:tc>
          <w:tcPr>
            <w:tcW w:type="dxa" w:w="7920"/>
            <w:shd w:fill="EAF2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Planned schedules are now effective-dated. Rest/non-opportunity days can be separated from genuine misses rather than automatically breaking performance.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22222"/>
                <w:sz w:val="17"/>
              </w:rPr>
              <w:t>Habit lifecycle</w:t>
            </w:r>
          </w:p>
        </w:tc>
        <w:tc>
          <w:tcPr>
            <w:tcW w:type="dxa" w:w="79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Habits can start and stop without deleting historical configuration or results.</w:t>
            </w:r>
          </w:p>
        </w:tc>
      </w:tr>
      <w:tr>
        <w:trPr>
          <w:cantSplit/>
        </w:trPr>
        <w:tc>
          <w:tcPr>
            <w:tcW w:type="dxa" w:w="2880"/>
            <w:shd w:fill="EAF2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22222"/>
                <w:sz w:val="17"/>
              </w:rPr>
              <w:t>Separate tracking consistency</w:t>
            </w:r>
          </w:p>
        </w:tc>
        <w:tc>
          <w:tcPr>
            <w:tcW w:type="dxa" w:w="7920"/>
            <w:shd w:fill="EAF2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Tracking-day status is modelled separately from habit performance, allowing Tracked, Missing, Paused and overrides without manufacturing habit outcomes.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22222"/>
                <w:sz w:val="17"/>
              </w:rPr>
              <w:t>Pause tracking</w:t>
            </w:r>
          </w:p>
        </w:tc>
        <w:tc>
          <w:tcPr>
            <w:tcW w:type="dxa" w:w="79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Holiday, illness or deliberate breaks can be excluded from expected tracking days while preserving the calendar and any real entries.</w:t>
            </w:r>
          </w:p>
        </w:tc>
      </w:tr>
      <w:tr>
        <w:trPr>
          <w:cantSplit/>
        </w:trPr>
        <w:tc>
          <w:tcPr>
            <w:tcW w:type="dxa" w:w="2880"/>
            <w:shd w:fill="EAF2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22222"/>
                <w:sz w:val="17"/>
              </w:rPr>
              <w:t>Missing/Tracked day management</w:t>
            </w:r>
          </w:p>
        </w:tc>
        <w:tc>
          <w:tcPr>
            <w:tcW w:type="dxa" w:w="7920"/>
            <w:shd w:fill="EAF2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Dedicated pages make it easier to review dates, correct tracking status and open the actual day for backfilling.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22222"/>
                <w:sz w:val="17"/>
              </w:rPr>
              <w:t>Timestamps and edit history</w:t>
            </w:r>
          </w:p>
        </w:tc>
        <w:tc>
          <w:tcPr>
            <w:tcW w:type="dxa" w:w="79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Logged At and Updated At support analysis of same-day logging, backfilling and edited entries for new records.</w:t>
            </w:r>
          </w:p>
        </w:tc>
      </w:tr>
      <w:tr>
        <w:trPr>
          <w:cantSplit/>
        </w:trPr>
        <w:tc>
          <w:tcPr>
            <w:tcW w:type="dxa" w:w="2880"/>
            <w:shd w:fill="EAF2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22222"/>
                <w:sz w:val="17"/>
              </w:rPr>
              <w:t>User-friendly habit management</w:t>
            </w:r>
          </w:p>
        </w:tc>
        <w:tc>
          <w:tcPr>
            <w:tcW w:type="dxa" w:w="7920"/>
            <w:shd w:fill="EAF2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A single Manage Habits form handles new habits, target changes, schedule changes and stopping tracking instead of requiring direct edits to technical tables.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22222"/>
                <w:sz w:val="17"/>
              </w:rPr>
              <w:t>Data quality checks</w:t>
            </w:r>
          </w:p>
        </w:tc>
        <w:tc>
          <w:tcPr>
            <w:tcW w:type="dxa" w:w="79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The Data Check page tests duplicates, missing configuration, overlapping history periods and invalid ranges before Power BI refresh.</w:t>
            </w:r>
          </w:p>
        </w:tc>
      </w:tr>
      <w:tr>
        <w:trPr>
          <w:cantSplit/>
        </w:trPr>
        <w:tc>
          <w:tcPr>
            <w:tcW w:type="dxa" w:w="2880"/>
            <w:shd w:fill="EAF2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22222"/>
                <w:sz w:val="17"/>
              </w:rPr>
              <w:t>Normalized Power BI-ready backend</w:t>
            </w:r>
          </w:p>
        </w:tc>
        <w:tc>
          <w:tcPr>
            <w:tcW w:type="dxa" w:w="7920"/>
            <w:shd w:fill="EAF2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The V3.2 log/calendar tables use stable technical keys and a Date x Habit fact model rather than relying on a wide daily-entry layout.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22222"/>
                <w:sz w:val="17"/>
              </w:rPr>
              <w:t>More meaningful metrics</w:t>
            </w:r>
          </w:p>
        </w:tc>
        <w:tc>
          <w:tcPr>
            <w:tcW w:type="dxa" w:w="79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The dashboard now separates strict Target Hit Rate, Logged Target Hit Rate, Opportunity Achievement, tracking consistency and outcome categories.</w:t>
            </w:r>
          </w:p>
        </w:tc>
      </w:tr>
      <w:tr>
        <w:trPr>
          <w:cantSplit/>
        </w:trPr>
        <w:tc>
          <w:tcPr>
            <w:tcW w:type="dxa" w:w="2880"/>
            <w:shd w:fill="EAF2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22222"/>
                <w:sz w:val="17"/>
              </w:rPr>
              <w:t>Better streak logic</w:t>
            </w:r>
          </w:p>
        </w:tc>
        <w:tc>
          <w:tcPr>
            <w:tcW w:type="dxa" w:w="7920"/>
            <w:shd w:fill="EAF2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Target streaks are based on scheduled opportunities rather than blindly counting calendar days, so rest/paused non-opportunities do not need to break a streak.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22222"/>
                <w:sz w:val="17"/>
              </w:rPr>
              <w:t>Four analysis levels</w:t>
            </w:r>
          </w:p>
        </w:tc>
        <w:tc>
          <w:tcPr>
            <w:tcW w:type="dxa" w:w="79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The report now has dedicated Overview, Weekly, Monthly and Yearly pages rather than concentrating most analysis on a small number of pages.</w:t>
            </w:r>
          </w:p>
        </w:tc>
      </w:tr>
      <w:tr>
        <w:trPr>
          <w:cantSplit/>
        </w:trPr>
        <w:tc>
          <w:tcPr>
            <w:tcW w:type="dxa" w:w="2880"/>
            <w:shd w:fill="EAF2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22222"/>
                <w:sz w:val="17"/>
              </w:rPr>
              <w:t>Reusable delivery</w:t>
            </w:r>
          </w:p>
        </w:tc>
        <w:tc>
          <w:tcPr>
            <w:tcW w:type="dxa" w:w="7920"/>
            <w:shd w:fill="EAF2F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The project now supports a sample-data version for demonstration and a reset starter version for a new user while keeping the same Power BI-compatible table structure.</w:t>
            </w:r>
          </w:p>
        </w:tc>
      </w:tr>
    </w:tbl>
    <w:p>
      <w:pPr>
        <w:spacing w:after="0"/>
      </w:pPr>
    </w:p>
    <w:p>
      <w:pPr>
        <w:spacing w:before="200"/>
        <w:jc w:val="center"/>
      </w:pPr>
      <w:r>
        <w:rPr>
          <w:rFonts w:ascii="Arial" w:hAnsi="Arial"/>
          <w:b/>
          <w:color w:val="1F4E78"/>
          <w:sz w:val="20"/>
        </w:rPr>
        <w:t>End of guide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777777"/>
        <w:sz w:val="16"/>
      </w:rPr>
      <w:t>Excel V3.2 + Power BI | User guide and technical reference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777777"/>
        <w:sz w:val="16"/>
      </w:rPr>
      <w:t>Habit Tracker - Setup &amp; User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F4E7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1F4E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F4E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