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SBDC notes - advisor session</w:t>
      </w:r>
    </w:p>
    <w:p>
      <w:pPr>
        <w:spacing w:after="120"/>
      </w:pPr>
      <w:r>
        <w:rPr>
          <w:sz w:val="21"/>
        </w:rPr>
        <w:t>Met with the advisor at the Small Business Development Center. Went over where the plan stands. Notes for myself below.</w:t>
      </w:r>
    </w:p>
    <w:p>
      <w:r>
        <w:rPr>
          <w:b/>
          <w:sz w:val="22"/>
        </w:rPr>
        <w:t>Numbers</w:t>
      </w:r>
    </w:p>
    <w:p>
      <w:pPr>
        <w:spacing w:after="120"/>
      </w:pPr>
      <w:r>
        <w:rPr>
          <w:sz w:val="21"/>
        </w:rPr>
        <w:t>Need a real use-of-funds before the v2 review in January. Equipment list, build-out estimate, six months of operating cushion. She says lenders want to see the cushion more than the dream.</w:t>
      </w:r>
    </w:p>
    <w:p>
      <w:r>
        <w:rPr>
          <w:b/>
          <w:sz w:val="22"/>
        </w:rPr>
        <w:t>Savings</w:t>
      </w:r>
    </w:p>
    <w:p>
      <w:pPr>
        <w:spacing w:after="120"/>
      </w:pPr>
      <w:r>
        <w:rPr>
          <w:sz w:val="21"/>
        </w:rPr>
        <w:t>Keep the bakery fund separate, which i am. Keep feeding it on the first. She liked that it is automatic so i cannot talk myself out of it.</w:t>
      </w:r>
    </w:p>
    <w:p>
      <w:r>
        <w:rPr>
          <w:b/>
          <w:sz w:val="22"/>
        </w:rPr>
        <w:t>Homework</w:t>
      </w:r>
    </w:p>
    <w:p>
      <w:pPr>
        <w:spacing w:after="120"/>
      </w:pPr>
      <w:r>
        <w:rPr>
          <w:sz w:val="21"/>
        </w:rPr>
        <w:t>Three storefront comps with real square footage and asking rent. A draft menu with food cost per item. One paragraph on what makes the place different that is not just nostalgia.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