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3864"/>
          <w:sz w:val="40"/>
          <w:szCs w:val="40"/>
        </w:rPr>
        <w:t xml:space="preserve">AI-Powered Food Safety &amp;</w:t>
      </w:r>
    </w:p>
    <w:p>
      <w:pPr>
        <w:spacing w:after="400"/>
        <w:jc w:val="center"/>
      </w:pPr>
      <w:r>
        <w:rPr>
          <w:b/>
          <w:bCs/>
          <w:color w:val="1F3864"/>
          <w:sz w:val="40"/>
          <w:szCs w:val="40"/>
        </w:rPr>
        <w:t xml:space="preserve">Public Health Surveillance Platform</w:t>
      </w:r>
    </w:p>
    <w:p>
      <w:pPr>
        <w:spacing w:after="120"/>
        <w:jc w:val="center"/>
      </w:pPr>
      <w:r>
        <w:rPr>
          <w:i/>
          <w:iCs/>
          <w:color w:val="44546A"/>
          <w:sz w:val="26"/>
          <w:szCs w:val="26"/>
        </w:rPr>
        <w:t xml:space="preserve">Five Patent-Worthy Research Topics, Ranked by Priority</w:t>
      </w:r>
    </w:p>
    <w:p>
      <w:pPr>
        <w:spacing w:after="1000"/>
        <w:jc w:val="center"/>
      </w:pPr>
      <w:r>
        <w:rPr>
          <w:color w:val="595959"/>
          <w:sz w:val="22"/>
          <w:szCs w:val="22"/>
        </w:rPr>
        <w:t xml:space="preserve">Prepared for: Regulatory &amp; FMCG Deployment (FSSAI / Nestlé India)</w:t>
      </w:r>
    </w:p>
    <w:p>
      <w:pPr>
        <w:spacing w:after="60"/>
        <w:jc w:val="center"/>
      </w:pPr>
      <w:r>
        <w:rPr>
          <w:color w:val="808080"/>
          <w:sz w:val="20"/>
          <w:szCs w:val="20"/>
        </w:rPr>
        <w:t xml:space="preserve">Order of presentation: Priority 1 → Priority 4</w:t>
      </w:r>
    </w:p>
    <w:p>
      <w:pPr>
        <w:jc w:val="center"/>
      </w:pPr>
      <w:r>
        <w:rPr>
          <w:color w:val="808080"/>
          <w:sz w:val="20"/>
          <w:szCs w:val="20"/>
        </w:rPr>
        <w:t xml:space="preserve">Topic 3  ·  Topic 2  ·  Topic 4  ·  Topic 1</w:t>
      </w:r>
    </w:p>
    <w:p>
      <w:r>
        <w:br w:type="page"/>
      </w:r>
    </w:p>
    <w:p>
      <w:pPr>
        <w:pStyle w:val="Heading1"/>
        <w:spacing w:after="160"/>
      </w:pPr>
      <w:r>
        <w:rPr>
          <w:b/>
          <w:bCs/>
          <w:color w:val="1F3864"/>
        </w:rPr>
        <w:t xml:space="preserve">How to Read This Document</w:t>
      </w:r>
    </w:p>
    <w:p>
      <w:pPr>
        <w:spacing w:after="160" w:line="276"/>
      </w:pPr>
      <w:r>
        <w:rPr>
          <w:sz w:val="22"/>
          <w:szCs w:val="22"/>
        </w:rPr>
        <w:t xml:space="preserve">The five original topics generated from the problem statement are presented below in priority order rather than in their original numbering — the topic that offers the best overall balance of novelty, feasibility, and deployability comes first, and the most ambitious but riskiest topic comes last. Each entry retains its original topic number for cross-reference, alongside the short rationale for its ranking.</w:t>
      </w:r>
    </w:p>
    <w:p>
      <w:pPr>
        <w:spacing w:after="160" w:line="276"/>
      </w:pPr>
      <w:r>
        <w:rPr>
          <w:sz w:val="22"/>
          <w:szCs w:val="22"/>
        </w:rPr>
        <w:t xml:space="preserve">Each topic is broken down into five sections: the unsolved technical problem it addresses, its novel methodological architecture, the data fusion pipeline it depends on, the specific patentability and novelty claim, and the target partner deployment path with FSSAI and/or Nestlé India.</w:t>
      </w:r>
    </w:p>
    <w:p>
      <w:r>
        <w:br w:type="page"/>
      </w:r>
    </w:p>
    <w:p>
      <w:pPr>
        <w:pStyle w:val="Heading1"/>
        <w:spacing w:after="160" w:before="0"/>
      </w:pPr>
      <w:r>
        <w:rPr>
          <w:color w:val="808080"/>
          <w:sz w:val="22"/>
          <w:szCs w:val="22"/>
        </w:rPr>
        <w:t xml:space="preserve">Priority 1  ·  Topic 3</w:t>
      </w:r>
      <w:r>
        <w:br/>
        <w:t xml:space="preserve"/>
      </w:r>
      <w:r>
        <w:rPr>
          <w:b/>
          <w:bCs/>
          <w:color w:val="1F3864"/>
          <w:sz w:val="30"/>
          <w:szCs w:val="30"/>
        </w:rPr>
        <w:t xml:space="preserve">Certificate-Carrying Generation: Neuro-Symbolic Verification of LLM-Derived Regulatory Compliance Assertions Over Temporally Versioned Standards</w:t>
      </w:r>
    </w:p>
    <w:tbl>
      <w:tblPr>
        <w:tblW w:type="pct" w:w="100%"/>
        <w:tblBorders>
          <w:top w:val="single" w:color="1F3864" w:sz="4"/>
          <w:left w:val="single" w:color="1F3864" w:sz="4"/>
          <w:bottom w:val="single" w:color="1F3864" w:sz="4"/>
          <w:right w:val="single" w:color="1F3864" w:sz="4"/>
          <w:insideH w:val="none" w:color="FFFFFF" w:sz="0"/>
          <w:insideV w:val="none" w:color="FFFFFF" w:sz="0"/>
        </w:tblBorders>
      </w:tblPr>
      <w:tblGrid>
        <w:gridCol w:w="100"/>
      </w:tblGrid>
      <w:tr>
        <w:tc>
          <w:tcPr>
            <w:tcW w:type="pct" w:w="100%"/>
            <w:shd w:fill="EDF2FA" w:val="clear"/>
            <w:tcMar>
              <w:top w:type="dxa" w:w="160"/>
              <w:left w:type="dxa" w:w="200"/>
              <w:bottom w:type="dxa" w:w="160"/>
              <w:right w:type="dxa" w:w="200"/>
            </w:tcMar>
          </w:tcPr>
          <w:p>
            <w:pPr>
              <w:spacing w:after="40"/>
            </w:pPr>
            <w:r>
              <w:rPr>
                <w:b/>
                <w:bCs/>
                <w:color w:val="1F3864"/>
                <w:sz w:val="20"/>
                <w:szCs w:val="20"/>
              </w:rPr>
              <w:t xml:space="preserve">PRIORITY 1</w:t>
            </w:r>
          </w:p>
          <w:p>
            <w:pPr>
              <w:spacing w:after="0" w:line="276"/>
            </w:pPr>
            <w:r>
              <w:rPr>
                <w:b/>
                <w:bCs/>
                <w:i/>
                <w:iCs/>
                <w:sz w:val="21"/>
                <w:szCs w:val="21"/>
              </w:rPr>
              <w:t xml:space="preserve">Why this priority: </w:t>
            </w:r>
            <w:r>
              <w:rPr>
                <w:i/>
                <w:iCs/>
                <w:sz w:val="21"/>
                <w:szCs w:val="21"/>
              </w:rPr>
              <w:t xml:space="preserve">Best balance of novelty, feasibility, broad applicability, and likelihood of producing a deployable system with publishable and patentable contributions.</w:t>
            </w:r>
          </w:p>
        </w:tc>
      </w:tr>
    </w:tbl>
    <w:p>
      <w:pPr>
        <w:spacing w:after="120"/>
      </w:pPr>
    </w:p>
    <w:p>
      <w:pPr>
        <w:pStyle w:val="Heading2"/>
        <w:spacing w:after="120" w:before="260"/>
      </w:pPr>
      <w:r>
        <w:rPr>
          <w:b/>
          <w:bCs/>
          <w:color w:val="1F3864"/>
        </w:rPr>
        <w:t xml:space="preserve">The Unsolved Technical Problem</w:t>
      </w:r>
    </w:p>
    <w:p>
      <w:pPr>
        <w:spacing w:after="160" w:line="276"/>
      </w:pPr>
      <w:r>
        <w:rPr>
          <w:sz w:val="22"/>
          <w:szCs w:val="22"/>
        </w:rPr>
        <w:t xml:space="preserve">Retrieval-augmented generation reduces hallucination in compliance question-answering, but "reduced" is not a category that regulators or auditors can accept. Two specific failure modes remain unaddressed by retrieval alone.</w:t>
      </w:r>
    </w:p>
    <w:p>
      <w:pPr>
        <w:spacing w:after="160" w:line="276"/>
      </w:pPr>
      <w:r>
        <w:rPr>
          <w:sz w:val="22"/>
          <w:szCs w:val="22"/>
        </w:rPr>
        <w:t xml:space="preserve">First, </w:t>
      </w:r>
      <w:r>
        <w:rPr>
          <w:b/>
          <w:bCs/>
          <w:sz w:val="22"/>
          <w:szCs w:val="22"/>
        </w:rPr>
        <w:t xml:space="preserve">arithmetic and unit-comparison errors</w:t>
      </w:r>
      <w:r>
        <w:rPr>
          <w:sz w:val="22"/>
          <w:szCs w:val="22"/>
        </w:rPr>
        <w:t xml:space="preserve">: an LLM comparing a limit expressed as 0.05 mg/kg against a result expressed as 50 ppb will silently get the comparison wrong at a non-trivial rate, because unit conversion and numeric comparison are not reliably solved by next-token prediction.</w:t>
      </w:r>
    </w:p>
    <w:p>
      <w:pPr>
        <w:spacing w:after="160" w:line="276"/>
      </w:pPr>
      <w:r>
        <w:rPr>
          <w:sz w:val="22"/>
          <w:szCs w:val="22"/>
        </w:rPr>
        <w:t xml:space="preserve">Second, and largely ignored in the literature, is </w:t>
      </w:r>
      <w:r>
        <w:rPr>
          <w:b/>
          <w:bCs/>
          <w:sz w:val="22"/>
          <w:szCs w:val="22"/>
        </w:rPr>
        <w:t xml:space="preserve">regulatory temporality</w:t>
      </w:r>
      <w:r>
        <w:rPr>
          <w:sz w:val="22"/>
          <w:szCs w:val="22"/>
        </w:rPr>
        <w:t xml:space="preserve">: whether a batch is compliant depends on which amendment of which standard was legally in force on the manufacturing date, in the destination jurisdiction. A model that retrieves the currently indexed maximum residue limit and applies it to a batch manufactured under an earlier amendment is confidently, and expensively, wrong.</w:t>
      </w:r>
    </w:p>
    <w:p>
      <w:pPr>
        <w:pStyle w:val="Heading2"/>
        <w:spacing w:after="120" w:before="260"/>
      </w:pPr>
      <w:r>
        <w:rPr>
          <w:b/>
          <w:bCs/>
          <w:color w:val="1F3864"/>
        </w:rPr>
        <w:t xml:space="preserve">Novel Methodological Architecture</w:t>
      </w:r>
    </w:p>
    <w:p>
      <w:pPr>
        <w:pStyle w:val="ListParagraph"/>
        <w:numPr>
          <w:ilvl w:val="0"/>
          <w:numId w:val="2"/>
        </w:numPr>
        <w:spacing w:after="120" w:line="276"/>
      </w:pPr>
      <w:r>
        <w:rPr>
          <w:sz w:val="22"/>
          <w:szCs w:val="22"/>
        </w:rPr>
        <w:t xml:space="preserve">Regulations are compiled into a </w:t>
      </w:r>
      <w:r>
        <w:rPr>
          <w:b/>
          <w:bCs/>
          <w:sz w:val="22"/>
          <w:szCs w:val="22"/>
        </w:rPr>
        <w:t xml:space="preserve">temporally versioned symbolic knowledge base</w:t>
      </w:r>
      <w:r>
        <w:rPr>
          <w:sz w:val="22"/>
          <w:szCs w:val="22"/>
        </w:rPr>
        <w:t xml:space="preserve"> — every provision is represented as a first-order logical constraint, annotated with a validity interval, a jurisdiction scope, and a content hash identifying its exact version.</w:t>
      </w:r>
    </w:p>
    <w:p>
      <w:pPr>
        <w:pStyle w:val="ListParagraph"/>
        <w:numPr>
          <w:ilvl w:val="0"/>
          <w:numId w:val="2"/>
        </w:numPr>
        <w:spacing w:after="120" w:line="276"/>
      </w:pPr>
      <w:r>
        <w:rPr>
          <w:sz w:val="22"/>
          <w:szCs w:val="22"/>
        </w:rPr>
        <w:t xml:space="preserve">The LLM's role is deliberately narrowed to </w:t>
      </w:r>
      <w:r>
        <w:rPr>
          <w:b/>
          <w:bCs/>
          <w:sz w:val="22"/>
          <w:szCs w:val="22"/>
        </w:rPr>
        <w:t xml:space="preserve">semantic parsing only</w:t>
      </w:r>
      <w:r>
        <w:rPr>
          <w:sz w:val="22"/>
          <w:szCs w:val="22"/>
        </w:rPr>
        <w:t xml:space="preserve">: it translates the natural-language query and the retrieved provisions into a formal constraint expression, and later translates verified results back into prose. It is never permitted to act as the arbiter of truth.</w:t>
      </w:r>
    </w:p>
    <w:p>
      <w:pPr>
        <w:pStyle w:val="ListParagraph"/>
        <w:numPr>
          <w:ilvl w:val="0"/>
          <w:numId w:val="2"/>
        </w:numPr>
        <w:spacing w:after="120" w:line="276"/>
      </w:pPr>
      <w:r>
        <w:rPr>
          <w:sz w:val="22"/>
          <w:szCs w:val="22"/>
        </w:rPr>
        <w:t xml:space="preserve">The resulting constraint expression, combined with the batch's factual data, is discharged by an </w:t>
      </w:r>
      <w:r>
        <w:rPr>
          <w:b/>
          <w:bCs/>
          <w:sz w:val="22"/>
          <w:szCs w:val="22"/>
        </w:rPr>
        <w:t xml:space="preserve">SMT (Satisfiability Modulo Theories) solver</w:t>
      </w:r>
      <w:r>
        <w:rPr>
          <w:sz w:val="22"/>
          <w:szCs w:val="22"/>
        </w:rPr>
        <w:t xml:space="preserve"> extended with a units-of-measure theory, so dimensional analysis and numeric comparison are checked mechanically rather than generated probabilistically.</w:t>
      </w:r>
    </w:p>
    <w:p>
      <w:pPr>
        <w:pStyle w:val="ListParagraph"/>
        <w:numPr>
          <w:ilvl w:val="0"/>
          <w:numId w:val="2"/>
        </w:numPr>
        <w:spacing w:after="120" w:line="276"/>
      </w:pPr>
      <w:r>
        <w:rPr>
          <w:sz w:val="22"/>
          <w:szCs w:val="22"/>
        </w:rPr>
        <w:t xml:space="preserve">Every output is </w:t>
      </w:r>
      <w:r>
        <w:rPr>
          <w:b/>
          <w:bCs/>
          <w:sz w:val="22"/>
          <w:szCs w:val="22"/>
        </w:rPr>
        <w:t xml:space="preserve">certificate-carrying</w:t>
      </w:r>
      <w:r>
        <w:rPr>
          <w:sz w:val="22"/>
          <w:szCs w:val="22"/>
        </w:rPr>
        <w:t xml:space="preserve">: each compliance assertion is bound to a machine-checkable proof trace listing the exact provision versions invoked, the batch facts consumed, and the solver's derivation steps. A downstream auditor or system can re-verify the certificate independently, without re-invoking the language model.</w:t>
      </w:r>
    </w:p>
    <w:p>
      <w:pPr>
        <w:pStyle w:val="ListParagraph"/>
        <w:numPr>
          <w:ilvl w:val="0"/>
          <w:numId w:val="2"/>
        </w:numPr>
        <w:spacing w:after="120" w:line="276"/>
      </w:pPr>
      <w:r>
        <w:rPr>
          <w:sz w:val="22"/>
          <w:szCs w:val="22"/>
        </w:rPr>
        <w:t xml:space="preserve">The system practices </w:t>
      </w:r>
      <w:r>
        <w:rPr>
          <w:b/>
          <w:bCs/>
          <w:sz w:val="22"/>
          <w:szCs w:val="22"/>
        </w:rPr>
        <w:t xml:space="preserve">principled abstention</w:t>
      </w:r>
      <w:r>
        <w:rPr>
          <w:sz w:val="22"/>
          <w:szCs w:val="22"/>
        </w:rPr>
        <w:t xml:space="preserve">: if the constraint set is unsatisfiable, underdetermined, or spans conflicting jurisdictions, it refuses to answer and instead returns the specific missing fact or the exact conflicting provision pair, rather than producing a plausible-sounding sentence.</w:t>
      </w:r>
    </w:p>
    <w:p>
      <w:pPr>
        <w:pStyle w:val="ListParagraph"/>
        <w:numPr>
          <w:ilvl w:val="0"/>
          <w:numId w:val="2"/>
        </w:numPr>
        <w:spacing w:after="120" w:line="276"/>
      </w:pPr>
      <w:r>
        <w:rPr>
          <w:sz w:val="22"/>
          <w:szCs w:val="22"/>
        </w:rPr>
        <w:t xml:space="preserve">Multi-jurisdiction export logic — FSSAI limits versus Codex Alimentarius versus EU or US maximum residue limits — is handled as logical conjunction of constraints, with the system explicitly surfacing which jurisdiction's limit is the binding (most restrictive) one.</w:t>
      </w:r>
    </w:p>
    <w:p>
      <w:pPr>
        <w:pStyle w:val="Heading2"/>
        <w:spacing w:after="120" w:before="260"/>
      </w:pPr>
      <w:r>
        <w:rPr>
          <w:b/>
          <w:bCs/>
          <w:color w:val="1F3864"/>
        </w:rPr>
        <w:t xml:space="preserve">Data Fusion Pipeline</w:t>
      </w:r>
    </w:p>
    <w:p>
      <w:pPr>
        <w:spacing w:after="160" w:line="276"/>
      </w:pPr>
      <w:r>
        <w:rPr>
          <w:sz w:val="22"/>
          <w:szCs w:val="22"/>
        </w:rPr>
        <w:t xml:space="preserve">The knowledge base is built from FSSAI Food Safety and Standards Regulations with full amendment history and gazette notifications, Codex Alimentarius maximum residue limit tables, and EU/US importing-country limits. This is fused against product formulation and specification records, batch QA test certificates, labeling and claims data, and import/export documentation, so that every compliance query resolves against both the correct legal text and the correct factual batch record.</w:t>
      </w:r>
    </w:p>
    <w:p>
      <w:pPr>
        <w:pStyle w:val="Heading2"/>
        <w:spacing w:after="120" w:before="260"/>
      </w:pPr>
      <w:r>
        <w:rPr>
          <w:b/>
          <w:bCs/>
          <w:color w:val="1F3864"/>
        </w:rPr>
        <w:t xml:space="preserve">Patentability &amp; Novelty Claim</w:t>
      </w:r>
    </w:p>
    <w:p>
      <w:pPr>
        <w:spacing w:after="160" w:line="276"/>
      </w:pPr>
      <w:r>
        <w:rPr>
          <w:sz w:val="22"/>
          <w:szCs w:val="22"/>
        </w:rPr>
        <w:t xml:space="preserve">The novelty is deliberately </w:t>
      </w:r>
      <w:r>
        <w:rPr>
          <w:b/>
          <w:bCs/>
          <w:sz w:val="22"/>
          <w:szCs w:val="22"/>
        </w:rPr>
        <w:t xml:space="preserve">not</w:t>
      </w:r>
      <w:r>
        <w:rPr>
          <w:sz w:val="22"/>
          <w:szCs w:val="22"/>
        </w:rPr>
        <w:t xml:space="preserve"> "LLM plus RAG for compliance" — that combination is neither patentable nor publishable on its own. The inventive step is the </w:t>
      </w:r>
      <w:r>
        <w:rPr>
          <w:b/>
          <w:bCs/>
          <w:sz w:val="22"/>
          <w:szCs w:val="22"/>
        </w:rPr>
        <w:t xml:space="preserve">temporally-scoped proof certificate</w:t>
      </w:r>
      <w:r>
        <w:rPr>
          <w:sz w:val="22"/>
          <w:szCs w:val="22"/>
        </w:rPr>
        <w:t xml:space="preserve">: a generation architecture in which no compliance assertion escapes the system without an independently verifiable derivation, bound to versioned, hashed provisions. This gives a formal soundness guarantee — the system provably never asserts a false compliance claim within the covered logical fragment — traded off explicitly against completeness, since the system may abstain rather than guess. The measurable technical effect is driving the false-compliance rate to a provable zero on the covered fragment, versus the non-zero and largely unmeasurable rate of any purely neural system. This is defensible under India's Section 3(k) technical-effect requirement because the claim is a verification architecture, not an abstract algorithm, and it is a strong fit for IEEE or applied-AI venues alongside patent filing.</w:t>
      </w:r>
    </w:p>
    <w:p>
      <w:pPr>
        <w:pStyle w:val="Heading2"/>
        <w:spacing w:after="120" w:before="260"/>
      </w:pPr>
      <w:r>
        <w:rPr>
          <w:b/>
          <w:bCs/>
          <w:color w:val="1F3864"/>
        </w:rPr>
        <w:t xml:space="preserve">Target Partner Deployment</w:t>
      </w:r>
    </w:p>
    <w:p>
      <w:pPr>
        <w:spacing w:after="160" w:line="276"/>
      </w:pPr>
      <w:r>
        <w:rPr>
          <w:sz w:val="22"/>
          <w:szCs w:val="22"/>
        </w:rPr>
        <w:t xml:space="preserve">FSSAI is the natural anchor partner, since the certificate is itself an audit artifact — precisely what an enforcement body needs and what a black-box model can never provide. For Nestlé India, the deployment path is pre-launch formulation screening and export documentation, benchmarked against expert regulatory affairs reviewers on a held-out set of historical batches and scored on false-compliance rate, abstention rate, and reviewer hours saved.</w:t>
      </w:r>
    </w:p>
    <w:p>
      <w:r>
        <w:br w:type="page"/>
      </w:r>
    </w:p>
    <w:p>
      <w:pPr>
        <w:pStyle w:val="Heading1"/>
        <w:spacing w:after="160" w:before="0"/>
      </w:pPr>
      <w:r>
        <w:rPr>
          <w:color w:val="808080"/>
          <w:sz w:val="22"/>
          <w:szCs w:val="22"/>
        </w:rPr>
        <w:t xml:space="preserve">Priority 2  ·  Topic 2</w:t>
      </w:r>
      <w:r>
        <w:br/>
        <w:t xml:space="preserve"/>
      </w:r>
      <w:r>
        <w:rPr>
          <w:b/>
          <w:bCs/>
          <w:color w:val="1F3864"/>
          <w:sz w:val="30"/>
          <w:szCs w:val="30"/>
        </w:rPr>
        <w:t xml:space="preserve">Mass-Conservation-Constrained Graph Neural Networks for Inverse Contamination Source Localization in Blended Agri-Food Supply Networks</w:t>
      </w:r>
    </w:p>
    <w:tbl>
      <w:tblPr>
        <w:tblW w:type="pct" w:w="100%"/>
        <w:tblBorders>
          <w:top w:val="single" w:color="1F3864" w:sz="4"/>
          <w:left w:val="single" w:color="1F3864" w:sz="4"/>
          <w:bottom w:val="single" w:color="1F3864" w:sz="4"/>
          <w:right w:val="single" w:color="1F3864" w:sz="4"/>
          <w:insideH w:val="none" w:color="FFFFFF" w:sz="0"/>
          <w:insideV w:val="none" w:color="FFFFFF" w:sz="0"/>
        </w:tblBorders>
      </w:tblPr>
      <w:tblGrid>
        <w:gridCol w:w="100"/>
      </w:tblGrid>
      <w:tr>
        <w:tc>
          <w:tcPr>
            <w:tcW w:type="pct" w:w="100%"/>
            <w:shd w:fill="EDF2FA" w:val="clear"/>
            <w:tcMar>
              <w:top w:type="dxa" w:w="160"/>
              <w:left w:type="dxa" w:w="200"/>
              <w:bottom w:type="dxa" w:w="160"/>
              <w:right w:type="dxa" w:w="200"/>
            </w:tcMar>
          </w:tcPr>
          <w:p>
            <w:pPr>
              <w:spacing w:after="40"/>
            </w:pPr>
            <w:r>
              <w:rPr>
                <w:b/>
                <w:bCs/>
                <w:color w:val="1F3864"/>
                <w:sz w:val="20"/>
                <w:szCs w:val="20"/>
              </w:rPr>
              <w:t xml:space="preserve">PRIORITY 2</w:t>
            </w:r>
          </w:p>
          <w:p>
            <w:pPr>
              <w:spacing w:after="0" w:line="276"/>
            </w:pPr>
            <w:r>
              <w:rPr>
                <w:b/>
                <w:bCs/>
                <w:i/>
                <w:iCs/>
                <w:sz w:val="21"/>
                <w:szCs w:val="21"/>
              </w:rPr>
              <w:t xml:space="preserve">Why this priority: </w:t>
            </w:r>
            <w:r>
              <w:rPr>
                <w:i/>
                <w:iCs/>
                <w:sz w:val="21"/>
                <w:szCs w:val="21"/>
              </w:rPr>
              <w:t xml:space="preserve">Strong if you're interested in graph ML and supply-chain analytics and can access realistic data or simulations.</w:t>
            </w:r>
          </w:p>
        </w:tc>
      </w:tr>
    </w:tbl>
    <w:p>
      <w:pPr>
        <w:spacing w:after="120"/>
      </w:pPr>
    </w:p>
    <w:p>
      <w:pPr>
        <w:pStyle w:val="Heading2"/>
        <w:spacing w:after="120" w:before="260"/>
      </w:pPr>
      <w:r>
        <w:rPr>
          <w:b/>
          <w:bCs/>
          <w:color w:val="1F3864"/>
        </w:rPr>
        <w:t xml:space="preserve">The Unsolved Technical Problem</w:t>
      </w:r>
    </w:p>
    <w:p>
      <w:pPr>
        <w:spacing w:after="160" w:line="276"/>
      </w:pPr>
      <w:r>
        <w:rPr>
          <w:sz w:val="22"/>
          <w:szCs w:val="22"/>
        </w:rPr>
        <w:t xml:space="preserve">Contamination traceback in a real food supply network is an </w:t>
      </w:r>
      <w:r>
        <w:rPr>
          <w:b/>
          <w:bCs/>
          <w:sz w:val="22"/>
          <w:szCs w:val="22"/>
        </w:rPr>
        <w:t xml:space="preserve">ill-posed inverse problem</w:t>
      </w:r>
      <w:r>
        <w:rPr>
          <w:sz w:val="22"/>
          <w:szCs w:val="22"/>
        </w:rPr>
        <w:t xml:space="preserve">. Product streams do not just split — one lot reaching many retailers — they also </w:t>
      </w:r>
      <w:r>
        <w:rPr>
          <w:b/>
          <w:bCs/>
          <w:sz w:val="22"/>
          <w:szCs w:val="22"/>
        </w:rPr>
        <w:t xml:space="preserve">merge</w:t>
      </w:r>
      <w:r>
        <w:rPr>
          <w:sz w:val="22"/>
          <w:szCs w:val="22"/>
        </w:rPr>
        <w:t xml:space="preserve">: bulk milk pooling, grain blending, and spice mixing are structural features of Indian agri-supply chains.</w:t>
      </w:r>
    </w:p>
    <w:p>
      <w:pPr>
        <w:spacing w:after="160" w:line="276"/>
      </w:pPr>
      <w:r>
        <w:rPr>
          <w:sz w:val="22"/>
          <w:szCs w:val="22"/>
        </w:rPr>
        <w:t xml:space="preserve">Once streams merge, dilution destroys concentration information, and standard graph traceback becomes combinatorially degenerate: hundreds of upstream farms can be equally consistent with a single observed downstream positive result. Purely data-driven graph neural networks will still produce a confident attribution in this situation, but nothing constrains them to conserve contaminant mass, so that confident answer can be physically impossible.</w:t>
      </w:r>
    </w:p>
    <w:p>
      <w:pPr>
        <w:pStyle w:val="Heading2"/>
        <w:spacing w:after="120" w:before="260"/>
      </w:pPr>
      <w:r>
        <w:rPr>
          <w:b/>
          <w:bCs/>
          <w:color w:val="1F3864"/>
        </w:rPr>
        <w:t xml:space="preserve">Novel Methodological Architecture</w:t>
      </w:r>
    </w:p>
    <w:p>
      <w:pPr>
        <w:pStyle w:val="ListParagraph"/>
        <w:numPr>
          <w:ilvl w:val="0"/>
          <w:numId w:val="2"/>
        </w:numPr>
        <w:spacing w:after="120" w:line="276"/>
      </w:pPr>
      <w:r>
        <w:rPr>
          <w:sz w:val="22"/>
          <w:szCs w:val="22"/>
        </w:rPr>
        <w:t xml:space="preserve">The supply chain is represented as a </w:t>
      </w:r>
      <w:r>
        <w:rPr>
          <w:b/>
          <w:bCs/>
          <w:sz w:val="22"/>
          <w:szCs w:val="22"/>
        </w:rPr>
        <w:t xml:space="preserve">directed material-flow hypergraph</w:t>
      </w:r>
      <w:r>
        <w:rPr>
          <w:sz w:val="22"/>
          <w:szCs w:val="22"/>
        </w:rPr>
        <w:t xml:space="preserve">, with edge weights equal to physical mass flows rather than simple connectivity.</w:t>
      </w:r>
    </w:p>
    <w:p>
      <w:pPr>
        <w:pStyle w:val="ListParagraph"/>
        <w:numPr>
          <w:ilvl w:val="0"/>
          <w:numId w:val="2"/>
        </w:numPr>
        <w:spacing w:after="120" w:line="276"/>
      </w:pPr>
      <w:r>
        <w:rPr>
          <w:sz w:val="22"/>
          <w:szCs w:val="22"/>
        </w:rPr>
        <w:t xml:space="preserve">Message passing is made </w:t>
      </w:r>
      <w:r>
        <w:rPr>
          <w:b/>
          <w:bCs/>
          <w:sz w:val="22"/>
          <w:szCs w:val="22"/>
        </w:rPr>
        <w:t xml:space="preserve">physics-informed</w:t>
      </w:r>
      <w:r>
        <w:rPr>
          <w:sz w:val="22"/>
          <w:szCs w:val="22"/>
        </w:rPr>
        <w:t xml:space="preserve">: the aggregation operator is constrained to satisfy a discrete mass-balance law at every node, so contaminant mass out equals mass in minus degradation. Degradation is modeled with first-order kinetics and an </w:t>
      </w:r>
      <w:r>
        <w:rPr>
          <w:b/>
          <w:bCs/>
          <w:sz w:val="22"/>
          <w:szCs w:val="22"/>
        </w:rPr>
        <w:t xml:space="preserve">Arrhenius temperature dependence</w:t>
      </w:r>
      <w:r>
        <w:rPr>
          <w:sz w:val="22"/>
          <w:szCs w:val="22"/>
        </w:rPr>
        <w:t xml:space="preserve"> driven directly by cold-chain IoT time-temperature traces, so thermal history enters the model as physics rather than as an undifferentiated input feature. Pathogen loads use an analogous growth model (Baranyi or Gompertz) under the same thermal driver.</w:t>
      </w:r>
    </w:p>
    <w:p>
      <w:pPr>
        <w:pStyle w:val="ListParagraph"/>
        <w:numPr>
          <w:ilvl w:val="0"/>
          <w:numId w:val="2"/>
        </w:numPr>
        <w:spacing w:after="120" w:line="276"/>
      </w:pPr>
      <w:r>
        <w:rPr>
          <w:sz w:val="22"/>
          <w:szCs w:val="22"/>
        </w:rPr>
        <w:t xml:space="preserve">Source localization is posed as a </w:t>
      </w:r>
      <w:r>
        <w:rPr>
          <w:b/>
          <w:bCs/>
          <w:sz w:val="22"/>
          <w:szCs w:val="22"/>
        </w:rPr>
        <w:t xml:space="preserve">regularized inverse problem</w:t>
      </w:r>
      <w:r>
        <w:rPr>
          <w:sz w:val="22"/>
          <w:szCs w:val="22"/>
        </w:rPr>
        <w:t xml:space="preserve"> — sparse, non-negative source-vector recovery over the flow graph — with the graph neural network acting as a learned preconditioner while the physical mass-balance operator supplies the forward model.</w:t>
      </w:r>
    </w:p>
    <w:p>
      <w:pPr>
        <w:pStyle w:val="ListParagraph"/>
        <w:numPr>
          <w:ilvl w:val="0"/>
          <w:numId w:val="2"/>
        </w:numPr>
        <w:spacing w:after="120" w:line="276"/>
      </w:pPr>
      <w:r>
        <w:rPr>
          <w:sz w:val="22"/>
          <w:szCs w:val="22"/>
        </w:rPr>
        <w:t xml:space="preserve">The distinguishing component is an </w:t>
      </w:r>
      <w:r>
        <w:rPr>
          <w:b/>
          <w:bCs/>
          <w:sz w:val="22"/>
          <w:szCs w:val="22"/>
        </w:rPr>
        <w:t xml:space="preserve">identifiability certificate</w:t>
      </w:r>
      <w:r>
        <w:rPr>
          <w:sz w:val="22"/>
          <w:szCs w:val="22"/>
        </w:rPr>
        <w:t xml:space="preserve">: before returning any attribution, the system computes the rank and conditioning of the local forward operator restricted to the candidate ancestor set, and emits an explicit indistinguishability class — for example, "these seven farms are provably not separable given current sampling" — together with the minimal additional sampling point that would break that degeneracy.</w:t>
      </w:r>
    </w:p>
    <w:p>
      <w:pPr>
        <w:pStyle w:val="ListParagraph"/>
        <w:numPr>
          <w:ilvl w:val="0"/>
          <w:numId w:val="2"/>
        </w:numPr>
        <w:spacing w:after="120" w:line="276"/>
      </w:pPr>
      <w:r>
        <w:rPr>
          <w:sz w:val="22"/>
          <w:szCs w:val="22"/>
        </w:rPr>
        <w:t xml:space="preserve">Uncertainty is propagated by posterior sampling over flow-record noise, since dispatch and batch records are known to contain errors in practice; this is modeled explicitly rather than assumed away.</w:t>
      </w:r>
    </w:p>
    <w:p>
      <w:pPr>
        <w:pStyle w:val="Heading2"/>
        <w:spacing w:after="120" w:before="260"/>
      </w:pPr>
      <w:r>
        <w:rPr>
          <w:b/>
          <w:bCs/>
          <w:color w:val="1F3864"/>
        </w:rPr>
        <w:t xml:space="preserve">Data Fusion Pipeline</w:t>
      </w:r>
    </w:p>
    <w:p>
      <w:pPr>
        <w:spacing w:after="160" w:line="276"/>
      </w:pPr>
      <w:r>
        <w:rPr>
          <w:sz w:val="22"/>
          <w:szCs w:val="22"/>
        </w:rPr>
        <w:t xml:space="preserve">The pipeline combines ERP and warehouse batch genealogy and dispatch records, IoT time-temperature loggers per shipment leg, GPS or telematics data for transit duration, laboratory assay concentrations (pesticide residue in ppm, aflatoxin in ppb, pathogen CFU counts), whole-genome sequencing of isolates for cluster confirmation, and mandi or FPO procurement ledgers covering the pre-processing tier.</w:t>
      </w:r>
    </w:p>
    <w:p>
      <w:pPr>
        <w:pStyle w:val="Heading2"/>
        <w:spacing w:after="120" w:before="260"/>
      </w:pPr>
      <w:r>
        <w:rPr>
          <w:b/>
          <w:bCs/>
          <w:color w:val="1F3864"/>
        </w:rPr>
        <w:t xml:space="preserve">Patentability &amp; Novelty Claim</w:t>
      </w:r>
    </w:p>
    <w:p>
      <w:pPr>
        <w:spacing w:after="160" w:line="276"/>
      </w:pPr>
      <w:r>
        <w:rPr>
          <w:sz w:val="22"/>
          <w:szCs w:val="22"/>
        </w:rPr>
        <w:t xml:space="preserve">Two distinct claim families arise. The first is the conservation-constrained message-passing operator coupled to a thermally driven degradation kernel — an architecture claim on the GNN itself. The second, and stronger, claim is the </w:t>
      </w:r>
      <w:r>
        <w:rPr>
          <w:b/>
          <w:bCs/>
          <w:sz w:val="22"/>
          <w:szCs w:val="22"/>
        </w:rPr>
        <w:t xml:space="preserve">active-sampling identifiability certificate</w:t>
      </w:r>
      <w:r>
        <w:rPr>
          <w:sz w:val="22"/>
          <w:szCs w:val="22"/>
        </w:rPr>
        <w:t xml:space="preserve">, which converts an otherwise unanswerable traceback query into a specific, minimal-cost testing recommendation. Reducing recall scope from "all suppliers to a pooling point" to a certified, provably minimal indistinguishability class is a concrete, quantifiable technical and economic effect, which strengthens both the patent claim and the case for a top-tier publication.</w:t>
      </w:r>
    </w:p>
    <w:p>
      <w:pPr>
        <w:pStyle w:val="Heading2"/>
        <w:spacing w:after="120" w:before="260"/>
      </w:pPr>
      <w:r>
        <w:rPr>
          <w:b/>
          <w:bCs/>
          <w:color w:val="1F3864"/>
        </w:rPr>
        <w:t xml:space="preserve">Target Partner Deployment</w:t>
      </w:r>
    </w:p>
    <w:p>
      <w:pPr>
        <w:spacing w:after="160" w:line="276"/>
      </w:pPr>
      <w:r>
        <w:rPr>
          <w:sz w:val="22"/>
          <w:szCs w:val="22"/>
        </w:rPr>
        <w:t xml:space="preserve">Nestlé India's dairy or spice procurement chain is close to an ideal testbed, since pooling is structural to both. Validation is via a controlled tracer study: introduce a benign, detectable marker at a known farm, sample downstream, and measure localization precision and the size of the certified candidate set against incumbent one-up-one-down traceability. FSSAI's complementary interest is the converse scenario — minimizing recall scope during an actual enforcement event.</w:t>
      </w:r>
    </w:p>
    <w:p>
      <w:r>
        <w:br w:type="page"/>
      </w:r>
    </w:p>
    <w:p>
      <w:pPr>
        <w:pStyle w:val="Heading1"/>
        <w:spacing w:after="160" w:before="0"/>
      </w:pPr>
      <w:r>
        <w:rPr>
          <w:color w:val="808080"/>
          <w:sz w:val="22"/>
          <w:szCs w:val="22"/>
        </w:rPr>
        <w:t xml:space="preserve">Priority 3  ·  Topic 4</w:t>
      </w:r>
      <w:r>
        <w:br/>
        <w:t xml:space="preserve"/>
      </w:r>
      <w:r>
        <w:rPr>
          <w:b/>
          <w:bCs/>
          <w:color w:val="1F3864"/>
          <w:sz w:val="30"/>
          <w:szCs w:val="30"/>
        </w:rPr>
        <w:t xml:space="preserve">Simulator-Anchored Conformal Risk Control for Early Detection of Rare Foodborne Outbreaks Under Extreme Class Imbalance</w:t>
      </w:r>
    </w:p>
    <w:tbl>
      <w:tblPr>
        <w:tblW w:type="pct" w:w="100%"/>
        <w:tblBorders>
          <w:top w:val="single" w:color="1F3864" w:sz="4"/>
          <w:left w:val="single" w:color="1F3864" w:sz="4"/>
          <w:bottom w:val="single" w:color="1F3864" w:sz="4"/>
          <w:right w:val="single" w:color="1F3864" w:sz="4"/>
          <w:insideH w:val="none" w:color="FFFFFF" w:sz="0"/>
          <w:insideV w:val="none" w:color="FFFFFF" w:sz="0"/>
        </w:tblBorders>
      </w:tblPr>
      <w:tblGrid>
        <w:gridCol w:w="100"/>
      </w:tblGrid>
      <w:tr>
        <w:tc>
          <w:tcPr>
            <w:tcW w:type="pct" w:w="100%"/>
            <w:shd w:fill="EDF2FA" w:val="clear"/>
            <w:tcMar>
              <w:top w:type="dxa" w:w="160"/>
              <w:left w:type="dxa" w:w="200"/>
              <w:bottom w:type="dxa" w:w="160"/>
              <w:right w:type="dxa" w:w="200"/>
            </w:tcMar>
          </w:tcPr>
          <w:p>
            <w:pPr>
              <w:spacing w:after="40"/>
            </w:pPr>
            <w:r>
              <w:rPr>
                <w:b/>
                <w:bCs/>
                <w:color w:val="1F3864"/>
                <w:sz w:val="20"/>
                <w:szCs w:val="20"/>
              </w:rPr>
              <w:t xml:space="preserve">PRIORITY 3</w:t>
            </w:r>
          </w:p>
          <w:p>
            <w:pPr>
              <w:spacing w:after="0" w:line="276"/>
            </w:pPr>
            <w:r>
              <w:rPr>
                <w:b/>
                <w:bCs/>
                <w:i/>
                <w:iCs/>
                <w:sz w:val="21"/>
                <w:szCs w:val="21"/>
              </w:rPr>
              <w:t xml:space="preserve">Why this priority: </w:t>
            </w:r>
            <w:r>
              <w:rPr>
                <w:i/>
                <w:iCs/>
                <w:sz w:val="21"/>
                <w:szCs w:val="21"/>
              </w:rPr>
              <w:t xml:space="preserve">Excellent research direction but more challenging because of the simulator and evaluation requirements.</w:t>
            </w:r>
          </w:p>
        </w:tc>
      </w:tr>
    </w:tbl>
    <w:p>
      <w:pPr>
        <w:spacing w:after="120"/>
      </w:pPr>
    </w:p>
    <w:p>
      <w:pPr>
        <w:pStyle w:val="Heading2"/>
        <w:spacing w:after="120" w:before="260"/>
      </w:pPr>
      <w:r>
        <w:rPr>
          <w:b/>
          <w:bCs/>
          <w:color w:val="1F3864"/>
        </w:rPr>
        <w:t xml:space="preserve">The Unsolved Technical Problem</w:t>
      </w:r>
    </w:p>
    <w:p>
      <w:pPr>
        <w:spacing w:after="160" w:line="276"/>
      </w:pPr>
      <w:r>
        <w:rPr>
          <w:sz w:val="22"/>
          <w:szCs w:val="22"/>
        </w:rPr>
        <w:t xml:space="preserve">Genuine multi-state foodborne outbreaks are extremely rare events, on the order of one in a hundred thousand to one in a million. Any detector trained on such events faces a regime where standard machine-learning calibration is close to meaningless, and where the operational constraint is not raw accuracy but a strict </w:t>
      </w:r>
      <w:r>
        <w:rPr>
          <w:b/>
          <w:bCs/>
          <w:sz w:val="22"/>
          <w:szCs w:val="22"/>
        </w:rPr>
        <w:t xml:space="preserve">false-alarm budget</w:t>
      </w:r>
      <w:r>
        <w:rPr>
          <w:sz w:val="22"/>
          <w:szCs w:val="22"/>
        </w:rPr>
        <w:t xml:space="preserve"> — a regulator can realistically act on only a handful of alerts per month, and an alert that triggers an unnecessary recall is enormously costly.</w:t>
      </w:r>
    </w:p>
    <w:p>
      <w:pPr>
        <w:spacing w:after="160" w:line="276"/>
      </w:pPr>
      <w:r>
        <w:rPr>
          <w:sz w:val="22"/>
          <w:szCs w:val="22"/>
        </w:rPr>
        <w:t xml:space="preserve">Naive resampling techniques such as SMOTE and its descendants interpolate synthetic positives in feature space, which routinely produces epidemiologically impossible cases and detectors that are confident on synthetic artifacts rather than on real outbreak dynamics. Meanwhile conformal prediction — the natural tool for distribution-free statistical guarantees — requires a calibration set of positive examples that, by definition, does not exist at meaningful scale for rare events.</w:t>
      </w:r>
    </w:p>
    <w:p>
      <w:pPr>
        <w:pStyle w:val="Heading2"/>
        <w:spacing w:after="120" w:before="260"/>
      </w:pPr>
      <w:r>
        <w:rPr>
          <w:b/>
          <w:bCs/>
          <w:color w:val="1F3864"/>
        </w:rPr>
        <w:t xml:space="preserve">Novel Methodological Architecture</w:t>
      </w:r>
    </w:p>
    <w:p>
      <w:pPr>
        <w:pStyle w:val="ListParagraph"/>
        <w:numPr>
          <w:ilvl w:val="0"/>
          <w:numId w:val="2"/>
        </w:numPr>
        <w:spacing w:after="120" w:line="276"/>
      </w:pPr>
      <w:r>
        <w:rPr>
          <w:sz w:val="22"/>
          <w:szCs w:val="22"/>
        </w:rPr>
        <w:t xml:space="preserve">A </w:t>
      </w:r>
      <w:r>
        <w:rPr>
          <w:b/>
          <w:bCs/>
          <w:sz w:val="22"/>
          <w:szCs w:val="22"/>
        </w:rPr>
        <w:t xml:space="preserve">mechanistic outbreak simulator</w:t>
      </w:r>
      <w:r>
        <w:rPr>
          <w:sz w:val="22"/>
          <w:szCs w:val="22"/>
        </w:rPr>
        <w:t xml:space="preserve"> is built as a food-distribution network model coupled to a stochastic transmission and exposure model, parameterized by real distribution topology, so that synthetic positive events are generated by a causal epidemiological process rather than by feature-space interpolation. Simulated outbreaks carry ground-truth source labels along with realistic reporting delays and under-ascertainment.</w:t>
      </w:r>
    </w:p>
    <w:p>
      <w:pPr>
        <w:pStyle w:val="ListParagraph"/>
        <w:numPr>
          <w:ilvl w:val="0"/>
          <w:numId w:val="2"/>
        </w:numPr>
        <w:spacing w:after="120" w:line="276"/>
      </w:pPr>
      <w:r>
        <w:rPr>
          <w:sz w:val="22"/>
          <w:szCs w:val="22"/>
        </w:rPr>
        <w:t xml:space="preserve">Detection is framed as </w:t>
      </w:r>
      <w:r>
        <w:rPr>
          <w:b/>
          <w:bCs/>
          <w:sz w:val="22"/>
          <w:szCs w:val="22"/>
        </w:rPr>
        <w:t xml:space="preserve">out-of-distribution detection</w:t>
      </w:r>
      <w:r>
        <w:rPr>
          <w:sz w:val="22"/>
          <w:szCs w:val="22"/>
        </w:rPr>
        <w:t xml:space="preserve"> rather than classification, using an energy-based or one-class scoring model trained predominantly on the abundant negative (non-outbreak) regime.</w:t>
      </w:r>
    </w:p>
    <w:p>
      <w:pPr>
        <w:pStyle w:val="ListParagraph"/>
        <w:numPr>
          <w:ilvl w:val="0"/>
          <w:numId w:val="2"/>
        </w:numPr>
        <w:spacing w:after="120" w:line="276"/>
      </w:pPr>
      <w:r>
        <w:rPr>
          <w:sz w:val="22"/>
          <w:szCs w:val="22"/>
        </w:rPr>
        <w:t xml:space="preserve">The inventive core is a </w:t>
      </w:r>
      <w:r>
        <w:rPr>
          <w:b/>
          <w:bCs/>
          <w:sz w:val="22"/>
          <w:szCs w:val="22"/>
        </w:rPr>
        <w:t xml:space="preserve">domain-shift-corrected conformal calibration</w:t>
      </w:r>
      <w:r>
        <w:rPr>
          <w:sz w:val="22"/>
          <w:szCs w:val="22"/>
        </w:rPr>
        <w:t xml:space="preserve"> procedure: conformal quantiles are first computed on the simulator-generated positives, then reweighted by an estimated likelihood ratio between the simulated and real event distributions, learned from the small set of historically confirmed real outbreaks via density-ratio estimation. This yields distribution-free false-alarm guarantees on real data while borrowing statistical power only a simulator can provide at this event rarity.</w:t>
      </w:r>
    </w:p>
    <w:p>
      <w:pPr>
        <w:pStyle w:val="ListParagraph"/>
        <w:numPr>
          <w:ilvl w:val="0"/>
          <w:numId w:val="2"/>
        </w:numPr>
        <w:spacing w:after="120" w:line="276"/>
      </w:pPr>
      <w:r>
        <w:rPr>
          <w:sz w:val="22"/>
          <w:szCs w:val="22"/>
        </w:rPr>
        <w:t xml:space="preserve">Operationally, this is expressed as </w:t>
      </w:r>
      <w:r>
        <w:rPr>
          <w:b/>
          <w:bCs/>
          <w:sz w:val="22"/>
          <w:szCs w:val="22"/>
        </w:rPr>
        <w:t xml:space="preserve">conformal risk control at a fixed alert budget</w:t>
      </w:r>
      <w:r>
        <w:rPr>
          <w:sz w:val="22"/>
          <w:szCs w:val="22"/>
        </w:rPr>
        <w:t xml:space="preserve">: the system guarantees an expected number of false alerts per month at or below a stated bound B, and reports the maximum detection sensitivity achievable under that same budget.</w:t>
      </w:r>
    </w:p>
    <w:p>
      <w:pPr>
        <w:pStyle w:val="ListParagraph"/>
        <w:numPr>
          <w:ilvl w:val="0"/>
          <w:numId w:val="2"/>
        </w:numPr>
        <w:spacing w:after="120" w:line="276"/>
      </w:pPr>
      <w:r>
        <w:rPr>
          <w:sz w:val="22"/>
          <w:szCs w:val="22"/>
        </w:rPr>
        <w:t xml:space="preserve">Low latency is handled with a streaming residual score and incremental quantile updates, so that alerts on arriving telemetry are generated in well under a minute.</w:t>
      </w:r>
    </w:p>
    <w:p>
      <w:pPr>
        <w:pStyle w:val="Heading2"/>
        <w:spacing w:after="120" w:before="260"/>
      </w:pPr>
      <w:r>
        <w:rPr>
          <w:b/>
          <w:bCs/>
          <w:color w:val="1F3864"/>
        </w:rPr>
        <w:t xml:space="preserve">Data Fusion Pipeline</w:t>
      </w:r>
    </w:p>
    <w:p>
      <w:pPr>
        <w:spacing w:after="160" w:line="276"/>
      </w:pPr>
      <w:r>
        <w:rPr>
          <w:sz w:val="22"/>
          <w:szCs w:val="22"/>
        </w:rPr>
        <w:t xml:space="preserve">Inputs include IDSP and IHIP syndromic surveillance data and district hospital admission text, pharmacy over-the-counter antidiarrheal sales as a leading indicator, pathogen whole-genome sequencing from clinical and food isolates for cluster linkage, retail point-of-sale and distribution records, FSSAI market surveillance sampling results, consumer complaint streams, and, with appropriate caution and governance, geolocated social signals.</w:t>
      </w:r>
    </w:p>
    <w:p>
      <w:pPr>
        <w:pStyle w:val="Heading2"/>
        <w:spacing w:after="120" w:before="260"/>
      </w:pPr>
      <w:r>
        <w:rPr>
          <w:b/>
          <w:bCs/>
          <w:color w:val="1F3864"/>
        </w:rPr>
        <w:t xml:space="preserve">Patentability &amp; Novelty Claim</w:t>
      </w:r>
    </w:p>
    <w:p>
      <w:pPr>
        <w:spacing w:after="160" w:line="276"/>
      </w:pPr>
      <w:r>
        <w:rPr>
          <w:sz w:val="22"/>
          <w:szCs w:val="22"/>
        </w:rPr>
        <w:t xml:space="preserve">The breakthrough claim is the transfer-corrected conformal calibration procedure itself — to the best of current knowledge, the first construction that imports statistical power from a mechanistic simulator while retaining a formally valid guarantee on the real-world distribution. This is a strong candidate for both a system patent covering the calibration pipeline and a standalone machine-learning methods paper, since the conformal contribution is independently interesting to the broader ML community — which also strengthens acceptance odds at top-tier venues.</w:t>
      </w:r>
    </w:p>
    <w:p>
      <w:pPr>
        <w:pStyle w:val="Heading2"/>
        <w:spacing w:after="120" w:before="260"/>
      </w:pPr>
      <w:r>
        <w:rPr>
          <w:b/>
          <w:bCs/>
          <w:color w:val="1F3864"/>
        </w:rPr>
        <w:t xml:space="preserve">Target Partner Deployment</w:t>
      </w:r>
    </w:p>
    <w:p>
      <w:pPr>
        <w:spacing w:after="160" w:line="276"/>
      </w:pPr>
      <w:r>
        <w:rPr>
          <w:sz w:val="22"/>
          <w:szCs w:val="22"/>
        </w:rPr>
        <w:t xml:space="preserve">The natural home is FSSAI, integrated with IDSP feeds, validated by retrospective replay of known historical outbreak episodes: the key metric is days of lead time gained relative to the current reporting pathway, measured at a fixed and honestly enforced alert budget. Lead time in days is the single number that makes the commercial and public-health case. Nestlé India's role is complementary — private-side early consumer-complaint clustering — which can feed into the federated architecture described under Topic 1.</w:t>
      </w:r>
    </w:p>
    <w:p>
      <w:r>
        <w:br w:type="page"/>
      </w:r>
    </w:p>
    <w:p>
      <w:pPr>
        <w:pStyle w:val="Heading1"/>
        <w:spacing w:after="160" w:before="0"/>
      </w:pPr>
      <w:r>
        <w:rPr>
          <w:color w:val="808080"/>
          <w:sz w:val="22"/>
          <w:szCs w:val="22"/>
        </w:rPr>
        <w:t xml:space="preserve">Priority 4  ·  Topic 1</w:t>
      </w:r>
      <w:r>
        <w:br/>
        <w:t xml:space="preserve"/>
      </w:r>
      <w:r>
        <w:rPr>
          <w:b/>
          <w:bCs/>
          <w:color w:val="1F3864"/>
          <w:sz w:val="30"/>
          <w:szCs w:val="30"/>
        </w:rPr>
        <w:t xml:space="preserve">Decision-Calibrated Differentially Private Federated Causal Inference for Cross-Jurisdictional Food Safety Risk Attribution</w:t>
      </w:r>
    </w:p>
    <w:tbl>
      <w:tblPr>
        <w:tblW w:type="pct" w:w="100%"/>
        <w:tblBorders>
          <w:top w:val="single" w:color="1F3864" w:sz="4"/>
          <w:left w:val="single" w:color="1F3864" w:sz="4"/>
          <w:bottom w:val="single" w:color="1F3864" w:sz="4"/>
          <w:right w:val="single" w:color="1F3864" w:sz="4"/>
          <w:insideH w:val="none" w:color="FFFFFF" w:sz="0"/>
          <w:insideV w:val="none" w:color="FFFFFF" w:sz="0"/>
        </w:tblBorders>
      </w:tblPr>
      <w:tblGrid>
        <w:gridCol w:w="100"/>
      </w:tblGrid>
      <w:tr>
        <w:tc>
          <w:tcPr>
            <w:tcW w:type="pct" w:w="100%"/>
            <w:shd w:fill="EDF2FA" w:val="clear"/>
            <w:tcMar>
              <w:top w:type="dxa" w:w="160"/>
              <w:left w:type="dxa" w:w="200"/>
              <w:bottom w:type="dxa" w:w="160"/>
              <w:right w:type="dxa" w:w="200"/>
            </w:tcMar>
          </w:tcPr>
          <w:p>
            <w:pPr>
              <w:spacing w:after="40"/>
            </w:pPr>
            <w:r>
              <w:rPr>
                <w:b/>
                <w:bCs/>
                <w:color w:val="1F3864"/>
                <w:sz w:val="20"/>
                <w:szCs w:val="20"/>
              </w:rPr>
              <w:t xml:space="preserve">PRIORITY 4</w:t>
            </w:r>
          </w:p>
          <w:p>
            <w:pPr>
              <w:spacing w:after="0" w:line="276"/>
            </w:pPr>
            <w:r>
              <w:rPr>
                <w:b/>
                <w:bCs/>
                <w:i/>
                <w:iCs/>
                <w:sz w:val="21"/>
                <w:szCs w:val="21"/>
              </w:rPr>
              <w:t xml:space="preserve">Why this priority: </w:t>
            </w:r>
            <w:r>
              <w:rPr>
                <w:i/>
                <w:iCs/>
                <w:sz w:val="21"/>
                <w:szCs w:val="21"/>
              </w:rPr>
              <w:t xml:space="preserve">The most ambitious and arguably most original, but also the riskiest due to the number of advanced components that all need to work together.</w:t>
            </w:r>
          </w:p>
        </w:tc>
      </w:tr>
    </w:tbl>
    <w:p>
      <w:pPr>
        <w:spacing w:after="120"/>
      </w:pPr>
    </w:p>
    <w:p>
      <w:pPr>
        <w:pStyle w:val="Heading2"/>
        <w:spacing w:after="120" w:before="260"/>
      </w:pPr>
      <w:r>
        <w:rPr>
          <w:b/>
          <w:bCs/>
          <w:color w:val="1F3864"/>
        </w:rPr>
        <w:t xml:space="preserve">The Unsolved Technical Problem</w:t>
      </w:r>
    </w:p>
    <w:p>
      <w:pPr>
        <w:spacing w:after="160" w:line="276"/>
      </w:pPr>
      <w:r>
        <w:rPr>
          <w:sz w:val="22"/>
          <w:szCs w:val="22"/>
        </w:rPr>
        <w:t xml:space="preserve">Regulators such as FSSAI and manufacturers such as Nestlé India hold </w:t>
      </w:r>
      <w:r>
        <w:rPr>
          <w:b/>
          <w:bCs/>
          <w:sz w:val="22"/>
          <w:szCs w:val="22"/>
        </w:rPr>
        <w:t xml:space="preserve">vertically partitioned</w:t>
      </w:r>
      <w:r>
        <w:rPr>
          <w:sz w:val="22"/>
          <w:szCs w:val="22"/>
        </w:rPr>
        <w:t xml:space="preserve"> views of the same underlying entities — the same farm, lot, or cold-chain leg — but neither party will surrender raw data to the other. FSSAI holds lab results and enforcement records; the manufacturer holds internal QA data, supplier audit trails, and batch genealogy.</w:t>
      </w:r>
    </w:p>
    <w:p>
      <w:pPr>
        <w:spacing w:after="160" w:line="276"/>
      </w:pPr>
      <w:r>
        <w:rPr>
          <w:sz w:val="22"/>
          <w:szCs w:val="22"/>
        </w:rPr>
        <w:t xml:space="preserve">Existing federated learning solves *predictive* fusion under horizontal partitioning, where different parties hold different rows of similar data. It does not solve </w:t>
      </w:r>
      <w:r>
        <w:rPr>
          <w:b/>
          <w:bCs/>
          <w:sz w:val="22"/>
          <w:szCs w:val="22"/>
        </w:rPr>
        <w:t xml:space="preserve">causal effect estimation</w:t>
      </w:r>
      <w:r>
        <w:rPr>
          <w:sz w:val="22"/>
          <w:szCs w:val="22"/>
        </w:rPr>
        <w:t xml:space="preserve"> under vertical partitioning, which is what regulation actually requires: not "will this batch fail" but "would enforcing intervention X on node Y have prevented the failure."</w:t>
      </w:r>
    </w:p>
    <w:p>
      <w:pPr>
        <w:spacing w:after="160" w:line="276"/>
      </w:pPr>
      <w:r>
        <w:rPr>
          <w:sz w:val="22"/>
          <w:szCs w:val="22"/>
        </w:rPr>
        <w:t xml:space="preserve">Compounding this, standard differential-privacy noise is calibrated to protect model parameters generically — the wrong objective here, since it destroys precisely the tail-region signal that rare-event causal identification depends on.</w:t>
      </w:r>
    </w:p>
    <w:p>
      <w:pPr>
        <w:pStyle w:val="Heading2"/>
        <w:spacing w:after="120" w:before="260"/>
      </w:pPr>
      <w:r>
        <w:rPr>
          <w:b/>
          <w:bCs/>
          <w:color w:val="1F3864"/>
        </w:rPr>
        <w:t xml:space="preserve">Novel Methodological Architecture</w:t>
      </w:r>
    </w:p>
    <w:p>
      <w:pPr>
        <w:pStyle w:val="ListParagraph"/>
        <w:numPr>
          <w:ilvl w:val="0"/>
          <w:numId w:val="2"/>
        </w:numPr>
        <w:spacing w:after="120" w:line="276"/>
      </w:pPr>
      <w:r>
        <w:rPr>
          <w:sz w:val="22"/>
          <w:szCs w:val="22"/>
        </w:rPr>
        <w:t xml:space="preserve">A </w:t>
      </w:r>
      <w:r>
        <w:rPr>
          <w:b/>
          <w:bCs/>
          <w:sz w:val="22"/>
          <w:szCs w:val="22"/>
        </w:rPr>
        <w:t xml:space="preserve">vertical federated causal graph</w:t>
      </w:r>
      <w:r>
        <w:rPr>
          <w:sz w:val="22"/>
          <w:szCs w:val="22"/>
        </w:rPr>
        <w:t xml:space="preserve"> is constructed, in which the structural causal model's variable set is split across parties, and confounder adjustment sets may span the public-private boundary.</w:t>
      </w:r>
    </w:p>
    <w:p>
      <w:pPr>
        <w:pStyle w:val="ListParagraph"/>
        <w:numPr>
          <w:ilvl w:val="0"/>
          <w:numId w:val="2"/>
        </w:numPr>
        <w:spacing w:after="120" w:line="276"/>
      </w:pPr>
      <w:r>
        <w:rPr>
          <w:b/>
          <w:bCs/>
          <w:sz w:val="22"/>
          <w:szCs w:val="22"/>
        </w:rPr>
        <w:t xml:space="preserve">Secure multi-party computation</w:t>
      </w:r>
      <w:r>
        <w:rPr>
          <w:sz w:val="22"/>
          <w:szCs w:val="22"/>
        </w:rPr>
        <w:t xml:space="preserve"> is used to compute the sufficient statistics required by doubly-robust causal estimators (such as AIPW or TMLE), so that neither party reveals its raw covariates while the joint influence function is still computed correctly.</w:t>
      </w:r>
    </w:p>
    <w:p>
      <w:pPr>
        <w:pStyle w:val="ListParagraph"/>
        <w:numPr>
          <w:ilvl w:val="0"/>
          <w:numId w:val="2"/>
        </w:numPr>
        <w:spacing w:after="120" w:line="276"/>
      </w:pPr>
      <w:r>
        <w:rPr>
          <w:sz w:val="22"/>
          <w:szCs w:val="22"/>
        </w:rPr>
        <w:t xml:space="preserve">The core inventive element is a </w:t>
      </w:r>
      <w:r>
        <w:rPr>
          <w:b/>
          <w:bCs/>
          <w:sz w:val="22"/>
          <w:szCs w:val="22"/>
        </w:rPr>
        <w:t xml:space="preserve">decision-utility-calibrated privacy budget allocator</w:t>
      </w:r>
      <w:r>
        <w:rPr>
          <w:sz w:val="22"/>
          <w:szCs w:val="22"/>
        </w:rPr>
        <w:t xml:space="preserve">: instead of spending privacy budget (epsilon) uniformly across the model, the mechanism solves a constrained optimization that distributes epsilon across adjustment-set variables in proportion to each variable's marginal contribution to identifiability of the target causal estimand, subject to an explicit bound on the probability that injected noise flips a regulatory decision such as recall versus no recall.</w:t>
      </w:r>
    </w:p>
    <w:p>
      <w:pPr>
        <w:pStyle w:val="ListParagraph"/>
        <w:numPr>
          <w:ilvl w:val="0"/>
          <w:numId w:val="2"/>
        </w:numPr>
        <w:spacing w:after="120" w:line="276"/>
      </w:pPr>
      <w:r>
        <w:rPr>
          <w:b/>
          <w:bCs/>
          <w:sz w:val="22"/>
          <w:szCs w:val="22"/>
        </w:rPr>
        <w:t xml:space="preserve">Private-set-intersection-based entity resolution</w:t>
      </w:r>
      <w:r>
        <w:rPr>
          <w:sz w:val="22"/>
          <w:szCs w:val="22"/>
        </w:rPr>
        <w:t xml:space="preserve"> allows the parties to align on shared lots or batches without disclosing their non-shared inventory to one another.</w:t>
      </w:r>
    </w:p>
    <w:p>
      <w:pPr>
        <w:pStyle w:val="ListParagraph"/>
        <w:numPr>
          <w:ilvl w:val="0"/>
          <w:numId w:val="2"/>
        </w:numPr>
        <w:spacing w:after="120" w:line="276"/>
      </w:pPr>
      <w:r>
        <w:rPr>
          <w:sz w:val="22"/>
          <w:szCs w:val="22"/>
        </w:rPr>
        <w:t xml:space="preserve">The explainability layer produces </w:t>
      </w:r>
      <w:r>
        <w:rPr>
          <w:b/>
          <w:bCs/>
          <w:sz w:val="22"/>
          <w:szCs w:val="22"/>
        </w:rPr>
        <w:t xml:space="preserve">counterfactual explanations expressed as minimal intervention sets</w:t>
      </w:r>
      <w:r>
        <w:rPr>
          <w:sz w:val="22"/>
          <w:szCs w:val="22"/>
        </w:rPr>
        <w:t xml:space="preserve"> rather than feature attributions, because a regulator needs to know "change this specific thing" rather than "this factor correlated with the outcome."</w:t>
      </w:r>
    </w:p>
    <w:p>
      <w:pPr>
        <w:pStyle w:val="Heading2"/>
        <w:spacing w:after="120" w:before="260"/>
      </w:pPr>
      <w:r>
        <w:rPr>
          <w:b/>
          <w:bCs/>
          <w:color w:val="1F3864"/>
        </w:rPr>
        <w:t xml:space="preserve">Data Fusion Pipeline</w:t>
      </w:r>
    </w:p>
    <w:p>
      <w:pPr>
        <w:spacing w:after="160" w:line="276"/>
      </w:pPr>
      <w:r>
        <w:rPr>
          <w:sz w:val="22"/>
          <w:szCs w:val="22"/>
        </w:rPr>
        <w:t xml:space="preserve">The pipeline fuses FSSAI lab assay results and enforcement notices, FMCG batch genealogy and supplier audit scores, IoT cold-chain telemetry (time-temperature, humidity, door-open events), district-level IHIP and IDSP syndromic surveillance counts, mandi-level procurement records, and weather reanalysis data used as pre-harvest exposure covariates.</w:t>
      </w:r>
    </w:p>
    <w:p>
      <w:pPr>
        <w:pStyle w:val="Heading2"/>
        <w:spacing w:after="120" w:before="260"/>
      </w:pPr>
      <w:r>
        <w:rPr>
          <w:b/>
          <w:bCs/>
          <w:color w:val="1F3864"/>
        </w:rPr>
        <w:t xml:space="preserve">Patentability &amp; Novelty Claim</w:t>
      </w:r>
    </w:p>
    <w:p>
      <w:pPr>
        <w:spacing w:after="160" w:line="276"/>
      </w:pPr>
      <w:r>
        <w:rPr>
          <w:sz w:val="22"/>
          <w:szCs w:val="22"/>
        </w:rPr>
        <w:t xml:space="preserve">The single defensible breakthrough is </w:t>
      </w:r>
      <w:r>
        <w:rPr>
          <w:b/>
          <w:bCs/>
          <w:sz w:val="22"/>
          <w:szCs w:val="22"/>
        </w:rPr>
        <w:t xml:space="preserve">privacy budget allocation driven by causal identifiability sensitivity rather than by parameter sensitivity</w:t>
      </w:r>
      <w:r>
        <w:rPr>
          <w:sz w:val="22"/>
          <w:szCs w:val="22"/>
        </w:rPr>
        <w:t xml:space="preserve">, together with a formal guarantee bounding the probability of a regulatory decision flip under a fixed total privacy budget. This is a concrete, measurable technical effect: for the same privacy loss, the system delivers demonstrably higher regulatory decision accuracy than uniform-budget alternatives. Method claims would cover the allocator itself, the influence-function secure multi-party computation protocol, and the decision-flip probability bound.</w:t>
      </w:r>
    </w:p>
    <w:p>
      <w:pPr>
        <w:pStyle w:val="Heading2"/>
        <w:spacing w:after="120" w:before="260"/>
      </w:pPr>
      <w:r>
        <w:rPr>
          <w:b/>
          <w:bCs/>
          <w:color w:val="1F3864"/>
        </w:rPr>
        <w:t xml:space="preserve">Target Partner Deployment</w:t>
      </w:r>
    </w:p>
    <w:p>
      <w:pPr>
        <w:spacing w:after="160" w:line="276"/>
      </w:pPr>
      <w:r>
        <w:rPr>
          <w:sz w:val="22"/>
          <w:szCs w:val="22"/>
        </w:rPr>
        <w:t xml:space="preserve">The natural pilot structure is bilateral: FSSAI's state laboratory network as one party and one Nestlé India product line's supplier base as the other. Validation is retrospective — replaying a historical adulteration or residue-exceedance event and measuring whether the federated causal model localizes the responsible node with precision comparable to a hypothetical centralized model, at a clearly stated privacy budget. That "privacy-free-lunch gap" is the entire commercial argument for adoption.</w:t>
      </w:r>
    </w:p>
    <w:p>
      <w:r>
        <w:br w:type="page"/>
      </w:r>
    </w:p>
    <w:p>
      <w:pPr>
        <w:pStyle w:val="Heading1"/>
        <w:spacing w:after="160"/>
      </w:pPr>
      <w:r>
        <w:rPr>
          <w:b/>
          <w:bCs/>
          <w:color w:val="1F3864"/>
        </w:rPr>
        <w:t xml:space="preserve">Cross-Cutting Notes on Sequencing &amp; IP Filing</w:t>
      </w:r>
    </w:p>
    <w:p>
      <w:pPr>
        <w:spacing w:after="160" w:line="276"/>
      </w:pPr>
      <w:r>
        <w:rPr>
          <w:sz w:val="22"/>
          <w:szCs w:val="22"/>
        </w:rPr>
        <w:t xml:space="preserve">These four topics are deliberately architected to compose rather than compete. Topic 2's flow graph is the substrate that Topic 1 federates over; Topic 2's edge-level chemical observations are the natural output of a Topic-5-style sensing layer (not detailed in this shortlist); Topic 4 supplies the early-warning trigger; and Topic 3 is the compliance-grade output and audit layer that sits on top of all of them. This means the choice is not strictly one topic versus another — it is a choice between four narrow provisional filings or one broad platform provisional with four dependent claim sets. The latter is usually cheaper and stronger for a system-level invention, though it does couple prosecution risk across all four.</w:t>
      </w:r>
    </w:p>
    <w:p>
      <w:pPr>
        <w:spacing w:after="160" w:line="276"/>
      </w:pPr>
      <w:r>
        <w:rPr>
          <w:sz w:val="22"/>
          <w:szCs w:val="22"/>
        </w:rPr>
        <w:t xml:space="preserve">On relative patent strength: </w:t>
      </w:r>
      <w:r>
        <w:rPr>
          <w:b/>
          <w:bCs/>
          <w:sz w:val="22"/>
          <w:szCs w:val="22"/>
        </w:rPr>
        <w:t xml:space="preserve">Topic 3 and Topic 2 are the most defensible</w:t>
      </w:r>
      <w:r>
        <w:rPr>
          <w:sz w:val="22"/>
          <w:szCs w:val="22"/>
        </w:rPr>
        <w:t xml:space="preserve"> as patents, because their inventive step is a verifiable computational artifact — a proof certificate, an identifiability certificate — rather than a learned model alone, which sidesteps the common "just an algorithm" objection under Section 3(k). </w:t>
      </w:r>
      <w:r>
        <w:rPr>
          <w:b/>
          <w:bCs/>
          <w:sz w:val="22"/>
          <w:szCs w:val="22"/>
        </w:rPr>
        <w:t xml:space="preserve">Topic 4 is the strongest pure publication target</w:t>
      </w:r>
      <w:r>
        <w:rPr>
          <w:sz w:val="22"/>
          <w:szCs w:val="22"/>
        </w:rPr>
        <w:t xml:space="preserve">, since the conformal-calibration contribution stands on its own as a machine-learning methods result independent of the food-safety application. Topic 1 is the most ambitious and original, and also the hardest to validate without two genuinely committed institutional partners willing to share vertically partitioned data — which is why it is sequenced last here despite its originality.</w:t>
      </w:r>
    </w:p>
    <w:p>
      <w:pPr>
        <w:spacing w:after="160" w:line="276"/>
      </w:pPr>
      <w:r>
        <w:rPr>
          <w:sz w:val="22"/>
          <w:szCs w:val="22"/>
        </w:rPr>
        <w:t xml:space="preserve">A practical next step for any of these is the same: a minimal empirical spike that ground-truths the central claim before committing to a filing. For Topic 3, that means measuring the false-compliance rate of a plain RAG baseline on temporally-shifted maximum-residue-limit queries, to establish the exact gap the certificate architecture is closing. For Topic 2, it means simulating a pooled dairy network and checking whether the mass-conservation constraint actually shrinks the candidate source set in a measurable way.</w:t>
      </w:r>
    </w:p>
    <w:p>
      <w:pPr>
        <w:spacing w:after="160" w:line="276"/>
      </w:pPr>
      <w:r>
        <w:rPr>
          <w:sz w:val="22"/>
          <w:szCs w:val="22"/>
        </w:rPr>
        <w:t xml:space="preserve">One process constraint applies across all four topics: any Indian provisional patent application must be filed before any public disclosure, including preprints, conference submissions, and public pitch decks.</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160" w:before="280"/>
    </w:pPr>
    <w:rPr>
      <w:rFonts w:ascii="Calibri" w:cs="Calibri" w:eastAsia="Calibri" w:hAnsi="Calibri"/>
      <w:b/>
      <w:bCs/>
      <w:color w:val="1F3864"/>
      <w:sz w:val="30"/>
      <w:szCs w:val="30"/>
    </w:rPr>
  </w:style>
  <w:style w:type="paragraph" w:styleId="Heading2">
    <w:name w:val="Heading 2"/>
    <w:basedOn w:val="Normal"/>
    <w:next w:val="Normal"/>
    <w:qFormat/>
    <w:pPr>
      <w:spacing w:after="120" w:before="240"/>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2026-07-21T10:32:21.677Z</dcterms:created>
  <dcterms:modified xsi:type="dcterms:W3CDTF">2026-07-21T10:32:21.692Z</dcterms:modified>
</cp:coreProperties>
</file>

<file path=docProps/custom.xml><?xml version="1.0" encoding="utf-8"?>
<Properties xmlns="http://schemas.openxmlformats.org/officeDocument/2006/custom-properties" xmlns:vt="http://schemas.openxmlformats.org/officeDocument/2006/docPropsVTypes"/>
</file>