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1F4E79"/>
          <w:sz w:val="64"/>
          <w:szCs w:val="64"/>
        </w:rPr>
        <w:t xml:space="preserve">AI Trading Assistant</w:t>
      </w:r>
    </w:p>
    <w:p>
      <w:pPr>
        <w:spacing w:after="0" w:before="120"/>
        <w:jc w:val="center"/>
      </w:pPr>
      <w:r>
        <w:rPr>
          <w:color w:val="404040"/>
          <w:sz w:val="30"/>
          <w:szCs w:val="30"/>
        </w:rPr>
        <w:t xml:space="preserve">Technical Design &amp; Operations Document</w:t>
      </w:r>
    </w:p>
    <w:p>
      <w:pPr>
        <w:spacing w:after="0" w:before="80"/>
        <w:jc w:val="center"/>
      </w:pPr>
      <w:r>
        <w:rPr>
          <w:i/>
          <w:iCs/>
          <w:color w:val="606060"/>
          <w:sz w:val="22"/>
          <w:szCs w:val="22"/>
        </w:rPr>
        <w:t xml:space="preserve">Screen-vision + multi-source market data, full indicator confluence,</w:t>
      </w:r>
    </w:p>
    <w:p>
      <w:pPr>
        <w:spacing w:after="0" w:before="20"/>
        <w:jc w:val="center"/>
      </w:pPr>
      <w:r>
        <w:rPr>
          <w:i/>
          <w:iCs/>
          <w:color w:val="606060"/>
          <w:sz w:val="22"/>
          <w:szCs w:val="22"/>
        </w:rPr>
        <w:t xml:space="preserve">support/resistance, and a calibrated self-learning model</w:t>
      </w:r>
    </w:p>
    <w:p>
      <w:pPr>
        <w:spacing w:after="0" w:before="1400"/>
        <w:jc w:val="center"/>
      </w:pPr>
      <w:r>
        <w:rPr>
          <w:b/>
          <w:bCs/>
          <w:color w:val="B00020"/>
          <w:sz w:val="22"/>
          <w:szCs w:val="22"/>
        </w:rPr>
        <w:t xml:space="preserve">Advisory &amp; Alerts only — the application never places trades.</w:t>
      </w:r>
    </w:p>
    <w:p>
      <w:pPr>
        <w:spacing w:before="600"/>
        <w:jc w:val="center"/>
      </w:pPr>
      <w:r>
        <w:rPr>
          <w:color w:val="808080"/>
          <w:sz w:val="20"/>
          <w:szCs w:val="20"/>
        </w:rPr>
        <w:t xml:space="preserve">Version 1.0  ·  Generated 8 June 2026</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40" w:line="276"/>
      </w:pPr>
      <w:r>
        <w:t xml:space="preserve">The AI Trading Assistant is a desktop application that analyses live trading charts and produces BUY / SELL / WAIT guidance with an expiry time, a suggestion, and supporting reasoning. It is designed to work across any platform and instrument: real crypto, forex and stocks are analysed from clean market-data feeds, while platforms with no public data (such as Binomo synthetic indices like Crypto IDX) are analysed directly from the screen using computer vision.</w:t>
      </w:r>
    </w:p>
    <w:p>
      <w:pPr>
        <w:spacing w:after="140" w:line="276"/>
      </w:pPr>
      <w:r>
        <w:rPr>
          <w:b/>
          <w:bCs/>
        </w:rPr>
        <w:t xml:space="preserve">Risk posture: </w:t>
      </w:r>
      <w:r>
        <w:t xml:space="preserve">The application is strictly advisory. It displays signals, fires desktop and sound alerts, and tracks its own measured win-rate. It does not place orders, size positions, or move money — the user always acts manually.</w:t>
      </w:r>
    </w:p>
    <w:p>
      <w:pPr>
        <w:spacing w:after="140" w:line="276"/>
      </w:pPr>
      <w:r>
        <w:t xml:space="preserve">It is built from two cooperating processes:</w:t>
      </w:r>
    </w:p>
    <w:p>
      <w:pPr>
        <w:pStyle w:val="ListParagraph"/>
        <w:numPr>
          <w:ilvl w:val="0"/>
          <w:numId w:val="2"/>
        </w:numPr>
        <w:spacing w:after="60"/>
      </w:pPr>
      <w:r>
        <w:rPr>
          <w:b/>
          <w:bCs/>
        </w:rPr>
        <w:t xml:space="preserve">Desktop app (Electron + React): </w:t>
      </w:r>
      <w:r>
        <w:t xml:space="preserve">captures the screen, shows the floating overlay, and raises alerts.</w:t>
      </w:r>
    </w:p>
    <w:p>
      <w:pPr>
        <w:pStyle w:val="ListParagraph"/>
        <w:numPr>
          <w:ilvl w:val="0"/>
          <w:numId w:val="2"/>
        </w:numPr>
        <w:spacing w:after="60"/>
      </w:pPr>
      <w:r>
        <w:rPr>
          <w:b/>
          <w:bCs/>
        </w:rPr>
        <w:t xml:space="preserve">Analysis engine (Python + FastAPI): </w:t>
      </w:r>
      <w:r>
        <w:t xml:space="preserve">performs all data acquisition, technical analysis, the confluence decision, the machine-learning overlay, and outcome tracking.</w:t>
      </w:r>
    </w:p>
    <w:p>
      <w:pPr>
        <w:spacing w:after="140" w:line="276"/>
      </w:pPr>
      <w:r>
        <w:t xml:space="preserve">They communicate over a local WebSocket. Nothing leaves the machine except read-only requests to public market-data endpoints.</w:t>
      </w:r>
    </w:p>
    <w:p>
      <w:pPr>
        <w:pStyle w:val="Heading2"/>
      </w:pPr>
      <w:r>
        <w:t xml:space="preserve">1.1 The honest premise</w:t>
      </w:r>
    </w:p>
    <w:p>
      <w:pPr>
        <w:spacing w:after="140" w:line="276"/>
      </w:pPr>
      <w:r>
        <w:t xml:space="preserve">This document is deliberately candid because the design depends on it:</w:t>
      </w:r>
    </w:p>
    <w:p>
      <w:pPr>
        <w:pStyle w:val="ListParagraph"/>
        <w:numPr>
          <w:ilvl w:val="0"/>
          <w:numId w:val="2"/>
        </w:numPr>
        <w:spacing w:after="60"/>
      </w:pPr>
      <w:r>
        <w:rPr>
          <w:b/>
          <w:bCs/>
        </w:rPr>
        <w:t xml:space="preserve">Binary options have negative baseline expectancy. </w:t>
      </w:r>
      <w:r>
        <w:t xml:space="preserve">With a typical 70–90% payout, a trader must win roughly 53–59% of the time merely to break even. The app therefore measures and displays its real hit-rate instead of advertising an invented confidence number.</w:t>
      </w:r>
    </w:p>
    <w:p>
      <w:pPr>
        <w:pStyle w:val="ListParagraph"/>
        <w:numPr>
          <w:ilvl w:val="0"/>
          <w:numId w:val="2"/>
        </w:numPr>
        <w:spacing w:after="60"/>
      </w:pPr>
      <w:r>
        <w:rPr>
          <w:b/>
          <w:bCs/>
        </w:rPr>
        <w:t xml:space="preserve">Synthetic indices have no underlying market and no public data. </w:t>
      </w:r>
      <w:r>
        <w:t xml:space="preserve">They can only be analysed from the screen, and a model can only learn from the app's own logged outcomes on them.</w:t>
      </w:r>
    </w:p>
    <w:p>
      <w:pPr>
        <w:pStyle w:val="ListParagraph"/>
        <w:numPr>
          <w:ilvl w:val="0"/>
          <w:numId w:val="2"/>
        </w:numPr>
        <w:spacing w:after="60"/>
      </w:pPr>
      <w:r>
        <w:rPr>
          <w:b/>
          <w:bCs/>
        </w:rPr>
        <w:t xml:space="preserve">Short-horizon price direction is close to unpredictable. </w:t>
      </w:r>
      <w:r>
        <w:t xml:space="preserve">As shown in Section 9, the trained model does not beat the payout on next-bar prediction — and the system is built to recognise this and refuse to over-trust the model.</w:t>
      </w:r>
    </w:p>
    <w:p>
      <w:pPr>
        <w:spacing w:after="140" w:line="276"/>
      </w:pPr>
      <w:r>
        <w:t xml:space="preserve">The value of the system is therefore in selective, high-confluence entries, transparent reasoning, honest probability calibration, and measured feedback — not in a promise of profit.</w:t>
      </w:r>
    </w:p>
    <w:p>
      <w:pPr>
        <w:pStyle w:val="Heading1"/>
      </w:pPr>
      <w:r>
        <w:t xml:space="preserve">2. System Architecture</w:t>
      </w:r>
    </w:p>
    <w:p>
      <w:pPr>
        <w:spacing w:after="140" w:line="276"/>
      </w:pPr>
      <w:r>
        <w:t xml:space="preserve">The application is a two-tier local system. The Electron desktop tier is the eyes and the face; the Python tier is the brain.</w:t>
      </w:r>
    </w:p>
    <w:p>
      <w:pPr>
        <w:pBdr>
          <w:left w:val="single" w:color="1F4E79" w:sz="18" w:space="6"/>
        </w:pBdr>
        <w:shd w:fill="F2F2F2" w:val="clear"/>
        <w:spacing w:after="120" w:before="40"/>
      </w:pPr>
      <w:r>
        <w:rPr>
          <w:rFonts w:ascii="Consolas" w:cs="Consolas" w:eastAsia="Consolas" w:hAnsi="Consolas"/>
          <w:sz w:val="18"/>
          <w:szCs w:val="18"/>
        </w:rPr>
        <w:t xml:space="preserve">+-------------------- DESKTOP (Electron + React) --------------------+</w:t>
      </w:r>
      <w:r>
        <w:rPr>
          <w:rFonts w:ascii="Consolas" w:cs="Consolas" w:eastAsia="Consolas" w:hAnsi="Consolas"/>
          <w:sz w:val="18"/>
          <w:szCs w:val="18"/>
        </w:rPr>
        <w:br/>
        <w:t xml:space="preserve">|  capture.js  -- grabs screen frames (~3.5 fps, JPEG)               |</w:t>
      </w:r>
      <w:r>
        <w:rPr>
          <w:rFonts w:ascii="Consolas" w:cs="Consolas" w:eastAsia="Consolas" w:hAnsi="Consolas"/>
          <w:sz w:val="18"/>
          <w:szCs w:val="18"/>
        </w:rPr>
        <w:br/>
        <w:t xml:space="preserve">|  websocket.js -- streams frames out, receives signals             |</w:t>
      </w:r>
      <w:r>
        <w:rPr>
          <w:rFonts w:ascii="Consolas" w:cs="Consolas" w:eastAsia="Consolas" w:hAnsi="Consolas"/>
          <w:sz w:val="18"/>
          <w:szCs w:val="18"/>
        </w:rPr>
        <w:br/>
        <w:t xml:space="preserve">|  App.jsx     -- floating always-on-top overlay UI + alerts        |</w:t>
      </w:r>
      <w:r>
        <w:rPr>
          <w:rFonts w:ascii="Consolas" w:cs="Consolas" w:eastAsia="Consolas" w:hAnsi="Consolas"/>
          <w:sz w:val="18"/>
          <w:szCs w:val="18"/>
        </w:rPr>
        <w:br/>
        <w:t xml:space="preserve">+----------------------------|--------------------------------------+</w:t>
      </w:r>
      <w:r>
        <w:rPr>
          <w:rFonts w:ascii="Consolas" w:cs="Consolas" w:eastAsia="Consolas" w:hAnsi="Consolas"/>
          <w:sz w:val="18"/>
          <w:szCs w:val="18"/>
        </w:rPr>
        <w:br/>
        <w:t xml:space="preserve">              frames (binary) |   ^  signals (JSON)</w:t>
      </w:r>
      <w:r>
        <w:rPr>
          <w:rFonts w:ascii="Consolas" w:cs="Consolas" w:eastAsia="Consolas" w:hAnsi="Consolas"/>
          <w:sz w:val="18"/>
          <w:szCs w:val="18"/>
        </w:rPr>
        <w:br/>
        <w:t xml:space="preserve">                              v   |</w:t>
      </w:r>
      <w:r>
        <w:rPr>
          <w:rFonts w:ascii="Consolas" w:cs="Consolas" w:eastAsia="Consolas" w:hAnsi="Consolas"/>
          <w:sz w:val="18"/>
          <w:szCs w:val="18"/>
        </w:rPr>
        <w:br/>
        <w:t xml:space="preserve">+-------------------- PYTHON ENGINE (FastAPI /ws) -------------------+</w:t>
      </w:r>
      <w:r>
        <w:rPr>
          <w:rFonts w:ascii="Consolas" w:cs="Consolas" w:eastAsia="Consolas" w:hAnsi="Consolas"/>
          <w:sz w:val="18"/>
          <w:szCs w:val="18"/>
        </w:rPr>
        <w:br/>
        <w:t xml:space="preserve">|  app.py            -- orchestrates the per-frame pipeline          |</w:t>
      </w:r>
      <w:r>
        <w:rPr>
          <w:rFonts w:ascii="Consolas" w:cs="Consolas" w:eastAsia="Consolas" w:hAnsi="Consolas"/>
          <w:sz w:val="18"/>
          <w:szCs w:val="18"/>
        </w:rPr>
        <w:br/>
        <w:t xml:space="preserve">|  providers/        -- real data: Crypto.com (crypto), Yahoo (fx,   |</w:t>
      </w:r>
      <w:r>
        <w:rPr>
          <w:rFonts w:ascii="Consolas" w:cs="Consolas" w:eastAsia="Consolas" w:hAnsi="Consolas"/>
          <w:sz w:val="18"/>
          <w:szCs w:val="18"/>
        </w:rPr>
        <w:br/>
        <w:t xml:space="preserve">|                       stocks); router falls back to vision         |</w:t>
      </w:r>
      <w:r>
        <w:rPr>
          <w:rFonts w:ascii="Consolas" w:cs="Consolas" w:eastAsia="Consolas" w:hAnsi="Consolas"/>
          <w:sz w:val="18"/>
          <w:szCs w:val="18"/>
        </w:rPr>
        <w:br/>
        <w:t xml:space="preserve">|  vision: screen_analyzer / candle_detector / calibrate            |</w:t>
      </w:r>
      <w:r>
        <w:rPr>
          <w:rFonts w:ascii="Consolas" w:cs="Consolas" w:eastAsia="Consolas" w:hAnsi="Consolas"/>
          <w:sz w:val="18"/>
          <w:szCs w:val="18"/>
        </w:rPr>
        <w:br/>
        <w:t xml:space="preserve">|  ohlcv.py          -- builds a normalised OHLCV table              |</w:t>
      </w:r>
      <w:r>
        <w:rPr>
          <w:rFonts w:ascii="Consolas" w:cs="Consolas" w:eastAsia="Consolas" w:hAnsi="Consolas"/>
          <w:sz w:val="18"/>
          <w:szCs w:val="18"/>
        </w:rPr>
        <w:br/>
        <w:t xml:space="preserve">|  indicators.py     -- full technical-indicator library            |</w:t>
      </w:r>
      <w:r>
        <w:rPr>
          <w:rFonts w:ascii="Consolas" w:cs="Consolas" w:eastAsia="Consolas" w:hAnsi="Consolas"/>
          <w:sz w:val="18"/>
          <w:szCs w:val="18"/>
        </w:rPr>
        <w:br/>
        <w:t xml:space="preserve">|  support_resistance.py -- pivot levels                            |</w:t>
      </w:r>
      <w:r>
        <w:rPr>
          <w:rFonts w:ascii="Consolas" w:cs="Consolas" w:eastAsia="Consolas" w:hAnsi="Consolas"/>
          <w:sz w:val="18"/>
          <w:szCs w:val="18"/>
        </w:rPr>
        <w:br/>
        <w:t xml:space="preserve">|  decision_engine.py -- confluence vote + ML overlay -&gt; signal     |</w:t>
      </w:r>
      <w:r>
        <w:rPr>
          <w:rFonts w:ascii="Consolas" w:cs="Consolas" w:eastAsia="Consolas" w:hAnsi="Consolas"/>
          <w:sz w:val="18"/>
          <w:szCs w:val="18"/>
        </w:rPr>
        <w:br/>
        <w:t xml:space="preserve">|  model.py / features.py / train.py -- the learning model          |</w:t>
      </w:r>
      <w:r>
        <w:rPr>
          <w:rFonts w:ascii="Consolas" w:cs="Consolas" w:eastAsia="Consolas" w:hAnsi="Consolas"/>
          <w:sz w:val="18"/>
          <w:szCs w:val="18"/>
        </w:rPr>
        <w:br/>
        <w:t xml:space="preserve">|  tracking.py / outcome.py -- signal log + win/loss feedback       |</w:t>
      </w:r>
      <w:r>
        <w:rPr>
          <w:rFonts w:ascii="Consolas" w:cs="Consolas" w:eastAsia="Consolas" w:hAnsi="Consolas"/>
          <w:sz w:val="18"/>
          <w:szCs w:val="18"/>
        </w:rPr>
        <w:br/>
        <w:t xml:space="preserve">+-------------------------------------------------------------------+</w:t>
      </w:r>
    </w:p>
    <w:p>
      <w:pPr>
        <w:pStyle w:val="Heading2"/>
      </w:pPr>
      <w:r>
        <w:t xml:space="preserve">2.1 Why two processes</w:t>
      </w:r>
    </w:p>
    <w:p>
      <w:pPr>
        <w:spacing w:after="140" w:line="276"/>
      </w:pPr>
      <w:r>
        <w:t xml:space="preserve">Computer vision, technical analysis and machine learning are mature in Python; the cross-platform overlay and screen capture are easiest in Electron. A local WebSocket keeps them decoupled: the engine can be tested on its own, and the UI reconnects automatically if the engine restarts.</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4200"/>
        <w:gridCol w:w="5160"/>
      </w:tblGrid>
      <w:tr>
        <w:trPr>
          <w:tblHeader/>
        </w:trPr>
        <w:tc>
          <w:tcPr>
            <w:tcW w:type="dxa" w:w="4200"/>
            <w:shd w:fill="1F4E79" w:val="clear"/>
            <w:tcMar>
              <w:top w:type="dxa" w:w="60"/>
              <w:left w:type="dxa" w:w="110"/>
              <w:bottom w:type="dxa" w:w="60"/>
              <w:right w:type="dxa" w:w="110"/>
            </w:tcMar>
          </w:tcPr>
          <w:p>
            <w:r>
              <w:rPr>
                <w:b/>
                <w:bCs/>
                <w:color w:val="FFFFFF"/>
                <w:sz w:val="19"/>
                <w:szCs w:val="19"/>
              </w:rPr>
              <w:t xml:space="preserve">Endpoint</w:t>
            </w:r>
          </w:p>
        </w:tc>
        <w:tc>
          <w:tcPr>
            <w:tcW w:type="dxa" w:w="5160"/>
            <w:shd w:fill="1F4E79" w:val="clear"/>
            <w:tcMar>
              <w:top w:type="dxa" w:w="60"/>
              <w:left w:type="dxa" w:w="110"/>
              <w:bottom w:type="dxa" w:w="60"/>
              <w:right w:type="dxa" w:w="110"/>
            </w:tcMar>
          </w:tcPr>
          <w:p>
            <w:r>
              <w:rPr>
                <w:b/>
                <w:bCs/>
                <w:color w:val="FFFFFF"/>
                <w:sz w:val="19"/>
                <w:szCs w:val="19"/>
              </w:rPr>
              <w:t xml:space="preserve">Purpose</w:t>
            </w:r>
          </w:p>
        </w:tc>
      </w:tr>
      <w:tr>
        <w:tc>
          <w:tcPr>
            <w:tcW w:type="dxa" w:w="4200"/>
            <w:shd w:fill="F2F2F2" w:val="clear"/>
            <w:tcMar>
              <w:top w:type="dxa" w:w="50"/>
              <w:left w:type="dxa" w:w="110"/>
              <w:bottom w:type="dxa" w:w="50"/>
              <w:right w:type="dxa" w:w="110"/>
            </w:tcMar>
          </w:tcPr>
          <w:p>
            <w:r>
              <w:rPr>
                <w:sz w:val="19"/>
                <w:szCs w:val="19"/>
              </w:rPr>
              <w:t xml:space="preserve">http://127.0.0.1:8000/health</w:t>
            </w:r>
          </w:p>
        </w:tc>
        <w:tc>
          <w:tcPr>
            <w:tcW w:type="dxa" w:w="5160"/>
            <w:shd w:fill="F2F2F2" w:val="clear"/>
            <w:tcMar>
              <w:top w:type="dxa" w:w="50"/>
              <w:left w:type="dxa" w:w="110"/>
              <w:bottom w:type="dxa" w:w="50"/>
              <w:right w:type="dxa" w:w="110"/>
            </w:tcMar>
          </w:tcPr>
          <w:p>
            <w:r>
              <w:rPr>
                <w:sz w:val="19"/>
                <w:szCs w:val="19"/>
              </w:rPr>
              <w:t xml:space="preserve">Liveness check used by the launcher and the desktop app</w:t>
            </w:r>
          </w:p>
        </w:tc>
      </w:tr>
      <w:tr>
        <w:tc>
          <w:tcPr>
            <w:tcW w:type="dxa" w:w="4200"/>
            <w:shd w:fill="FFFFFF" w:val="clear"/>
            <w:tcMar>
              <w:top w:type="dxa" w:w="50"/>
              <w:left w:type="dxa" w:w="110"/>
              <w:bottom w:type="dxa" w:w="50"/>
              <w:right w:type="dxa" w:w="110"/>
            </w:tcMar>
          </w:tcPr>
          <w:p>
            <w:r>
              <w:rPr>
                <w:sz w:val="19"/>
                <w:szCs w:val="19"/>
              </w:rPr>
              <w:t xml:space="preserve">http://127.0.0.1:8000/</w:t>
            </w:r>
          </w:p>
        </w:tc>
        <w:tc>
          <w:tcPr>
            <w:tcW w:type="dxa" w:w="5160"/>
            <w:shd w:fill="FFFFFF" w:val="clear"/>
            <w:tcMar>
              <w:top w:type="dxa" w:w="50"/>
              <w:left w:type="dxa" w:w="110"/>
              <w:bottom w:type="dxa" w:w="50"/>
              <w:right w:type="dxa" w:w="110"/>
            </w:tcMar>
          </w:tcPr>
          <w:p>
            <w:r>
              <w:rPr>
                <w:sz w:val="19"/>
                <w:szCs w:val="19"/>
              </w:rPr>
              <w:t xml:space="preserve">Service banner / status</w:t>
            </w:r>
          </w:p>
        </w:tc>
      </w:tr>
      <w:tr>
        <w:tc>
          <w:tcPr>
            <w:tcW w:type="dxa" w:w="4200"/>
            <w:shd w:fill="F2F2F2" w:val="clear"/>
            <w:tcMar>
              <w:top w:type="dxa" w:w="50"/>
              <w:left w:type="dxa" w:w="110"/>
              <w:bottom w:type="dxa" w:w="50"/>
              <w:right w:type="dxa" w:w="110"/>
            </w:tcMar>
          </w:tcPr>
          <w:p>
            <w:r>
              <w:rPr>
                <w:sz w:val="19"/>
                <w:szCs w:val="19"/>
              </w:rPr>
              <w:t xml:space="preserve">ws://127.0.0.1:8000/ws</w:t>
            </w:r>
          </w:p>
        </w:tc>
        <w:tc>
          <w:tcPr>
            <w:tcW w:type="dxa" w:w="5160"/>
            <w:shd w:fill="F2F2F2" w:val="clear"/>
            <w:tcMar>
              <w:top w:type="dxa" w:w="50"/>
              <w:left w:type="dxa" w:w="110"/>
              <w:bottom w:type="dxa" w:w="50"/>
              <w:right w:type="dxa" w:w="110"/>
            </w:tcMar>
          </w:tcPr>
          <w:p>
            <w:r>
              <w:rPr>
                <w:sz w:val="19"/>
                <w:szCs w:val="19"/>
              </w:rPr>
              <w:t xml:space="preserve">Binary frames in, JSON signal results out</w:t>
            </w:r>
          </w:p>
        </w:tc>
      </w:tr>
    </w:tbl>
    <w:p>
      <w:pPr>
        <w:pStyle w:val="Heading1"/>
      </w:pPr>
      <w:r>
        <w:t xml:space="preserve">3. How a Signal Is Produced (End to End)</w:t>
      </w:r>
    </w:p>
    <w:p>
      <w:pPr>
        <w:spacing w:after="140" w:line="276"/>
      </w:pPr>
      <w:r>
        <w:t xml:space="preserve">Each captured frame flows through the pipeline below. The whole loop repeats several times per second.</w:t>
      </w:r>
    </w:p>
    <w:p>
      <w:pPr>
        <w:pStyle w:val="ListParagraph"/>
        <w:numPr>
          <w:ilvl w:val="0"/>
          <w:numId w:val="3"/>
        </w:numPr>
        <w:spacing w:after="60"/>
      </w:pPr>
      <w:r>
        <w:rPr>
          <w:b/>
          <w:bCs/>
        </w:rPr>
        <w:t xml:space="preserve">Capture. </w:t>
      </w:r>
      <w:r>
        <w:t xml:space="preserve">Electron grabs the primary display (or a chosen region) at roughly 3.5 frames per second and encodes each frame as JPEG.</w:t>
      </w:r>
    </w:p>
    <w:p>
      <w:pPr>
        <w:pStyle w:val="ListParagraph"/>
        <w:numPr>
          <w:ilvl w:val="0"/>
          <w:numId w:val="3"/>
        </w:numPr>
        <w:spacing w:after="60"/>
      </w:pPr>
      <w:r>
        <w:rPr>
          <w:b/>
          <w:bCs/>
        </w:rPr>
        <w:t xml:space="preserve">Transport. </w:t>
      </w:r>
      <w:r>
        <w:t xml:space="preserve">The frame is sent as binary over the WebSocket to the Python engine. The overlay's own window region is masked out so the app never analyses itself.</w:t>
      </w:r>
    </w:p>
    <w:p>
      <w:pPr>
        <w:pStyle w:val="ListParagraph"/>
        <w:numPr>
          <w:ilvl w:val="0"/>
          <w:numId w:val="3"/>
        </w:numPr>
        <w:spacing w:after="60"/>
      </w:pPr>
      <w:r>
        <w:rPr>
          <w:b/>
          <w:bCs/>
        </w:rPr>
        <w:t xml:space="preserve">Context detection. </w:t>
      </w:r>
      <w:r>
        <w:t xml:space="preserve">The engine identifies the active window, decides whether it is a trading platform, and reads on-screen text (symbol, timeframe, price, expiry, RSI) using OCR.</w:t>
      </w:r>
    </w:p>
    <w:p>
      <w:pPr>
        <w:pStyle w:val="ListParagraph"/>
        <w:numPr>
          <w:ilvl w:val="0"/>
          <w:numId w:val="3"/>
        </w:numPr>
        <w:spacing w:after="60"/>
      </w:pPr>
      <w:r>
        <w:rPr>
          <w:b/>
          <w:bCs/>
        </w:rPr>
        <w:t xml:space="preserve">Data acquisition (the key fork). </w:t>
      </w:r>
      <w:r>
        <w:t xml:space="preserve">The data router tries a real market feed for the detected symbol. If one exists (crypto/forex/stocks) it uses clean OHLCV; otherwise it falls back to reading candles from the screen image, calibrated to real prices when possible.</w:t>
      </w:r>
    </w:p>
    <w:p>
      <w:pPr>
        <w:pStyle w:val="ListParagraph"/>
        <w:numPr>
          <w:ilvl w:val="0"/>
          <w:numId w:val="3"/>
        </w:numPr>
        <w:spacing w:after="60"/>
      </w:pPr>
      <w:r>
        <w:rPr>
          <w:b/>
          <w:bCs/>
        </w:rPr>
        <w:t xml:space="preserve">Indicator computation. </w:t>
      </w:r>
      <w:r>
        <w:t xml:space="preserve">A full library of indicators is computed on the OHLCV history.</w:t>
      </w:r>
    </w:p>
    <w:p>
      <w:pPr>
        <w:pStyle w:val="ListParagraph"/>
        <w:numPr>
          <w:ilvl w:val="0"/>
          <w:numId w:val="3"/>
        </w:numPr>
        <w:spacing w:after="60"/>
      </w:pPr>
      <w:r>
        <w:rPr>
          <w:b/>
          <w:bCs/>
        </w:rPr>
        <w:t xml:space="preserve">Confluence decision. </w:t>
      </w:r>
      <w:r>
        <w:t xml:space="preserve">Every indicator casts a weighted vote. Votes are grouped into five categories; a signal is only confirmed when the categories agree and the weighted conviction clears a threshold.</w:t>
      </w:r>
    </w:p>
    <w:p>
      <w:pPr>
        <w:pStyle w:val="ListParagraph"/>
        <w:numPr>
          <w:ilvl w:val="0"/>
          <w:numId w:val="3"/>
        </w:numPr>
        <w:spacing w:after="60"/>
      </w:pPr>
      <w:r>
        <w:rPr>
          <w:b/>
          <w:bCs/>
        </w:rPr>
        <w:t xml:space="preserve">Model overlay. </w:t>
      </w:r>
      <w:r>
        <w:t xml:space="preserve">The trained model adds a calibrated probability. It can only upgrade or veto a signal if it has earned eligibility (Section 9); otherwise it is shown for information only.</w:t>
      </w:r>
    </w:p>
    <w:p>
      <w:pPr>
        <w:pStyle w:val="ListParagraph"/>
        <w:numPr>
          <w:ilvl w:val="0"/>
          <w:numId w:val="3"/>
        </w:numPr>
        <w:spacing w:after="60"/>
      </w:pPr>
      <w:r>
        <w:rPr>
          <w:b/>
          <w:bCs/>
        </w:rPr>
        <w:t xml:space="preserve">Trade plan + alerts. </w:t>
      </w:r>
      <w:r>
        <w:t xml:space="preserve">For a confirmed signal, a plan (direction, entry, expiry) is built; the desktop raises a notification and a sound.</w:t>
      </w:r>
    </w:p>
    <w:p>
      <w:pPr>
        <w:pStyle w:val="ListParagraph"/>
        <w:numPr>
          <w:ilvl w:val="0"/>
          <w:numId w:val="3"/>
        </w:numPr>
        <w:spacing w:after="60"/>
      </w:pPr>
      <w:r>
        <w:rPr>
          <w:b/>
          <w:bCs/>
        </w:rPr>
        <w:t xml:space="preserve">Logging + feedback. </w:t>
      </w:r>
      <w:r>
        <w:t xml:space="preserve">The signal is recorded; after its expiry the outcome is labelled win/loss, updating the live win-rate.</w:t>
      </w:r>
    </w:p>
    <w:p>
      <w:pPr>
        <w:pStyle w:val="ListParagraph"/>
        <w:numPr>
          <w:ilvl w:val="0"/>
          <w:numId w:val="3"/>
        </w:numPr>
        <w:spacing w:after="60"/>
      </w:pPr>
      <w:r>
        <w:rPr>
          <w:b/>
          <w:bCs/>
        </w:rPr>
        <w:t xml:space="preserve">Render. </w:t>
      </w:r>
      <w:r>
        <w:t xml:space="preserve">The JSON result is sent back and drawn on the overlay: signal, confidence, suggestion, category chips, support/resistance, model probability, and track record.</w:t>
      </w:r>
    </w:p>
    <w:p>
      <w:pPr>
        <w:pStyle w:val="Heading1"/>
      </w:pPr>
      <w:r>
        <w:t xml:space="preserve">4. The Desktop Application (Electron + React)</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600"/>
        <w:gridCol w:w="6760"/>
      </w:tblGrid>
      <w:tr>
        <w:trPr>
          <w:tblHeader/>
        </w:trPr>
        <w:tc>
          <w:tcPr>
            <w:tcW w:type="dxa" w:w="2600"/>
            <w:shd w:fill="1F4E79" w:val="clear"/>
            <w:tcMar>
              <w:top w:type="dxa" w:w="60"/>
              <w:left w:type="dxa" w:w="110"/>
              <w:bottom w:type="dxa" w:w="60"/>
              <w:right w:type="dxa" w:w="110"/>
            </w:tcMar>
          </w:tcPr>
          <w:p>
            <w:r>
              <w:rPr>
                <w:b/>
                <w:bCs/>
                <w:color w:val="FFFFFF"/>
                <w:sz w:val="19"/>
                <w:szCs w:val="19"/>
              </w:rPr>
              <w:t xml:space="preserve">File</w:t>
            </w:r>
          </w:p>
        </w:tc>
        <w:tc>
          <w:tcPr>
            <w:tcW w:type="dxa" w:w="6760"/>
            <w:shd w:fill="1F4E79" w:val="clear"/>
            <w:tcMar>
              <w:top w:type="dxa" w:w="60"/>
              <w:left w:type="dxa" w:w="110"/>
              <w:bottom w:type="dxa" w:w="60"/>
              <w:right w:type="dxa" w:w="110"/>
            </w:tcMar>
          </w:tcPr>
          <w:p>
            <w:r>
              <w:rPr>
                <w:b/>
                <w:bCs/>
                <w:color w:val="FFFFFF"/>
                <w:sz w:val="19"/>
                <w:szCs w:val="19"/>
              </w:rPr>
              <w:t xml:space="preserve">Responsibility</w:t>
            </w:r>
          </w:p>
        </w:tc>
      </w:tr>
      <w:tr>
        <w:tc>
          <w:tcPr>
            <w:tcW w:type="dxa" w:w="2600"/>
            <w:shd w:fill="F2F2F2" w:val="clear"/>
            <w:tcMar>
              <w:top w:type="dxa" w:w="50"/>
              <w:left w:type="dxa" w:w="110"/>
              <w:bottom w:type="dxa" w:w="50"/>
              <w:right w:type="dxa" w:w="110"/>
            </w:tcMar>
          </w:tcPr>
          <w:p>
            <w:r>
              <w:rPr>
                <w:sz w:val="19"/>
                <w:szCs w:val="19"/>
              </w:rPr>
              <w:t xml:space="preserve">capture/capture.js</w:t>
            </w:r>
          </w:p>
        </w:tc>
        <w:tc>
          <w:tcPr>
            <w:tcW w:type="dxa" w:w="6760"/>
            <w:shd w:fill="F2F2F2" w:val="clear"/>
            <w:tcMar>
              <w:top w:type="dxa" w:w="50"/>
              <w:left w:type="dxa" w:w="110"/>
              <w:bottom w:type="dxa" w:w="50"/>
              <w:right w:type="dxa" w:w="110"/>
            </w:tcMar>
          </w:tcPr>
          <w:p>
            <w:r>
              <w:rPr>
                <w:sz w:val="19"/>
                <w:szCs w:val="19"/>
              </w:rPr>
              <w:t xml:space="preserve">Screen capture loop (~280 ms interval), optional region crop, JPEG encoding.</w:t>
            </w:r>
          </w:p>
        </w:tc>
      </w:tr>
      <w:tr>
        <w:tc>
          <w:tcPr>
            <w:tcW w:type="dxa" w:w="2600"/>
            <w:shd w:fill="FFFFFF" w:val="clear"/>
            <w:tcMar>
              <w:top w:type="dxa" w:w="50"/>
              <w:left w:type="dxa" w:w="110"/>
              <w:bottom w:type="dxa" w:w="50"/>
              <w:right w:type="dxa" w:w="110"/>
            </w:tcMar>
          </w:tcPr>
          <w:p>
            <w:r>
              <w:rPr>
                <w:sz w:val="19"/>
                <w:szCs w:val="19"/>
              </w:rPr>
              <w:t xml:space="preserve">websocket.js</w:t>
            </w:r>
          </w:p>
        </w:tc>
        <w:tc>
          <w:tcPr>
            <w:tcW w:type="dxa" w:w="6760"/>
            <w:shd w:fill="FFFFFF" w:val="clear"/>
            <w:tcMar>
              <w:top w:type="dxa" w:w="50"/>
              <w:left w:type="dxa" w:w="110"/>
              <w:bottom w:type="dxa" w:w="50"/>
              <w:right w:type="dxa" w:w="110"/>
            </w:tcMar>
          </w:tcPr>
          <w:p>
            <w:r>
              <w:rPr>
                <w:sz w:val="19"/>
                <w:szCs w:val="19"/>
              </w:rPr>
              <w:t xml:space="preserve">Connects to the engine, health-check polling, auto-reconnect, sends frames, receives signals.</w:t>
            </w:r>
          </w:p>
        </w:tc>
      </w:tr>
      <w:tr>
        <w:tc>
          <w:tcPr>
            <w:tcW w:type="dxa" w:w="2600"/>
            <w:shd w:fill="F2F2F2" w:val="clear"/>
            <w:tcMar>
              <w:top w:type="dxa" w:w="50"/>
              <w:left w:type="dxa" w:w="110"/>
              <w:bottom w:type="dxa" w:w="50"/>
              <w:right w:type="dxa" w:w="110"/>
            </w:tcMar>
          </w:tcPr>
          <w:p>
            <w:r>
              <w:rPr>
                <w:sz w:val="19"/>
                <w:szCs w:val="19"/>
              </w:rPr>
              <w:t xml:space="preserve">main.js</w:t>
            </w:r>
          </w:p>
        </w:tc>
        <w:tc>
          <w:tcPr>
            <w:tcW w:type="dxa" w:w="6760"/>
            <w:shd w:fill="F2F2F2" w:val="clear"/>
            <w:tcMar>
              <w:top w:type="dxa" w:w="50"/>
              <w:left w:type="dxa" w:w="110"/>
              <w:bottom w:type="dxa" w:w="50"/>
              <w:right w:type="dxa" w:w="110"/>
            </w:tcMar>
          </w:tcPr>
          <w:p>
            <w:r>
              <w:rPr>
                <w:sz w:val="19"/>
                <w:szCs w:val="19"/>
              </w:rPr>
              <w:t xml:space="preserve">Electron main process: creates the frameless, transparent, always-on-top window; wires IPC; masks the overlay's own bounds.</w:t>
            </w:r>
          </w:p>
        </w:tc>
      </w:tr>
      <w:tr>
        <w:tc>
          <w:tcPr>
            <w:tcW w:type="dxa" w:w="2600"/>
            <w:shd w:fill="FFFFFF" w:val="clear"/>
            <w:tcMar>
              <w:top w:type="dxa" w:w="50"/>
              <w:left w:type="dxa" w:w="110"/>
              <w:bottom w:type="dxa" w:w="50"/>
              <w:right w:type="dxa" w:w="110"/>
            </w:tcMar>
          </w:tcPr>
          <w:p>
            <w:r>
              <w:rPr>
                <w:sz w:val="19"/>
                <w:szCs w:val="19"/>
              </w:rPr>
              <w:t xml:space="preserve">ui/App.jsx</w:t>
            </w:r>
          </w:p>
        </w:tc>
        <w:tc>
          <w:tcPr>
            <w:tcW w:type="dxa" w:w="6760"/>
            <w:shd w:fill="FFFFFF" w:val="clear"/>
            <w:tcMar>
              <w:top w:type="dxa" w:w="50"/>
              <w:left w:type="dxa" w:w="110"/>
              <w:bottom w:type="dxa" w:w="50"/>
              <w:right w:type="dxa" w:w="110"/>
            </w:tcMar>
          </w:tcPr>
          <w:p>
            <w:r>
              <w:rPr>
                <w:sz w:val="19"/>
                <w:szCs w:val="19"/>
              </w:rPr>
              <w:t xml:space="preserve">The overlay UI: signal display, context bar, confluence panel, S/R, model strip, alerts, track record.</w:t>
            </w:r>
          </w:p>
        </w:tc>
      </w:tr>
    </w:tbl>
    <w:p>
      <w:pPr>
        <w:pStyle w:val="Heading2"/>
      </w:pPr>
      <w:r>
        <w:t xml:space="preserve">4.1 The overlay UI</w:t>
      </w:r>
    </w:p>
    <w:p>
      <w:pPr>
        <w:spacing w:after="140" w:line="276"/>
      </w:pPr>
      <w:r>
        <w:t xml:space="preserve">The overlay shows, at a glance: the current signal (BUY/SELL/ANALYZING) and confidence; a context bar (asset, timeframe, price, expiry, trend, volatility); the five category-agreement chips; the suggestion; the for/against indicator lists; support and resistance; the AI model probability; and the running track record (signals, win-rate, open trades, data source).</w:t>
      </w:r>
    </w:p>
    <w:p>
      <w:pPr>
        <w:pStyle w:val="Heading2"/>
      </w:pPr>
      <w:r>
        <w:t xml:space="preserve">4.2 Alerts subsystem</w:t>
      </w:r>
    </w:p>
    <w:p>
      <w:pPr>
        <w:spacing w:after="140" w:line="276"/>
      </w:pPr>
      <w:r>
        <w:t xml:space="preserve">When a new BUY/SELL is confirmed, the app raises a desktop notification and plays a short tone (a higher pitch for BUY, lower for SELL). Alerts are debounced by symbol + direction + expiry so each setup alerts once, and can be toggled off.</w:t>
      </w:r>
    </w:p>
    <w:p>
      <w:pPr>
        <w:pStyle w:val="Heading1"/>
      </w:pPr>
      <w:r>
        <w:t xml:space="preserve">5. The Data Layer (Universal Coverage)</w:t>
      </w:r>
    </w:p>
    <w:p>
      <w:pPr>
        <w:spacing w:after="140" w:line="276"/>
      </w:pPr>
      <w:r>
        <w:t xml:space="preserve">A single data router decides where each instrument's price history comes from. Everything downstream consumes the same normalised OHLCV table, so the analysis code does not care whether the data came from an exchange API or the screen.</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700"/>
        <w:gridCol w:w="2300"/>
        <w:gridCol w:w="2660"/>
        <w:gridCol w:w="1700"/>
      </w:tblGrid>
      <w:tr>
        <w:trPr>
          <w:tblHeader/>
        </w:trPr>
        <w:tc>
          <w:tcPr>
            <w:tcW w:type="dxa" w:w="2700"/>
            <w:shd w:fill="1F4E79" w:val="clear"/>
            <w:tcMar>
              <w:top w:type="dxa" w:w="60"/>
              <w:left w:type="dxa" w:w="110"/>
              <w:bottom w:type="dxa" w:w="60"/>
              <w:right w:type="dxa" w:w="110"/>
            </w:tcMar>
          </w:tcPr>
          <w:p>
            <w:r>
              <w:rPr>
                <w:b/>
                <w:bCs/>
                <w:color w:val="FFFFFF"/>
                <w:sz w:val="19"/>
                <w:szCs w:val="19"/>
              </w:rPr>
              <w:t xml:space="preserve">Instrument</w:t>
            </w:r>
          </w:p>
        </w:tc>
        <w:tc>
          <w:tcPr>
            <w:tcW w:type="dxa" w:w="2300"/>
            <w:shd w:fill="1F4E79" w:val="clear"/>
            <w:tcMar>
              <w:top w:type="dxa" w:w="60"/>
              <w:left w:type="dxa" w:w="110"/>
              <w:bottom w:type="dxa" w:w="60"/>
              <w:right w:type="dxa" w:w="110"/>
            </w:tcMar>
          </w:tcPr>
          <w:p>
            <w:r>
              <w:rPr>
                <w:b/>
                <w:bCs/>
                <w:color w:val="FFFFFF"/>
                <w:sz w:val="19"/>
                <w:szCs w:val="19"/>
              </w:rPr>
              <w:t xml:space="preserve">Source</w:t>
            </w:r>
          </w:p>
        </w:tc>
        <w:tc>
          <w:tcPr>
            <w:tcW w:type="dxa" w:w="2660"/>
            <w:shd w:fill="1F4E79" w:val="clear"/>
            <w:tcMar>
              <w:top w:type="dxa" w:w="60"/>
              <w:left w:type="dxa" w:w="110"/>
              <w:bottom w:type="dxa" w:w="60"/>
              <w:right w:type="dxa" w:w="110"/>
            </w:tcMar>
          </w:tcPr>
          <w:p>
            <w:r>
              <w:rPr>
                <w:b/>
                <w:bCs/>
                <w:color w:val="FFFFFF"/>
                <w:sz w:val="19"/>
                <w:szCs w:val="19"/>
              </w:rPr>
              <w:t xml:space="preserve">Module</w:t>
            </w:r>
          </w:p>
        </w:tc>
        <w:tc>
          <w:tcPr>
            <w:tcW w:type="dxa" w:w="1700"/>
            <w:shd w:fill="1F4E79" w:val="clear"/>
            <w:tcMar>
              <w:top w:type="dxa" w:w="60"/>
              <w:left w:type="dxa" w:w="110"/>
              <w:bottom w:type="dxa" w:w="60"/>
              <w:right w:type="dxa" w:w="110"/>
            </w:tcMar>
          </w:tcPr>
          <w:p>
            <w:r>
              <w:rPr>
                <w:b/>
                <w:bCs/>
                <w:color w:val="FFFFFF"/>
                <w:sz w:val="19"/>
                <w:szCs w:val="19"/>
              </w:rPr>
              <w:t xml:space="preserve">Quality</w:t>
            </w:r>
          </w:p>
        </w:tc>
      </w:tr>
      <w:tr>
        <w:tc>
          <w:tcPr>
            <w:tcW w:type="dxa" w:w="2700"/>
            <w:shd w:fill="F2F2F2" w:val="clear"/>
            <w:tcMar>
              <w:top w:type="dxa" w:w="50"/>
              <w:left w:type="dxa" w:w="110"/>
              <w:bottom w:type="dxa" w:w="50"/>
              <w:right w:type="dxa" w:w="110"/>
            </w:tcMar>
          </w:tcPr>
          <w:p>
            <w:r>
              <w:rPr>
                <w:sz w:val="19"/>
                <w:szCs w:val="19"/>
              </w:rPr>
              <w:t xml:space="preserve">Crypto (BTC, ETH, SOL…)</w:t>
            </w:r>
          </w:p>
        </w:tc>
        <w:tc>
          <w:tcPr>
            <w:tcW w:type="dxa" w:w="2300"/>
            <w:shd w:fill="F2F2F2" w:val="clear"/>
            <w:tcMar>
              <w:top w:type="dxa" w:w="50"/>
              <w:left w:type="dxa" w:w="110"/>
              <w:bottom w:type="dxa" w:w="50"/>
              <w:right w:type="dxa" w:w="110"/>
            </w:tcMar>
          </w:tcPr>
          <w:p>
            <w:r>
              <w:rPr>
                <w:sz w:val="19"/>
                <w:szCs w:val="19"/>
              </w:rPr>
              <w:t xml:space="preserve">Crypto.com public REST</w:t>
            </w:r>
          </w:p>
        </w:tc>
        <w:tc>
          <w:tcPr>
            <w:tcW w:type="dxa" w:w="2660"/>
            <w:shd w:fill="F2F2F2" w:val="clear"/>
            <w:tcMar>
              <w:top w:type="dxa" w:w="50"/>
              <w:left w:type="dxa" w:w="110"/>
              <w:bottom w:type="dxa" w:w="50"/>
              <w:right w:type="dxa" w:w="110"/>
            </w:tcMar>
          </w:tcPr>
          <w:p>
            <w:r>
              <w:rPr>
                <w:sz w:val="19"/>
                <w:szCs w:val="19"/>
              </w:rPr>
              <w:t xml:space="preserve">providers/crypto_cdc.py</w:t>
            </w:r>
          </w:p>
        </w:tc>
        <w:tc>
          <w:tcPr>
            <w:tcW w:type="dxa" w:w="1700"/>
            <w:shd w:fill="F2F2F2" w:val="clear"/>
            <w:tcMar>
              <w:top w:type="dxa" w:w="50"/>
              <w:left w:type="dxa" w:w="110"/>
              <w:bottom w:type="dxa" w:w="50"/>
              <w:right w:type="dxa" w:w="110"/>
            </w:tcMar>
          </w:tcPr>
          <w:p>
            <w:r>
              <w:rPr>
                <w:sz w:val="19"/>
                <w:szCs w:val="19"/>
              </w:rPr>
              <w:t xml:space="preserve">Clean OHLCV</w:t>
            </w:r>
          </w:p>
        </w:tc>
      </w:tr>
      <w:tr>
        <w:tc>
          <w:tcPr>
            <w:tcW w:type="dxa" w:w="2700"/>
            <w:shd w:fill="FFFFFF" w:val="clear"/>
            <w:tcMar>
              <w:top w:type="dxa" w:w="50"/>
              <w:left w:type="dxa" w:w="110"/>
              <w:bottom w:type="dxa" w:w="50"/>
              <w:right w:type="dxa" w:w="110"/>
            </w:tcMar>
          </w:tcPr>
          <w:p>
            <w:r>
              <w:rPr>
                <w:sz w:val="19"/>
                <w:szCs w:val="19"/>
              </w:rPr>
              <w:t xml:space="preserve">Forex (EUR/USD, USD/JPY…)</w:t>
            </w:r>
          </w:p>
        </w:tc>
        <w:tc>
          <w:tcPr>
            <w:tcW w:type="dxa" w:w="2300"/>
            <w:shd w:fill="FFFFFF" w:val="clear"/>
            <w:tcMar>
              <w:top w:type="dxa" w:w="50"/>
              <w:left w:type="dxa" w:w="110"/>
              <w:bottom w:type="dxa" w:w="50"/>
              <w:right w:type="dxa" w:w="110"/>
            </w:tcMar>
          </w:tcPr>
          <w:p>
            <w:r>
              <w:rPr>
                <w:sz w:val="19"/>
                <w:szCs w:val="19"/>
              </w:rPr>
              <w:t xml:space="preserve">Yahoo Finance</w:t>
            </w:r>
          </w:p>
        </w:tc>
        <w:tc>
          <w:tcPr>
            <w:tcW w:type="dxa" w:w="2660"/>
            <w:shd w:fill="FFFFFF" w:val="clear"/>
            <w:tcMar>
              <w:top w:type="dxa" w:w="50"/>
              <w:left w:type="dxa" w:w="110"/>
              <w:bottom w:type="dxa" w:w="50"/>
              <w:right w:type="dxa" w:w="110"/>
            </w:tcMar>
          </w:tcPr>
          <w:p>
            <w:r>
              <w:rPr>
                <w:sz w:val="19"/>
                <w:szCs w:val="19"/>
              </w:rPr>
              <w:t xml:space="preserve">providers/yahoo.py</w:t>
            </w:r>
          </w:p>
        </w:tc>
        <w:tc>
          <w:tcPr>
            <w:tcW w:type="dxa" w:w="1700"/>
            <w:shd w:fill="FFFFFF" w:val="clear"/>
            <w:tcMar>
              <w:top w:type="dxa" w:w="50"/>
              <w:left w:type="dxa" w:w="110"/>
              <w:bottom w:type="dxa" w:w="50"/>
              <w:right w:type="dxa" w:w="110"/>
            </w:tcMar>
          </w:tcPr>
          <w:p>
            <w:r>
              <w:rPr>
                <w:sz w:val="19"/>
                <w:szCs w:val="19"/>
              </w:rPr>
              <w:t xml:space="preserve">Clean OHLCV (no volume)</w:t>
            </w:r>
          </w:p>
        </w:tc>
      </w:tr>
      <w:tr>
        <w:tc>
          <w:tcPr>
            <w:tcW w:type="dxa" w:w="2700"/>
            <w:shd w:fill="F2F2F2" w:val="clear"/>
            <w:tcMar>
              <w:top w:type="dxa" w:w="50"/>
              <w:left w:type="dxa" w:w="110"/>
              <w:bottom w:type="dxa" w:w="50"/>
              <w:right w:type="dxa" w:w="110"/>
            </w:tcMar>
          </w:tcPr>
          <w:p>
            <w:r>
              <w:rPr>
                <w:sz w:val="19"/>
                <w:szCs w:val="19"/>
              </w:rPr>
              <w:t xml:space="preserve">Stocks (AAPL, TSLA…)</w:t>
            </w:r>
          </w:p>
        </w:tc>
        <w:tc>
          <w:tcPr>
            <w:tcW w:type="dxa" w:w="2300"/>
            <w:shd w:fill="F2F2F2" w:val="clear"/>
            <w:tcMar>
              <w:top w:type="dxa" w:w="50"/>
              <w:left w:type="dxa" w:w="110"/>
              <w:bottom w:type="dxa" w:w="50"/>
              <w:right w:type="dxa" w:w="110"/>
            </w:tcMar>
          </w:tcPr>
          <w:p>
            <w:r>
              <w:rPr>
                <w:sz w:val="19"/>
                <w:szCs w:val="19"/>
              </w:rPr>
              <w:t xml:space="preserve">Yahoo Finance</w:t>
            </w:r>
          </w:p>
        </w:tc>
        <w:tc>
          <w:tcPr>
            <w:tcW w:type="dxa" w:w="2660"/>
            <w:shd w:fill="F2F2F2" w:val="clear"/>
            <w:tcMar>
              <w:top w:type="dxa" w:w="50"/>
              <w:left w:type="dxa" w:w="110"/>
              <w:bottom w:type="dxa" w:w="50"/>
              <w:right w:type="dxa" w:w="110"/>
            </w:tcMar>
          </w:tcPr>
          <w:p>
            <w:r>
              <w:rPr>
                <w:sz w:val="19"/>
                <w:szCs w:val="19"/>
              </w:rPr>
              <w:t xml:space="preserve">providers/yahoo.py</w:t>
            </w:r>
          </w:p>
        </w:tc>
        <w:tc>
          <w:tcPr>
            <w:tcW w:type="dxa" w:w="1700"/>
            <w:shd w:fill="F2F2F2" w:val="clear"/>
            <w:tcMar>
              <w:top w:type="dxa" w:w="50"/>
              <w:left w:type="dxa" w:w="110"/>
              <w:bottom w:type="dxa" w:w="50"/>
              <w:right w:type="dxa" w:w="110"/>
            </w:tcMar>
          </w:tcPr>
          <w:p>
            <w:r>
              <w:rPr>
                <w:sz w:val="19"/>
                <w:szCs w:val="19"/>
              </w:rPr>
              <w:t xml:space="preserve">Clean OHLCV</w:t>
            </w:r>
          </w:p>
        </w:tc>
      </w:tr>
      <w:tr>
        <w:tc>
          <w:tcPr>
            <w:tcW w:type="dxa" w:w="2700"/>
            <w:shd w:fill="FFFFFF" w:val="clear"/>
            <w:tcMar>
              <w:top w:type="dxa" w:w="50"/>
              <w:left w:type="dxa" w:w="110"/>
              <w:bottom w:type="dxa" w:w="50"/>
              <w:right w:type="dxa" w:w="110"/>
            </w:tcMar>
          </w:tcPr>
          <w:p>
            <w:r>
              <w:rPr>
                <w:sz w:val="19"/>
                <w:szCs w:val="19"/>
              </w:rPr>
              <w:t xml:space="preserve">Synthetic (Crypto IDX)</w:t>
            </w:r>
          </w:p>
        </w:tc>
        <w:tc>
          <w:tcPr>
            <w:tcW w:type="dxa" w:w="2300"/>
            <w:shd w:fill="FFFFFF" w:val="clear"/>
            <w:tcMar>
              <w:top w:type="dxa" w:w="50"/>
              <w:left w:type="dxa" w:w="110"/>
              <w:bottom w:type="dxa" w:w="50"/>
              <w:right w:type="dxa" w:w="110"/>
            </w:tcMar>
          </w:tcPr>
          <w:p>
            <w:r>
              <w:rPr>
                <w:sz w:val="19"/>
                <w:szCs w:val="19"/>
              </w:rPr>
              <w:t xml:space="preserve">Screen vision</w:t>
            </w:r>
          </w:p>
        </w:tc>
        <w:tc>
          <w:tcPr>
            <w:tcW w:type="dxa" w:w="2660"/>
            <w:shd w:fill="FFFFFF" w:val="clear"/>
            <w:tcMar>
              <w:top w:type="dxa" w:w="50"/>
              <w:left w:type="dxa" w:w="110"/>
              <w:bottom w:type="dxa" w:w="50"/>
              <w:right w:type="dxa" w:w="110"/>
            </w:tcMar>
          </w:tcPr>
          <w:p>
            <w:r>
              <w:rPr>
                <w:sz w:val="19"/>
                <w:szCs w:val="19"/>
              </w:rPr>
              <w:t xml:space="preserve">screen_analyzer / calibrate</w:t>
            </w:r>
          </w:p>
        </w:tc>
        <w:tc>
          <w:tcPr>
            <w:tcW w:type="dxa" w:w="1700"/>
            <w:shd w:fill="FFFFFF" w:val="clear"/>
            <w:tcMar>
              <w:top w:type="dxa" w:w="50"/>
              <w:left w:type="dxa" w:w="110"/>
              <w:bottom w:type="dxa" w:w="50"/>
              <w:right w:type="dxa" w:w="110"/>
            </w:tcMar>
          </w:tcPr>
          <w:p>
            <w:r>
              <w:rPr>
                <w:sz w:val="19"/>
                <w:szCs w:val="19"/>
              </w:rPr>
              <w:t xml:space="preserve">Pixel → price</w:t>
            </w:r>
          </w:p>
        </w:tc>
      </w:tr>
    </w:tbl>
    <w:p>
      <w:pPr>
        <w:pStyle w:val="Heading2"/>
      </w:pPr>
      <w:r>
        <w:t xml:space="preserve">5.1 Routing rules</w:t>
      </w:r>
    </w:p>
    <w:p>
      <w:pPr>
        <w:pStyle w:val="ListParagraph"/>
        <w:numPr>
          <w:ilvl w:val="0"/>
          <w:numId w:val="2"/>
        </w:numPr>
        <w:spacing w:after="60"/>
      </w:pPr>
      <w:r>
        <w:t xml:space="preserve">Real crypto pairs and aliases (BTC/USD, ETH, SOL/USDT, “Bitcoin”) go to Crypto.com.</w:t>
      </w:r>
    </w:p>
    <w:p>
      <w:pPr>
        <w:pStyle w:val="ListParagraph"/>
        <w:numPr>
          <w:ilvl w:val="0"/>
          <w:numId w:val="2"/>
        </w:numPr>
        <w:spacing w:after="60"/>
      </w:pPr>
      <w:r>
        <w:t xml:space="preserve">Fiat-base pairs (EUR/USD, GBP/USD, USD/JPY) are recognised as forex and sent to Yahoo — never mis-routed to a crypto pair.</w:t>
      </w:r>
    </w:p>
    <w:p>
      <w:pPr>
        <w:pStyle w:val="ListParagraph"/>
        <w:numPr>
          <w:ilvl w:val="0"/>
          <w:numId w:val="2"/>
        </w:numPr>
        <w:spacing w:after="60"/>
      </w:pPr>
      <w:r>
        <w:t xml:space="preserve">Plain tickers (AAPL, TSLA) are treated as equities on Yahoo.</w:t>
      </w:r>
    </w:p>
    <w:p>
      <w:pPr>
        <w:pStyle w:val="ListParagraph"/>
        <w:numPr>
          <w:ilvl w:val="0"/>
          <w:numId w:val="2"/>
        </w:numPr>
        <w:spacing w:after="60"/>
      </w:pPr>
      <w:r>
        <w:t xml:space="preserve">Anything with “IDX”, unknown symbols, or a failed fetch falls back to screen vision.</w:t>
      </w:r>
    </w:p>
    <w:p>
      <w:pPr>
        <w:spacing w:after="140" w:line="276"/>
      </w:pPr>
      <w:r>
        <w:t xml:space="preserve">Both API providers cache results for a few seconds so the high-frequency frame loop never blocks on the network.</w:t>
      </w:r>
    </w:p>
    <w:p>
      <w:pPr>
        <w:pStyle w:val="Heading2"/>
      </w:pPr>
      <w:r>
        <w:t xml:space="preserve">5.2 The vision fallback</w:t>
      </w:r>
    </w:p>
    <w:p>
      <w:pPr>
        <w:spacing w:after="140" w:line="276"/>
      </w:pPr>
      <w:r>
        <w:t xml:space="preserve">When no feed exists, the engine reads the chart from the screenshot:</w:t>
      </w:r>
    </w:p>
    <w:p>
      <w:pPr>
        <w:pStyle w:val="ListParagraph"/>
        <w:numPr>
          <w:ilvl w:val="0"/>
          <w:numId w:val="2"/>
        </w:numPr>
        <w:spacing w:after="60"/>
      </w:pPr>
      <w:r>
        <w:rPr>
          <w:b/>
          <w:bCs/>
        </w:rPr>
        <w:t xml:space="preserve">Chart crop &amp; OCR (screen_analyzer.py): </w:t>
      </w:r>
      <w:r>
        <w:t xml:space="preserve">isolates the chart area, reads symbol/timeframe/price/expiry/RSI, and detects candles by scanning vertical colour columns (green = bullish, red = bearish) in HSV colour space.</w:t>
      </w:r>
    </w:p>
    <w:p>
      <w:pPr>
        <w:pStyle w:val="ListParagraph"/>
        <w:numPr>
          <w:ilvl w:val="0"/>
          <w:numId w:val="2"/>
        </w:numPr>
        <w:spacing w:after="60"/>
      </w:pPr>
      <w:r>
        <w:rPr>
          <w:b/>
          <w:bCs/>
        </w:rPr>
        <w:t xml:space="preserve">Contour fallback (candle_detector.py): </w:t>
      </w:r>
      <w:r>
        <w:t xml:space="preserve">if too few colour candles are found, candles are detected from image edges instead.</w:t>
      </w:r>
    </w:p>
    <w:p>
      <w:pPr>
        <w:pStyle w:val="ListParagraph"/>
        <w:numPr>
          <w:ilvl w:val="0"/>
          <w:numId w:val="2"/>
        </w:numPr>
        <w:spacing w:after="60"/>
      </w:pPr>
      <w:r>
        <w:rPr>
          <w:b/>
          <w:bCs/>
        </w:rPr>
        <w:t xml:space="preserve">Price calibration (calibrate.py): </w:t>
      </w:r>
      <w:r>
        <w:t xml:space="preserve">the price axis on the right of the chart is read with OCR and fitted to a straight line, price = a×y + b. The fit is only trusted if price falls as the pixel row increases and the fit quality (R²) is at least 0.85; otherwise the engine uses an inverted-pixel proxy. Calibration turns screen pixels into real prices, which also makes outcome labelling far more reliable.</w:t>
      </w:r>
    </w:p>
    <w:p>
      <w:pPr>
        <w:pStyle w:val="Heading1"/>
      </w:pPr>
      <w:r>
        <w:t xml:space="preserve">6. Technical Indicator Engine</w:t>
      </w:r>
    </w:p>
    <w:p>
      <w:pPr>
        <w:spacing w:after="140" w:line="276"/>
      </w:pPr>
      <w:r>
        <w:t xml:space="preserve">All analysis runs on a normalised OHLCV table (ohlcv.py). The indicator library (indicators.py) is implemented in pure pandas/NumPy — no compiled dependencies — so it installs cleanly on Windows. The indicators are grouped by what a trader reads:</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1700"/>
        <w:gridCol w:w="7660"/>
      </w:tblGrid>
      <w:tr>
        <w:trPr>
          <w:tblHeader/>
        </w:trPr>
        <w:tc>
          <w:tcPr>
            <w:tcW w:type="dxa" w:w="1700"/>
            <w:shd w:fill="1F4E79" w:val="clear"/>
            <w:tcMar>
              <w:top w:type="dxa" w:w="60"/>
              <w:left w:type="dxa" w:w="110"/>
              <w:bottom w:type="dxa" w:w="60"/>
              <w:right w:type="dxa" w:w="110"/>
            </w:tcMar>
          </w:tcPr>
          <w:p>
            <w:r>
              <w:rPr>
                <w:b/>
                <w:bCs/>
                <w:color w:val="FFFFFF"/>
                <w:sz w:val="19"/>
                <w:szCs w:val="19"/>
              </w:rPr>
              <w:t xml:space="preserve">Category</w:t>
            </w:r>
          </w:p>
        </w:tc>
        <w:tc>
          <w:tcPr>
            <w:tcW w:type="dxa" w:w="7660"/>
            <w:shd w:fill="1F4E79" w:val="clear"/>
            <w:tcMar>
              <w:top w:type="dxa" w:w="60"/>
              <w:left w:type="dxa" w:w="110"/>
              <w:bottom w:type="dxa" w:w="60"/>
              <w:right w:type="dxa" w:w="110"/>
            </w:tcMar>
          </w:tcPr>
          <w:p>
            <w:r>
              <w:rPr>
                <w:b/>
                <w:bCs/>
                <w:color w:val="FFFFFF"/>
                <w:sz w:val="19"/>
                <w:szCs w:val="19"/>
              </w:rPr>
              <w:t xml:space="preserve">Indicators</w:t>
            </w:r>
          </w:p>
        </w:tc>
      </w:tr>
      <w:tr>
        <w:tc>
          <w:tcPr>
            <w:tcW w:type="dxa" w:w="1700"/>
            <w:shd w:fill="F2F2F2" w:val="clear"/>
            <w:tcMar>
              <w:top w:type="dxa" w:w="50"/>
              <w:left w:type="dxa" w:w="110"/>
              <w:bottom w:type="dxa" w:w="50"/>
              <w:right w:type="dxa" w:w="110"/>
            </w:tcMar>
          </w:tcPr>
          <w:p>
            <w:r>
              <w:rPr>
                <w:sz w:val="19"/>
                <w:szCs w:val="19"/>
              </w:rPr>
              <w:t xml:space="preserve">Trend</w:t>
            </w:r>
          </w:p>
        </w:tc>
        <w:tc>
          <w:tcPr>
            <w:tcW w:type="dxa" w:w="7660"/>
            <w:shd w:fill="F2F2F2" w:val="clear"/>
            <w:tcMar>
              <w:top w:type="dxa" w:w="50"/>
              <w:left w:type="dxa" w:w="110"/>
              <w:bottom w:type="dxa" w:w="50"/>
              <w:right w:type="dxa" w:w="110"/>
            </w:tcMar>
          </w:tcPr>
          <w:p>
            <w:r>
              <w:rPr>
                <w:sz w:val="19"/>
                <w:szCs w:val="19"/>
              </w:rPr>
              <w:t xml:space="preserve">SMA, EMA (9/21/50), WMA, MACD, ADX with +DI/−DI, Supertrend, Parabolic SAR, Ichimoku</w:t>
            </w:r>
          </w:p>
        </w:tc>
      </w:tr>
      <w:tr>
        <w:tc>
          <w:tcPr>
            <w:tcW w:type="dxa" w:w="1700"/>
            <w:shd w:fill="FFFFFF" w:val="clear"/>
            <w:tcMar>
              <w:top w:type="dxa" w:w="50"/>
              <w:left w:type="dxa" w:w="110"/>
              <w:bottom w:type="dxa" w:w="50"/>
              <w:right w:type="dxa" w:w="110"/>
            </w:tcMar>
          </w:tcPr>
          <w:p>
            <w:r>
              <w:rPr>
                <w:sz w:val="19"/>
                <w:szCs w:val="19"/>
              </w:rPr>
              <w:t xml:space="preserve">Momentum</w:t>
            </w:r>
          </w:p>
        </w:tc>
        <w:tc>
          <w:tcPr>
            <w:tcW w:type="dxa" w:w="7660"/>
            <w:shd w:fill="FFFFFF" w:val="clear"/>
            <w:tcMar>
              <w:top w:type="dxa" w:w="50"/>
              <w:left w:type="dxa" w:w="110"/>
              <w:bottom w:type="dxa" w:w="50"/>
              <w:right w:type="dxa" w:w="110"/>
            </w:tcMar>
          </w:tcPr>
          <w:p>
            <w:r>
              <w:rPr>
                <w:sz w:val="19"/>
                <w:szCs w:val="19"/>
              </w:rPr>
              <w:t xml:space="preserve">RSI, Stochastic, Stochastic RSI, CCI, Williams %R, Rate of Change (ROC), MFI</w:t>
            </w:r>
          </w:p>
        </w:tc>
      </w:tr>
      <w:tr>
        <w:tc>
          <w:tcPr>
            <w:tcW w:type="dxa" w:w="1700"/>
            <w:shd w:fill="F2F2F2" w:val="clear"/>
            <w:tcMar>
              <w:top w:type="dxa" w:w="50"/>
              <w:left w:type="dxa" w:w="110"/>
              <w:bottom w:type="dxa" w:w="50"/>
              <w:right w:type="dxa" w:w="110"/>
            </w:tcMar>
          </w:tcPr>
          <w:p>
            <w:r>
              <w:rPr>
                <w:sz w:val="19"/>
                <w:szCs w:val="19"/>
              </w:rPr>
              <w:t xml:space="preserve">Volatility</w:t>
            </w:r>
          </w:p>
        </w:tc>
        <w:tc>
          <w:tcPr>
            <w:tcW w:type="dxa" w:w="7660"/>
            <w:shd w:fill="F2F2F2" w:val="clear"/>
            <w:tcMar>
              <w:top w:type="dxa" w:w="50"/>
              <w:left w:type="dxa" w:w="110"/>
              <w:bottom w:type="dxa" w:w="50"/>
              <w:right w:type="dxa" w:w="110"/>
            </w:tcMar>
          </w:tcPr>
          <w:p>
            <w:r>
              <w:rPr>
                <w:sz w:val="19"/>
                <w:szCs w:val="19"/>
              </w:rPr>
              <w:t xml:space="preserve">Bollinger Bands (with %B &amp; bandwidth), ATR, Keltner Channels, Donchian Channels</w:t>
            </w:r>
          </w:p>
        </w:tc>
      </w:tr>
      <w:tr>
        <w:tc>
          <w:tcPr>
            <w:tcW w:type="dxa" w:w="1700"/>
            <w:shd w:fill="FFFFFF" w:val="clear"/>
            <w:tcMar>
              <w:top w:type="dxa" w:w="50"/>
              <w:left w:type="dxa" w:w="110"/>
              <w:bottom w:type="dxa" w:w="50"/>
              <w:right w:type="dxa" w:w="110"/>
            </w:tcMar>
          </w:tcPr>
          <w:p>
            <w:r>
              <w:rPr>
                <w:sz w:val="19"/>
                <w:szCs w:val="19"/>
              </w:rPr>
              <w:t xml:space="preserve">Volume</w:t>
            </w:r>
          </w:p>
        </w:tc>
        <w:tc>
          <w:tcPr>
            <w:tcW w:type="dxa" w:w="7660"/>
            <w:shd w:fill="FFFFFF" w:val="clear"/>
            <w:tcMar>
              <w:top w:type="dxa" w:w="50"/>
              <w:left w:type="dxa" w:w="110"/>
              <w:bottom w:type="dxa" w:w="50"/>
              <w:right w:type="dxa" w:w="110"/>
            </w:tcMar>
          </w:tcPr>
          <w:p>
            <w:r>
              <w:rPr>
                <w:sz w:val="19"/>
                <w:szCs w:val="19"/>
              </w:rPr>
              <w:t xml:space="preserve">OBV (slope), VWAP, Money Flow Index</w:t>
            </w:r>
          </w:p>
        </w:tc>
      </w:tr>
      <w:tr>
        <w:tc>
          <w:tcPr>
            <w:tcW w:type="dxa" w:w="1700"/>
            <w:shd w:fill="F2F2F2" w:val="clear"/>
            <w:tcMar>
              <w:top w:type="dxa" w:w="50"/>
              <w:left w:type="dxa" w:w="110"/>
              <w:bottom w:type="dxa" w:w="50"/>
              <w:right w:type="dxa" w:w="110"/>
            </w:tcMar>
          </w:tcPr>
          <w:p>
            <w:r>
              <w:rPr>
                <w:sz w:val="19"/>
                <w:szCs w:val="19"/>
              </w:rPr>
              <w:t xml:space="preserve">Patterns</w:t>
            </w:r>
          </w:p>
        </w:tc>
        <w:tc>
          <w:tcPr>
            <w:tcW w:type="dxa" w:w="7660"/>
            <w:shd w:fill="F2F2F2" w:val="clear"/>
            <w:tcMar>
              <w:top w:type="dxa" w:w="50"/>
              <w:left w:type="dxa" w:w="110"/>
              <w:bottom w:type="dxa" w:w="50"/>
              <w:right w:type="dxa" w:w="110"/>
            </w:tcMar>
          </w:tcPr>
          <w:p>
            <w:r>
              <w:rPr>
                <w:sz w:val="19"/>
                <w:szCs w:val="19"/>
              </w:rPr>
              <w:t xml:space="preserve">Doji, hammer, shooting star, bullish/bearish engulfing, three white soldiers / black crows, strong-body (marubozu)</w:t>
            </w:r>
          </w:p>
        </w:tc>
      </w:tr>
    </w:tbl>
    <w:p>
      <w:pPr>
        <w:pStyle w:val="Heading1"/>
      </w:pPr>
      <w:r>
        <w:t xml:space="preserve">7. The Confluence Decision Engine</w:t>
      </w:r>
    </w:p>
    <w:p>
      <w:pPr>
        <w:spacing w:after="140" w:line="276"/>
      </w:pPr>
      <w:r>
        <w:t xml:space="preserve">This is the heart of the application (decision_engine.py). It answers the user's core requirement: only signal when the indicators broadly agree.</w:t>
      </w:r>
    </w:p>
    <w:p>
      <w:pPr>
        <w:pStyle w:val="Heading2"/>
      </w:pPr>
      <w:r>
        <w:t xml:space="preserve">7.1 Weighted voting</w:t>
      </w:r>
    </w:p>
    <w:p>
      <w:pPr>
        <w:spacing w:after="140" w:line="276"/>
      </w:pPr>
      <w:r>
        <w:t xml:space="preserve">Each indicator casts a vote of +1 (bullish), −1 (bearish) or 0 (neutral), with a weight reflecting its reliability. Votes are summed into a bullish total and a bearish total, and grouped into the five categories: trend, momentum, volatility, volume, pattern.</w:t>
      </w:r>
    </w:p>
    <w:p>
      <w:pPr>
        <w:pStyle w:val="Heading2"/>
      </w:pPr>
      <w:r>
        <w:t xml:space="preserve">7.2 Conviction and category alignment</w:t>
      </w:r>
    </w:p>
    <w:p>
      <w:pPr>
        <w:spacing w:after="140" w:line="276"/>
      </w:pPr>
      <w:r>
        <w:t xml:space="preserve">Two numbers decide the outcome:</w:t>
      </w:r>
    </w:p>
    <w:p>
      <w:pPr>
        <w:pStyle w:val="ListParagraph"/>
        <w:numPr>
          <w:ilvl w:val="0"/>
          <w:numId w:val="2"/>
        </w:numPr>
        <w:spacing w:after="60"/>
      </w:pPr>
      <w:r>
        <w:rPr>
          <w:b/>
          <w:bCs/>
        </w:rPr>
        <w:t xml:space="preserve">Conviction (0–100): </w:t>
      </w:r>
      <w:r>
        <w:t xml:space="preserve">how lopsided the weighted vote is — 0 means a perfect split, 100 means unanimous. This is the “setup score” shown in the UI.</w:t>
      </w:r>
    </w:p>
    <w:p>
      <w:pPr>
        <w:pStyle w:val="ListParagraph"/>
        <w:numPr>
          <w:ilvl w:val="0"/>
          <w:numId w:val="2"/>
        </w:numPr>
        <w:spacing w:after="60"/>
      </w:pPr>
      <w:r>
        <w:rPr>
          <w:b/>
          <w:bCs/>
        </w:rPr>
        <w:t xml:space="preserve">Category alignment: </w:t>
      </w:r>
      <w:r>
        <w:t xml:space="preserve">how many of the five categories agree with the net direction.</w:t>
      </w:r>
    </w:p>
    <w:p>
      <w:pPr>
        <w:spacing w:after="140" w:line="276"/>
      </w:pPr>
      <w:r>
        <w:t xml:space="preserve">A signal is confirmed only when the direction is decisive, conviction clears the threshold (default 62%), at least three categories agree, and the trend category is not in conflict. Otherwise the result is WAIT, accompanied by a plain-English explanation of exactly what is missing.</w:t>
      </w:r>
    </w:p>
    <w:p>
      <w:pPr>
        <w:pStyle w:val="Heading2"/>
      </w:pPr>
      <w:r>
        <w:t xml:space="preserve">7.3 Trend-aware momentum (an important nuance)</w:t>
      </w:r>
    </w:p>
    <w:p>
      <w:pPr>
        <w:spacing w:after="140" w:line="276"/>
      </w:pPr>
      <w:r>
        <w:t xml:space="preserve">Oscillators like RSI are interpreted differently depending on regime. In a confirmed trend (ADX ≥ 25), an “overbought” RSI means continuation, not reversal, so the engine does not fade it. Only in a non-trending range does it treat overbought/oversold as a reversal signal. A hard RSI guard (blocking buys above 78 / sells below 22) applies only in ranges. This prevents the classic mistake of selling a strong uptrend just because RSI is high.</w:t>
      </w:r>
    </w:p>
    <w:p>
      <w:pPr>
        <w:pStyle w:val="Heading2"/>
      </w:pPr>
      <w:r>
        <w:t xml:space="preserve">7.4 Output</w:t>
      </w:r>
    </w:p>
    <w:p>
      <w:pPr>
        <w:spacing w:after="140" w:line="276"/>
      </w:pPr>
      <w:r>
        <w:t xml:space="preserve">For every frame the engine returns the signal, confidence, a human-readable reason, a suggestion, the trend, the conviction score, the for/against indicator lists, the per-category breakdown, the support/resistance levels, and the model probability.</w:t>
      </w:r>
    </w:p>
    <w:p>
      <w:pPr>
        <w:pStyle w:val="Heading1"/>
      </w:pPr>
      <w:r>
        <w:t xml:space="preserve">8. Support &amp; Resistance</w:t>
      </w:r>
    </w:p>
    <w:p>
      <w:pPr>
        <w:spacing w:after="140" w:line="276"/>
      </w:pPr>
      <w:r>
        <w:t xml:space="preserve">Support and resistance are detected (support_resistance.py) using fractal pivots: a pivot high is a bar whose high is the local maximum over a small window (a level the market rejected), and a pivot low is the mirror image. Nearby pivots are clustered into levels, and the engine reports the nearest support below and resistance above the current price. These levels are shown on the overlay and are also fed to the model as features (distance to each level, measured in ATR units).</w:t>
      </w:r>
    </w:p>
    <w:p>
      <w:pPr>
        <w:pStyle w:val="Heading1"/>
      </w:pPr>
      <w:r>
        <w:t xml:space="preserve">9. The Self-Learning AI Model</w:t>
      </w:r>
    </w:p>
    <w:p>
      <w:pPr>
        <w:spacing w:after="140" w:line="276"/>
      </w:pPr>
      <w:r>
        <w:t xml:space="preserve">This section answers directly: what model is used, how it is trained, and what it does in production.</w:t>
      </w:r>
    </w:p>
    <w:p>
      <w:pPr>
        <w:pStyle w:val="Heading2"/>
      </w:pPr>
      <w:r>
        <w:t xml:space="preserve">9.1 What model</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1900"/>
        <w:gridCol w:w="7460"/>
      </w:tblGrid>
      <w:tr>
        <w:trPr>
          <w:tblHeader/>
        </w:trPr>
        <w:tc>
          <w:tcPr>
            <w:tcW w:type="dxa" w:w="1900"/>
            <w:shd w:fill="1F4E79" w:val="clear"/>
            <w:tcMar>
              <w:top w:type="dxa" w:w="60"/>
              <w:left w:type="dxa" w:w="110"/>
              <w:bottom w:type="dxa" w:w="60"/>
              <w:right w:type="dxa" w:w="110"/>
            </w:tcMar>
          </w:tcPr>
          <w:p>
            <w:r>
              <w:rPr>
                <w:b/>
                <w:bCs/>
                <w:color w:val="FFFFFF"/>
                <w:sz w:val="19"/>
                <w:szCs w:val="19"/>
              </w:rPr>
              <w:t xml:space="preserve">Aspect</w:t>
            </w:r>
          </w:p>
        </w:tc>
        <w:tc>
          <w:tcPr>
            <w:tcW w:type="dxa" w:w="7460"/>
            <w:shd w:fill="1F4E79" w:val="clear"/>
            <w:tcMar>
              <w:top w:type="dxa" w:w="60"/>
              <w:left w:type="dxa" w:w="110"/>
              <w:bottom w:type="dxa" w:w="60"/>
              <w:right w:type="dxa" w:w="110"/>
            </w:tcMar>
          </w:tcPr>
          <w:p>
            <w:r>
              <w:rPr>
                <w:b/>
                <w:bCs/>
                <w:color w:val="FFFFFF"/>
                <w:sz w:val="19"/>
                <w:szCs w:val="19"/>
              </w:rPr>
              <w:t xml:space="preserve">Choice</w:t>
            </w:r>
          </w:p>
        </w:tc>
      </w:tr>
      <w:tr>
        <w:tc>
          <w:tcPr>
            <w:tcW w:type="dxa" w:w="1900"/>
            <w:shd w:fill="F2F2F2" w:val="clear"/>
            <w:tcMar>
              <w:top w:type="dxa" w:w="50"/>
              <w:left w:type="dxa" w:w="110"/>
              <w:bottom w:type="dxa" w:w="50"/>
              <w:right w:type="dxa" w:w="110"/>
            </w:tcMar>
          </w:tcPr>
          <w:p>
            <w:r>
              <w:rPr>
                <w:sz w:val="19"/>
                <w:szCs w:val="19"/>
              </w:rPr>
              <w:t xml:space="preserve">Algorithm</w:t>
            </w:r>
          </w:p>
        </w:tc>
        <w:tc>
          <w:tcPr>
            <w:tcW w:type="dxa" w:w="7460"/>
            <w:shd w:fill="F2F2F2" w:val="clear"/>
            <w:tcMar>
              <w:top w:type="dxa" w:w="50"/>
              <w:left w:type="dxa" w:w="110"/>
              <w:bottom w:type="dxa" w:w="50"/>
              <w:right w:type="dxa" w:w="110"/>
            </w:tcMar>
          </w:tcPr>
          <w:p>
            <w:r>
              <w:rPr>
                <w:sz w:val="19"/>
                <w:szCs w:val="19"/>
              </w:rPr>
              <w:t xml:space="preserve">Gradient Boosting Classifier (scikit-learn): 200 trees, depth 3, learning rate 0.05, subsample 0.8</w:t>
            </w:r>
          </w:p>
        </w:tc>
      </w:tr>
      <w:tr>
        <w:tc>
          <w:tcPr>
            <w:tcW w:type="dxa" w:w="1900"/>
            <w:shd w:fill="FFFFFF" w:val="clear"/>
            <w:tcMar>
              <w:top w:type="dxa" w:w="50"/>
              <w:left w:type="dxa" w:w="110"/>
              <w:bottom w:type="dxa" w:w="50"/>
              <w:right w:type="dxa" w:w="110"/>
            </w:tcMar>
          </w:tcPr>
          <w:p>
            <w:r>
              <w:rPr>
                <w:sz w:val="19"/>
                <w:szCs w:val="19"/>
              </w:rPr>
              <w:t xml:space="preserve">Calibration</w:t>
            </w:r>
          </w:p>
        </w:tc>
        <w:tc>
          <w:tcPr>
            <w:tcW w:type="dxa" w:w="7460"/>
            <w:shd w:fill="FFFFFF" w:val="clear"/>
            <w:tcMar>
              <w:top w:type="dxa" w:w="50"/>
              <w:left w:type="dxa" w:w="110"/>
              <w:bottom w:type="dxa" w:w="50"/>
              <w:right w:type="dxa" w:w="110"/>
            </w:tcMar>
          </w:tcPr>
          <w:p>
            <w:r>
              <w:rPr>
                <w:sz w:val="19"/>
                <w:szCs w:val="19"/>
              </w:rPr>
              <w:t xml:space="preserve">Isotonic Regression — maps raw scores to honest probabilities (a stated 60% means ~60% historically)</w:t>
            </w:r>
          </w:p>
        </w:tc>
      </w:tr>
      <w:tr>
        <w:tc>
          <w:tcPr>
            <w:tcW w:type="dxa" w:w="1900"/>
            <w:shd w:fill="F2F2F2" w:val="clear"/>
            <w:tcMar>
              <w:top w:type="dxa" w:w="50"/>
              <w:left w:type="dxa" w:w="110"/>
              <w:bottom w:type="dxa" w:w="50"/>
              <w:right w:type="dxa" w:w="110"/>
            </w:tcMar>
          </w:tcPr>
          <w:p>
            <w:r>
              <w:rPr>
                <w:sz w:val="19"/>
                <w:szCs w:val="19"/>
              </w:rPr>
              <w:t xml:space="preserve">Fallback</w:t>
            </w:r>
          </w:p>
        </w:tc>
        <w:tc>
          <w:tcPr>
            <w:tcW w:type="dxa" w:w="7460"/>
            <w:shd w:fill="F2F2F2" w:val="clear"/>
            <w:tcMar>
              <w:top w:type="dxa" w:w="50"/>
              <w:left w:type="dxa" w:w="110"/>
              <w:bottom w:type="dxa" w:w="50"/>
              <w:right w:type="dxa" w:w="110"/>
            </w:tcMar>
          </w:tcPr>
          <w:p>
            <w:r>
              <w:rPr>
                <w:sz w:val="19"/>
                <w:szCs w:val="19"/>
              </w:rPr>
              <w:t xml:space="preserve">A pure-NumPy logistic regression, used automatically if scikit-learn is unavailable, so training never hard-fails</w:t>
            </w:r>
          </w:p>
        </w:tc>
      </w:tr>
      <w:tr>
        <w:tc>
          <w:tcPr>
            <w:tcW w:type="dxa" w:w="1900"/>
            <w:shd w:fill="FFFFFF" w:val="clear"/>
            <w:tcMar>
              <w:top w:type="dxa" w:w="50"/>
              <w:left w:type="dxa" w:w="110"/>
              <w:bottom w:type="dxa" w:w="50"/>
              <w:right w:type="dxa" w:w="110"/>
            </w:tcMar>
          </w:tcPr>
          <w:p>
            <w:r>
              <w:rPr>
                <w:sz w:val="19"/>
                <w:szCs w:val="19"/>
              </w:rPr>
              <w:t xml:space="preserve">Task</w:t>
            </w:r>
          </w:p>
        </w:tc>
        <w:tc>
          <w:tcPr>
            <w:tcW w:type="dxa" w:w="7460"/>
            <w:shd w:fill="FFFFFF" w:val="clear"/>
            <w:tcMar>
              <w:top w:type="dxa" w:w="50"/>
              <w:left w:type="dxa" w:w="110"/>
              <w:bottom w:type="dxa" w:w="50"/>
              <w:right w:type="dxa" w:w="110"/>
            </w:tcMar>
          </w:tcPr>
          <w:p>
            <w:r>
              <w:rPr>
                <w:sz w:val="19"/>
                <w:szCs w:val="19"/>
              </w:rPr>
              <w:t xml:space="preserve">Binary classification: probability that price is higher one bar ahead (P_up) — i.e. the binary-option bet itself</w:t>
            </w:r>
          </w:p>
        </w:tc>
      </w:tr>
      <w:tr>
        <w:tc>
          <w:tcPr>
            <w:tcW w:type="dxa" w:w="1900"/>
            <w:shd w:fill="F2F2F2" w:val="clear"/>
            <w:tcMar>
              <w:top w:type="dxa" w:w="50"/>
              <w:left w:type="dxa" w:w="110"/>
              <w:bottom w:type="dxa" w:w="50"/>
              <w:right w:type="dxa" w:w="110"/>
            </w:tcMar>
          </w:tcPr>
          <w:p>
            <w:r>
              <w:rPr>
                <w:sz w:val="19"/>
                <w:szCs w:val="19"/>
              </w:rPr>
              <w:t xml:space="preserve">Artifact</w:t>
            </w:r>
          </w:p>
        </w:tc>
        <w:tc>
          <w:tcPr>
            <w:tcW w:type="dxa" w:w="7460"/>
            <w:shd w:fill="F2F2F2" w:val="clear"/>
            <w:tcMar>
              <w:top w:type="dxa" w:w="50"/>
              <w:left w:type="dxa" w:w="110"/>
              <w:bottom w:type="dxa" w:w="50"/>
              <w:right w:type="dxa" w:w="110"/>
            </w:tcMar>
          </w:tcPr>
          <w:p>
            <w:r>
              <w:rPr>
                <w:sz w:val="19"/>
                <w:szCs w:val="19"/>
              </w:rPr>
              <w:t xml:space="preserve">python-engine/model_store/trade_model.pkl (model + calibration + feature list + metrics + eligibility)</w:t>
            </w:r>
          </w:p>
        </w:tc>
      </w:tr>
    </w:tbl>
    <w:p>
      <w:pPr>
        <w:spacing w:after="140" w:line="276"/>
      </w:pPr>
      <w:r>
        <w:rPr>
          <w:b/>
          <w:bCs/>
        </w:rPr>
        <w:t xml:space="preserve">Why Gradient Boosting rather than a deep neural network: </w:t>
      </w:r>
      <w:r>
        <w:t xml:space="preserve">the data is tabular (a few dozen engineered numbers per bar), the dataset is modest, and boosted trees are fast, robust, and interpretable (they expose which features matter). A deep network would add complexity and overfitting risk with no expected benefit at this scale.</w:t>
      </w:r>
    </w:p>
    <w:p>
      <w:pPr>
        <w:pStyle w:val="Heading2"/>
      </w:pPr>
      <w:r>
        <w:t xml:space="preserve">9.2 What the model reads — features</w:t>
      </w:r>
    </w:p>
    <w:p>
      <w:pPr>
        <w:spacing w:after="140" w:line="276"/>
      </w:pPr>
      <w:r>
        <w:t xml:space="preserve">The model does not read the raw chart; it reads 28 engineered, causal (past-only, no look-ahead) features that capture what a discretionary trader sees, including the “candles as emotion” idea encoded numerically (features.py):</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100"/>
        <w:gridCol w:w="7260"/>
      </w:tblGrid>
      <w:tr>
        <w:trPr>
          <w:tblHeader/>
        </w:trPr>
        <w:tc>
          <w:tcPr>
            <w:tcW w:type="dxa" w:w="2100"/>
            <w:shd w:fill="1F4E79" w:val="clear"/>
            <w:tcMar>
              <w:top w:type="dxa" w:w="60"/>
              <w:left w:type="dxa" w:w="110"/>
              <w:bottom w:type="dxa" w:w="60"/>
              <w:right w:type="dxa" w:w="110"/>
            </w:tcMar>
          </w:tcPr>
          <w:p>
            <w:r>
              <w:rPr>
                <w:b/>
                <w:bCs/>
                <w:color w:val="FFFFFF"/>
                <w:sz w:val="19"/>
                <w:szCs w:val="19"/>
              </w:rPr>
              <w:t xml:space="preserve">Group</w:t>
            </w:r>
          </w:p>
        </w:tc>
        <w:tc>
          <w:tcPr>
            <w:tcW w:type="dxa" w:w="7260"/>
            <w:shd w:fill="1F4E79" w:val="clear"/>
            <w:tcMar>
              <w:top w:type="dxa" w:w="60"/>
              <w:left w:type="dxa" w:w="110"/>
              <w:bottom w:type="dxa" w:w="60"/>
              <w:right w:type="dxa" w:w="110"/>
            </w:tcMar>
          </w:tcPr>
          <w:p>
            <w:r>
              <w:rPr>
                <w:b/>
                <w:bCs/>
                <w:color w:val="FFFFFF"/>
                <w:sz w:val="19"/>
                <w:szCs w:val="19"/>
              </w:rPr>
              <w:t xml:space="preserve">Features</w:t>
            </w:r>
          </w:p>
        </w:tc>
      </w:tr>
      <w:tr>
        <w:tc>
          <w:tcPr>
            <w:tcW w:type="dxa" w:w="2100"/>
            <w:shd w:fill="F2F2F2" w:val="clear"/>
            <w:tcMar>
              <w:top w:type="dxa" w:w="50"/>
              <w:left w:type="dxa" w:w="110"/>
              <w:bottom w:type="dxa" w:w="50"/>
              <w:right w:type="dxa" w:w="110"/>
            </w:tcMar>
          </w:tcPr>
          <w:p>
            <w:r>
              <w:rPr>
                <w:sz w:val="19"/>
                <w:szCs w:val="19"/>
              </w:rPr>
              <w:t xml:space="preserve">Returns</w:t>
            </w:r>
          </w:p>
        </w:tc>
        <w:tc>
          <w:tcPr>
            <w:tcW w:type="dxa" w:w="7260"/>
            <w:shd w:fill="F2F2F2" w:val="clear"/>
            <w:tcMar>
              <w:top w:type="dxa" w:w="50"/>
              <w:left w:type="dxa" w:w="110"/>
              <w:bottom w:type="dxa" w:w="50"/>
              <w:right w:type="dxa" w:w="110"/>
            </w:tcMar>
          </w:tcPr>
          <w:p>
            <w:r>
              <w:rPr>
                <w:sz w:val="19"/>
                <w:szCs w:val="19"/>
              </w:rPr>
              <w:t xml:space="preserve">ret1, ret3, ret5 (recent percentage moves)</w:t>
            </w:r>
          </w:p>
        </w:tc>
      </w:tr>
      <w:tr>
        <w:tc>
          <w:tcPr>
            <w:tcW w:type="dxa" w:w="2100"/>
            <w:shd w:fill="FFFFFF" w:val="clear"/>
            <w:tcMar>
              <w:top w:type="dxa" w:w="50"/>
              <w:left w:type="dxa" w:w="110"/>
              <w:bottom w:type="dxa" w:w="50"/>
              <w:right w:type="dxa" w:w="110"/>
            </w:tcMar>
          </w:tcPr>
          <w:p>
            <w:r>
              <w:rPr>
                <w:sz w:val="19"/>
                <w:szCs w:val="19"/>
              </w:rPr>
              <w:t xml:space="preserve">Trend</w:t>
            </w:r>
          </w:p>
        </w:tc>
        <w:tc>
          <w:tcPr>
            <w:tcW w:type="dxa" w:w="7260"/>
            <w:shd w:fill="FFFFFF" w:val="clear"/>
            <w:tcMar>
              <w:top w:type="dxa" w:w="50"/>
              <w:left w:type="dxa" w:w="110"/>
              <w:bottom w:type="dxa" w:w="50"/>
              <w:right w:type="dxa" w:w="110"/>
            </w:tcMar>
          </w:tcPr>
          <w:p>
            <w:r>
              <w:rPr>
                <w:sz w:val="19"/>
                <w:szCs w:val="19"/>
              </w:rPr>
              <w:t xml:space="preserve">EMA 9/21/50 distance (in ATR), EMA slope, EMA stack, MACD histogram, ADX, +DI−−DI difference</w:t>
            </w:r>
          </w:p>
        </w:tc>
      </w:tr>
      <w:tr>
        <w:tc>
          <w:tcPr>
            <w:tcW w:type="dxa" w:w="2100"/>
            <w:shd w:fill="F2F2F2" w:val="clear"/>
            <w:tcMar>
              <w:top w:type="dxa" w:w="50"/>
              <w:left w:type="dxa" w:w="110"/>
              <w:bottom w:type="dxa" w:w="50"/>
              <w:right w:type="dxa" w:w="110"/>
            </w:tcMar>
          </w:tcPr>
          <w:p>
            <w:r>
              <w:rPr>
                <w:sz w:val="19"/>
                <w:szCs w:val="19"/>
              </w:rPr>
              <w:t xml:space="preserve">Momentum</w:t>
            </w:r>
          </w:p>
        </w:tc>
        <w:tc>
          <w:tcPr>
            <w:tcW w:type="dxa" w:w="7260"/>
            <w:shd w:fill="F2F2F2" w:val="clear"/>
            <w:tcMar>
              <w:top w:type="dxa" w:w="50"/>
              <w:left w:type="dxa" w:w="110"/>
              <w:bottom w:type="dxa" w:w="50"/>
              <w:right w:type="dxa" w:w="110"/>
            </w:tcMar>
          </w:tcPr>
          <w:p>
            <w:r>
              <w:rPr>
                <w:sz w:val="19"/>
                <w:szCs w:val="19"/>
              </w:rPr>
              <w:t xml:space="preserve">RSI, Stochastic %K, CCI, Williams %R, ROC, MFI</w:t>
            </w:r>
          </w:p>
        </w:tc>
      </w:tr>
      <w:tr>
        <w:tc>
          <w:tcPr>
            <w:tcW w:type="dxa" w:w="2100"/>
            <w:shd w:fill="FFFFFF" w:val="clear"/>
            <w:tcMar>
              <w:top w:type="dxa" w:w="50"/>
              <w:left w:type="dxa" w:w="110"/>
              <w:bottom w:type="dxa" w:w="50"/>
              <w:right w:type="dxa" w:w="110"/>
            </w:tcMar>
          </w:tcPr>
          <w:p>
            <w:r>
              <w:rPr>
                <w:sz w:val="19"/>
                <w:szCs w:val="19"/>
              </w:rPr>
              <w:t xml:space="preserve">Volatility</w:t>
            </w:r>
          </w:p>
        </w:tc>
        <w:tc>
          <w:tcPr>
            <w:tcW w:type="dxa" w:w="7260"/>
            <w:shd w:fill="FFFFFF" w:val="clear"/>
            <w:tcMar>
              <w:top w:type="dxa" w:w="50"/>
              <w:left w:type="dxa" w:w="110"/>
              <w:bottom w:type="dxa" w:w="50"/>
              <w:right w:type="dxa" w:w="110"/>
            </w:tcMar>
          </w:tcPr>
          <w:p>
            <w:r>
              <w:rPr>
                <w:sz w:val="19"/>
                <w:szCs w:val="19"/>
              </w:rPr>
              <w:t xml:space="preserve">ATR as % of price, Bollinger %B, Bollinger bandwidth</w:t>
            </w:r>
          </w:p>
        </w:tc>
      </w:tr>
      <w:tr>
        <w:tc>
          <w:tcPr>
            <w:tcW w:type="dxa" w:w="2100"/>
            <w:shd w:fill="F2F2F2" w:val="clear"/>
            <w:tcMar>
              <w:top w:type="dxa" w:w="50"/>
              <w:left w:type="dxa" w:w="110"/>
              <w:bottom w:type="dxa" w:w="50"/>
              <w:right w:type="dxa" w:w="110"/>
            </w:tcMar>
          </w:tcPr>
          <w:p>
            <w:r>
              <w:rPr>
                <w:sz w:val="19"/>
                <w:szCs w:val="19"/>
              </w:rPr>
              <w:t xml:space="preserve">Candle psychology</w:t>
            </w:r>
          </w:p>
        </w:tc>
        <w:tc>
          <w:tcPr>
            <w:tcW w:type="dxa" w:w="7260"/>
            <w:shd w:fill="F2F2F2" w:val="clear"/>
            <w:tcMar>
              <w:top w:type="dxa" w:w="50"/>
              <w:left w:type="dxa" w:w="110"/>
              <w:bottom w:type="dxa" w:w="50"/>
              <w:right w:type="dxa" w:w="110"/>
            </w:tcMar>
          </w:tcPr>
          <w:p>
            <w:r>
              <w:rPr>
                <w:sz w:val="19"/>
                <w:szCs w:val="19"/>
              </w:rPr>
              <w:t xml:space="preserve">body fraction, upper wick, lower wick (rejection / fear &amp; greed), direction streak (herd behaviour)</w:t>
            </w:r>
          </w:p>
        </w:tc>
      </w:tr>
      <w:tr>
        <w:tc>
          <w:tcPr>
            <w:tcW w:type="dxa" w:w="2100"/>
            <w:shd w:fill="FFFFFF" w:val="clear"/>
            <w:tcMar>
              <w:top w:type="dxa" w:w="50"/>
              <w:left w:type="dxa" w:w="110"/>
              <w:bottom w:type="dxa" w:w="50"/>
              <w:right w:type="dxa" w:w="110"/>
            </w:tcMar>
          </w:tcPr>
          <w:p>
            <w:r>
              <w:rPr>
                <w:sz w:val="19"/>
                <w:szCs w:val="19"/>
              </w:rPr>
              <w:t xml:space="preserve">Structure / S-R</w:t>
            </w:r>
          </w:p>
        </w:tc>
        <w:tc>
          <w:tcPr>
            <w:tcW w:type="dxa" w:w="7260"/>
            <w:shd w:fill="FFFFFF" w:val="clear"/>
            <w:tcMar>
              <w:top w:type="dxa" w:w="50"/>
              <w:left w:type="dxa" w:w="110"/>
              <w:bottom w:type="dxa" w:w="50"/>
              <w:right w:type="dxa" w:w="110"/>
            </w:tcMar>
          </w:tcPr>
          <w:p>
            <w:r>
              <w:rPr>
                <w:sz w:val="19"/>
                <w:szCs w:val="19"/>
              </w:rPr>
              <w:t xml:space="preserve">position within recent range, distance to resistance and to support (in ATR units)</w:t>
            </w:r>
          </w:p>
        </w:tc>
      </w:tr>
      <w:tr>
        <w:tc>
          <w:tcPr>
            <w:tcW w:type="dxa" w:w="2100"/>
            <w:shd w:fill="F2F2F2" w:val="clear"/>
            <w:tcMar>
              <w:top w:type="dxa" w:w="50"/>
              <w:left w:type="dxa" w:w="110"/>
              <w:bottom w:type="dxa" w:w="50"/>
              <w:right w:type="dxa" w:w="110"/>
            </w:tcMar>
          </w:tcPr>
          <w:p>
            <w:r>
              <w:rPr>
                <w:sz w:val="19"/>
                <w:szCs w:val="19"/>
              </w:rPr>
              <w:t xml:space="preserve">Volume</w:t>
            </w:r>
          </w:p>
        </w:tc>
        <w:tc>
          <w:tcPr>
            <w:tcW w:type="dxa" w:w="7260"/>
            <w:shd w:fill="F2F2F2" w:val="clear"/>
            <w:tcMar>
              <w:top w:type="dxa" w:w="50"/>
              <w:left w:type="dxa" w:w="110"/>
              <w:bottom w:type="dxa" w:w="50"/>
              <w:right w:type="dxa" w:w="110"/>
            </w:tcMar>
          </w:tcPr>
          <w:p>
            <w:r>
              <w:rPr>
                <w:sz w:val="19"/>
                <w:szCs w:val="19"/>
              </w:rPr>
              <w:t xml:space="preserve">OBV slope</w:t>
            </w:r>
          </w:p>
        </w:tc>
      </w:tr>
    </w:tbl>
    <w:p>
      <w:pPr>
        <w:pStyle w:val="Heading2"/>
      </w:pPr>
      <w:r>
        <w:t xml:space="preserve">9.3 How it is labelled — self-supervised from real history</w:t>
      </w:r>
    </w:p>
    <w:p>
      <w:pPr>
        <w:spacing w:after="140" w:line="276"/>
      </w:pPr>
      <w:r>
        <w:t xml:space="preserve">Waiting weeks for live signals to accumulate is unnecessary. Instead the trainer labels each historical bar by what price actually did afterwards (labeling.py): label = 1 if price is higher one bar later, 0 if lower. This turns thousands of real candles into a labelled dataset immediately. The same scheme will later incorporate the app's own logged live outcomes.</w:t>
      </w:r>
    </w:p>
    <w:p>
      <w:pPr>
        <w:pStyle w:val="Heading2"/>
      </w:pPr>
      <w:r>
        <w:t xml:space="preserve">9.4 How it is trained — the pipeline</w:t>
      </w:r>
    </w:p>
    <w:p>
      <w:pPr>
        <w:spacing w:after="140" w:line="276"/>
      </w:pPr>
      <w:r>
        <w:t xml:space="preserve">Running train.py performs the full pipeline:</w:t>
      </w:r>
    </w:p>
    <w:p>
      <w:pPr>
        <w:pStyle w:val="ListParagraph"/>
        <w:numPr>
          <w:ilvl w:val="0"/>
          <w:numId w:val="3"/>
        </w:numPr>
        <w:spacing w:after="60"/>
      </w:pPr>
      <w:r>
        <w:rPr>
          <w:b/>
          <w:bCs/>
        </w:rPr>
        <w:t xml:space="preserve">Gather real history. </w:t>
      </w:r>
      <w:r>
        <w:t xml:space="preserve">Download historical OHLCV from Crypto.com for eight instruments (BTC, ETH, SOL, XRP, ADA, DOGE, LTC, BNB) across three timeframes (1m, 5m, 15m), 300 bars each.</w:t>
      </w:r>
    </w:p>
    <w:p>
      <w:pPr>
        <w:pStyle w:val="ListParagraph"/>
        <w:numPr>
          <w:ilvl w:val="0"/>
          <w:numId w:val="3"/>
        </w:numPr>
        <w:spacing w:after="60"/>
      </w:pPr>
      <w:r>
        <w:rPr>
          <w:b/>
          <w:bCs/>
        </w:rPr>
        <w:t xml:space="preserve">Build features and labels </w:t>
      </w:r>
      <w:r>
        <w:t xml:space="preserve">for every bar of every series.</w:t>
      </w:r>
    </w:p>
    <w:p>
      <w:pPr>
        <w:pStyle w:val="ListParagraph"/>
        <w:numPr>
          <w:ilvl w:val="0"/>
          <w:numId w:val="3"/>
        </w:numPr>
        <w:spacing w:after="60"/>
      </w:pPr>
      <w:r>
        <w:rPr>
          <w:b/>
          <w:bCs/>
        </w:rPr>
        <w:t xml:space="preserve">Walk-forward split (no look-ahead). </w:t>
      </w:r>
      <w:r>
        <w:t xml:space="preserve">Each series is split chronologically: first 60% to train, next 15% to calibrate, last 25% to test. The model is always evaluated on data from its own future — the only honest way to test a time series.</w:t>
      </w:r>
    </w:p>
    <w:p>
      <w:pPr>
        <w:pStyle w:val="ListParagraph"/>
        <w:numPr>
          <w:ilvl w:val="0"/>
          <w:numId w:val="3"/>
        </w:numPr>
        <w:spacing w:after="60"/>
      </w:pPr>
      <w:r>
        <w:rPr>
          <w:b/>
          <w:bCs/>
        </w:rPr>
        <w:t xml:space="preserve">Train </w:t>
      </w:r>
      <w:r>
        <w:t xml:space="preserve">the Gradient Boosting model on the pooled training portion.</w:t>
      </w:r>
    </w:p>
    <w:p>
      <w:pPr>
        <w:pStyle w:val="ListParagraph"/>
        <w:numPr>
          <w:ilvl w:val="0"/>
          <w:numId w:val="3"/>
        </w:numPr>
        <w:spacing w:after="60"/>
      </w:pPr>
      <w:r>
        <w:rPr>
          <w:b/>
          <w:bCs/>
        </w:rPr>
        <w:t xml:space="preserve">Calibrate </w:t>
      </w:r>
      <w:r>
        <w:t xml:space="preserve">with isotonic regression on the calibration portion, so probabilities are trustworthy.</w:t>
      </w:r>
    </w:p>
    <w:p>
      <w:pPr>
        <w:pStyle w:val="ListParagraph"/>
        <w:numPr>
          <w:ilvl w:val="0"/>
          <w:numId w:val="3"/>
        </w:numPr>
        <w:spacing w:after="60"/>
      </w:pPr>
      <w:r>
        <w:rPr>
          <w:b/>
          <w:bCs/>
        </w:rPr>
        <w:t xml:space="preserve">Backtest expected value </w:t>
      </w:r>
      <w:r>
        <w:t xml:space="preserve">on the unseen test portion (Section 9.5) and decide eligibility.</w:t>
      </w:r>
    </w:p>
    <w:p>
      <w:pPr>
        <w:pStyle w:val="ListParagraph"/>
        <w:numPr>
          <w:ilvl w:val="0"/>
          <w:numId w:val="3"/>
        </w:numPr>
        <w:spacing w:after="60"/>
      </w:pPr>
      <w:r>
        <w:rPr>
          <w:b/>
          <w:bCs/>
        </w:rPr>
        <w:t xml:space="preserve">Save </w:t>
      </w:r>
      <w:r>
        <w:t xml:space="preserve">the model with its metrics and eligibility flag.</w:t>
      </w:r>
    </w:p>
    <w:p>
      <w:pPr>
        <w:spacing w:after="140" w:line="276"/>
      </w:pPr>
      <w:r>
        <w:rPr>
          <w:b/>
          <w:bCs/>
        </w:rPr>
        <w:t xml:space="preserve">Retraining: </w:t>
      </w:r>
      <w:r>
        <w:t xml:space="preserve">the model is trained automatically on first launch (built into RUN.bat) and can be regenerated any time by deleting the saved model or running </w:t>
      </w:r>
      <w:r>
        <w:rPr>
          <w:rFonts w:ascii="Consolas" w:cs="Consolas" w:eastAsia="Consolas" w:hAnsi="Consolas"/>
          <w:sz w:val="19"/>
          <w:szCs w:val="19"/>
        </w:rPr>
        <w:t xml:space="preserve">python train.py</w:t>
      </w:r>
      <w:r>
        <w:t xml:space="preserve">.</w:t>
      </w:r>
    </w:p>
    <w:p>
      <w:pPr>
        <w:pStyle w:val="Heading2"/>
      </w:pPr>
      <w:r>
        <w:t xml:space="preserve">9.5 The expected-value gate (the safety valve)</w:t>
      </w:r>
    </w:p>
    <w:p>
      <w:pPr>
        <w:spacing w:after="140" w:line="276"/>
      </w:pPr>
      <w:r>
        <w:t xml:space="preserve">Accuracy alone is misleading for binary options. The backtest (backtest.py) computes, on confident predictions only, the win-rate and the expected value per trade:</w:t>
      </w:r>
    </w:p>
    <w:p>
      <w:pPr>
        <w:pBdr>
          <w:left w:val="single" w:color="1F4E79" w:sz="18" w:space="6"/>
        </w:pBdr>
        <w:shd w:fill="F2F2F2" w:val="clear"/>
        <w:spacing w:after="120" w:before="40"/>
      </w:pPr>
      <w:r>
        <w:rPr>
          <w:rFonts w:ascii="Consolas" w:cs="Consolas" w:eastAsia="Consolas" w:hAnsi="Consolas"/>
          <w:sz w:val="18"/>
          <w:szCs w:val="18"/>
        </w:rPr>
        <w:t xml:space="preserve">EV per trade = win_rate × payout − (1 − win_rate)        (payout assumed 0.85)</w:t>
      </w:r>
    </w:p>
    <w:p>
      <w:pPr>
        <w:spacing w:after="140" w:line="276"/>
      </w:pPr>
      <w:r>
        <w:t xml:space="preserve">It scans several confidence thresholds and picks the best. If the best expected value is not positive, the model is flagged not eligible: it will be shown to the user for transparency but will never upgrade a signal.</w:t>
      </w:r>
    </w:p>
    <w:p>
      <w:pPr>
        <w:pStyle w:val="Heading2"/>
      </w:pPr>
      <w:r>
        <w:t xml:space="preserve">9.6 The honest result on real data</w:t>
      </w:r>
    </w:p>
    <w:p>
      <w:pPr>
        <w:spacing w:after="140" w:line="276"/>
      </w:pPr>
      <w:r>
        <w:t xml:space="preserve">Training on real crypto history produced the following out-of-sample result:</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2200"/>
        <w:gridCol w:w="1700"/>
        <w:gridCol w:w="5460"/>
      </w:tblGrid>
      <w:tr>
        <w:trPr>
          <w:tblHeader/>
        </w:trPr>
        <w:tc>
          <w:tcPr>
            <w:tcW w:type="dxa" w:w="2200"/>
            <w:shd w:fill="1F4E79" w:val="clear"/>
            <w:tcMar>
              <w:top w:type="dxa" w:w="60"/>
              <w:left w:type="dxa" w:w="110"/>
              <w:bottom w:type="dxa" w:w="60"/>
              <w:right w:type="dxa" w:w="110"/>
            </w:tcMar>
          </w:tcPr>
          <w:p>
            <w:r>
              <w:rPr>
                <w:b/>
                <w:bCs/>
                <w:color w:val="FFFFFF"/>
                <w:sz w:val="19"/>
                <w:szCs w:val="19"/>
              </w:rPr>
              <w:t xml:space="preserve">Metric</w:t>
            </w:r>
          </w:p>
        </w:tc>
        <w:tc>
          <w:tcPr>
            <w:tcW w:type="dxa" w:w="1700"/>
            <w:shd w:fill="1F4E79" w:val="clear"/>
            <w:tcMar>
              <w:top w:type="dxa" w:w="60"/>
              <w:left w:type="dxa" w:w="110"/>
              <w:bottom w:type="dxa" w:w="60"/>
              <w:right w:type="dxa" w:w="110"/>
            </w:tcMar>
          </w:tcPr>
          <w:p>
            <w:r>
              <w:rPr>
                <w:b/>
                <w:bCs/>
                <w:color w:val="FFFFFF"/>
                <w:sz w:val="19"/>
                <w:szCs w:val="19"/>
              </w:rPr>
              <w:t xml:space="preserve">Value</w:t>
            </w:r>
          </w:p>
        </w:tc>
        <w:tc>
          <w:tcPr>
            <w:tcW w:type="dxa" w:w="5460"/>
            <w:shd w:fill="1F4E79" w:val="clear"/>
            <w:tcMar>
              <w:top w:type="dxa" w:w="60"/>
              <w:left w:type="dxa" w:w="110"/>
              <w:bottom w:type="dxa" w:w="60"/>
              <w:right w:type="dxa" w:w="110"/>
            </w:tcMar>
          </w:tcPr>
          <w:p>
            <w:r>
              <w:rPr>
                <w:b/>
                <w:bCs/>
                <w:color w:val="FFFFFF"/>
                <w:sz w:val="19"/>
                <w:szCs w:val="19"/>
              </w:rPr>
              <w:t xml:space="preserve">Meaning</w:t>
            </w:r>
          </w:p>
        </w:tc>
      </w:tr>
      <w:tr>
        <w:tc>
          <w:tcPr>
            <w:tcW w:type="dxa" w:w="2200"/>
            <w:shd w:fill="F2F2F2" w:val="clear"/>
            <w:tcMar>
              <w:top w:type="dxa" w:w="50"/>
              <w:left w:type="dxa" w:w="110"/>
              <w:bottom w:type="dxa" w:w="50"/>
              <w:right w:type="dxa" w:w="110"/>
            </w:tcMar>
          </w:tcPr>
          <w:p>
            <w:r>
              <w:rPr>
                <w:sz w:val="19"/>
                <w:szCs w:val="19"/>
              </w:rPr>
              <w:t xml:space="preserve">AUC</w:t>
            </w:r>
          </w:p>
        </w:tc>
        <w:tc>
          <w:tcPr>
            <w:tcW w:type="dxa" w:w="1700"/>
            <w:shd w:fill="F2F2F2" w:val="clear"/>
            <w:tcMar>
              <w:top w:type="dxa" w:w="50"/>
              <w:left w:type="dxa" w:w="110"/>
              <w:bottom w:type="dxa" w:w="50"/>
              <w:right w:type="dxa" w:w="110"/>
            </w:tcMar>
          </w:tcPr>
          <w:p>
            <w:r>
              <w:rPr>
                <w:b/>
                <w:bCs/>
                <w:color w:val="B00020"/>
                <w:sz w:val="19"/>
                <w:szCs w:val="19"/>
              </w:rPr>
              <w:t xml:space="preserve">0.45</w:t>
            </w:r>
          </w:p>
        </w:tc>
        <w:tc>
          <w:tcPr>
            <w:tcW w:type="dxa" w:w="5460"/>
            <w:shd w:fill="F2F2F2" w:val="clear"/>
            <w:tcMar>
              <w:top w:type="dxa" w:w="50"/>
              <w:left w:type="dxa" w:w="110"/>
              <w:bottom w:type="dxa" w:w="50"/>
              <w:right w:type="dxa" w:w="110"/>
            </w:tcMar>
          </w:tcPr>
          <w:p>
            <w:r>
              <w:rPr>
                <w:sz w:val="19"/>
                <w:szCs w:val="19"/>
              </w:rPr>
              <w:t xml:space="preserve">0.5 = no skill; next-bar direction is essentially unpredictable</w:t>
            </w:r>
          </w:p>
        </w:tc>
      </w:tr>
      <w:tr>
        <w:tc>
          <w:tcPr>
            <w:tcW w:type="dxa" w:w="2200"/>
            <w:shd w:fill="FFFFFF" w:val="clear"/>
            <w:tcMar>
              <w:top w:type="dxa" w:w="50"/>
              <w:left w:type="dxa" w:w="110"/>
              <w:bottom w:type="dxa" w:w="50"/>
              <w:right w:type="dxa" w:w="110"/>
            </w:tcMar>
          </w:tcPr>
          <w:p>
            <w:r>
              <w:rPr>
                <w:sz w:val="19"/>
                <w:szCs w:val="19"/>
              </w:rPr>
              <w:t xml:space="preserve">Accuracy</w:t>
            </w:r>
          </w:p>
        </w:tc>
        <w:tc>
          <w:tcPr>
            <w:tcW w:type="dxa" w:w="1700"/>
            <w:shd w:fill="FFFFFF" w:val="clear"/>
            <w:tcMar>
              <w:top w:type="dxa" w:w="50"/>
              <w:left w:type="dxa" w:w="110"/>
              <w:bottom w:type="dxa" w:w="50"/>
              <w:right w:type="dxa" w:w="110"/>
            </w:tcMar>
          </w:tcPr>
          <w:p>
            <w:r>
              <w:rPr>
                <w:sz w:val="19"/>
                <w:szCs w:val="19"/>
              </w:rPr>
              <w:t xml:space="preserve">48.9%</w:t>
            </w:r>
          </w:p>
        </w:tc>
        <w:tc>
          <w:tcPr>
            <w:tcW w:type="dxa" w:w="5460"/>
            <w:shd w:fill="FFFFFF" w:val="clear"/>
            <w:tcMar>
              <w:top w:type="dxa" w:w="50"/>
              <w:left w:type="dxa" w:w="110"/>
              <w:bottom w:type="dxa" w:w="50"/>
              <w:right w:type="dxa" w:w="110"/>
            </w:tcMar>
          </w:tcPr>
          <w:p>
            <w:r>
              <w:rPr>
                <w:sz w:val="19"/>
                <w:szCs w:val="19"/>
              </w:rPr>
              <w:t xml:space="preserve">About a coin flip</w:t>
            </w:r>
          </w:p>
        </w:tc>
      </w:tr>
      <w:tr>
        <w:tc>
          <w:tcPr>
            <w:tcW w:type="dxa" w:w="2200"/>
            <w:shd w:fill="F2F2F2" w:val="clear"/>
            <w:tcMar>
              <w:top w:type="dxa" w:w="50"/>
              <w:left w:type="dxa" w:w="110"/>
              <w:bottom w:type="dxa" w:w="50"/>
              <w:right w:type="dxa" w:w="110"/>
            </w:tcMar>
          </w:tcPr>
          <w:p>
            <w:r>
              <w:rPr>
                <w:sz w:val="19"/>
                <w:szCs w:val="19"/>
              </w:rPr>
              <w:t xml:space="preserve">Win-rate (confident)</w:t>
            </w:r>
          </w:p>
        </w:tc>
        <w:tc>
          <w:tcPr>
            <w:tcW w:type="dxa" w:w="1700"/>
            <w:shd w:fill="F2F2F2" w:val="clear"/>
            <w:tcMar>
              <w:top w:type="dxa" w:w="50"/>
              <w:left w:type="dxa" w:w="110"/>
              <w:bottom w:type="dxa" w:w="50"/>
              <w:right w:type="dxa" w:w="110"/>
            </w:tcMar>
          </w:tcPr>
          <w:p>
            <w:r>
              <w:rPr>
                <w:color w:val="B00020"/>
                <w:sz w:val="19"/>
                <w:szCs w:val="19"/>
              </w:rPr>
              <w:t xml:space="preserve">46.9%</w:t>
            </w:r>
          </w:p>
        </w:tc>
        <w:tc>
          <w:tcPr>
            <w:tcW w:type="dxa" w:w="5460"/>
            <w:shd w:fill="F2F2F2" w:val="clear"/>
            <w:tcMar>
              <w:top w:type="dxa" w:w="50"/>
              <w:left w:type="dxa" w:w="110"/>
              <w:bottom w:type="dxa" w:w="50"/>
              <w:right w:type="dxa" w:w="110"/>
            </w:tcMar>
          </w:tcPr>
          <w:p>
            <w:r>
              <w:rPr>
                <w:sz w:val="19"/>
                <w:szCs w:val="19"/>
              </w:rPr>
              <w:t xml:space="preserve">Below the ~54% needed to break even</w:t>
            </w:r>
          </w:p>
        </w:tc>
      </w:tr>
      <w:tr>
        <w:tc>
          <w:tcPr>
            <w:tcW w:type="dxa" w:w="2200"/>
            <w:shd w:fill="FFFFFF" w:val="clear"/>
            <w:tcMar>
              <w:top w:type="dxa" w:w="50"/>
              <w:left w:type="dxa" w:w="110"/>
              <w:bottom w:type="dxa" w:w="50"/>
              <w:right w:type="dxa" w:w="110"/>
            </w:tcMar>
          </w:tcPr>
          <w:p>
            <w:r>
              <w:rPr>
                <w:sz w:val="19"/>
                <w:szCs w:val="19"/>
              </w:rPr>
              <w:t xml:space="preserve">EV per trade</w:t>
            </w:r>
          </w:p>
        </w:tc>
        <w:tc>
          <w:tcPr>
            <w:tcW w:type="dxa" w:w="1700"/>
            <w:shd w:fill="FFFFFF" w:val="clear"/>
            <w:tcMar>
              <w:top w:type="dxa" w:w="50"/>
              <w:left w:type="dxa" w:w="110"/>
              <w:bottom w:type="dxa" w:w="50"/>
              <w:right w:type="dxa" w:w="110"/>
            </w:tcMar>
          </w:tcPr>
          <w:p>
            <w:r>
              <w:rPr>
                <w:b/>
                <w:bCs/>
                <w:color w:val="B00020"/>
                <w:sz w:val="19"/>
                <w:szCs w:val="19"/>
              </w:rPr>
              <w:t xml:space="preserve">−0.13</w:t>
            </w:r>
          </w:p>
        </w:tc>
        <w:tc>
          <w:tcPr>
            <w:tcW w:type="dxa" w:w="5460"/>
            <w:shd w:fill="FFFFFF" w:val="clear"/>
            <w:tcMar>
              <w:top w:type="dxa" w:w="50"/>
              <w:left w:type="dxa" w:w="110"/>
              <w:bottom w:type="dxa" w:w="50"/>
              <w:right w:type="dxa" w:w="110"/>
            </w:tcMar>
          </w:tcPr>
          <w:p>
            <w:r>
              <w:rPr>
                <w:sz w:val="19"/>
                <w:szCs w:val="19"/>
              </w:rPr>
              <w:t xml:space="preserve">Negative — loses money after payout</w:t>
            </w:r>
          </w:p>
        </w:tc>
      </w:tr>
      <w:tr>
        <w:tc>
          <w:tcPr>
            <w:tcW w:type="dxa" w:w="2200"/>
            <w:shd w:fill="F2F2F2" w:val="clear"/>
            <w:tcMar>
              <w:top w:type="dxa" w:w="50"/>
              <w:left w:type="dxa" w:w="110"/>
              <w:bottom w:type="dxa" w:w="50"/>
              <w:right w:type="dxa" w:w="110"/>
            </w:tcMar>
          </w:tcPr>
          <w:p>
            <w:r>
              <w:rPr>
                <w:sz w:val="19"/>
                <w:szCs w:val="19"/>
              </w:rPr>
              <w:t xml:space="preserve">Eligible</w:t>
            </w:r>
          </w:p>
        </w:tc>
        <w:tc>
          <w:tcPr>
            <w:tcW w:type="dxa" w:w="1700"/>
            <w:shd w:fill="F2F2F2" w:val="clear"/>
            <w:tcMar>
              <w:top w:type="dxa" w:w="50"/>
              <w:left w:type="dxa" w:w="110"/>
              <w:bottom w:type="dxa" w:w="50"/>
              <w:right w:type="dxa" w:w="110"/>
            </w:tcMar>
          </w:tcPr>
          <w:p>
            <w:r>
              <w:rPr>
                <w:b/>
                <w:bCs/>
                <w:color w:val="B00020"/>
                <w:sz w:val="19"/>
                <w:szCs w:val="19"/>
              </w:rPr>
              <w:t xml:space="preserve">No</w:t>
            </w:r>
          </w:p>
        </w:tc>
        <w:tc>
          <w:tcPr>
            <w:tcW w:type="dxa" w:w="5460"/>
            <w:shd w:fill="F2F2F2" w:val="clear"/>
            <w:tcMar>
              <w:top w:type="dxa" w:w="50"/>
              <w:left w:type="dxa" w:w="110"/>
              <w:bottom w:type="dxa" w:w="50"/>
              <w:right w:type="dxa" w:w="110"/>
            </w:tcMar>
          </w:tcPr>
          <w:p>
            <w:r>
              <w:rPr>
                <w:sz w:val="19"/>
                <w:szCs w:val="19"/>
              </w:rPr>
              <w:t xml:space="preserve">Model correctly vetoes itself</w:t>
            </w:r>
          </w:p>
        </w:tc>
      </w:tr>
    </w:tbl>
    <w:p>
      <w:pPr>
        <w:spacing w:after="140" w:line="276"/>
      </w:pPr>
      <w:r>
        <w:rPr>
          <w:b/>
          <w:bCs/>
        </w:rPr>
        <w:t xml:space="preserve">This is the correct, expected outcome, not a defect. </w:t>
      </w:r>
      <w:r>
        <w:t xml:space="preserve">Liquid markets are efficient at the next-bar scale. The system is designed to discover this and respond responsibly: the model stays “info only” and the rule-based confluence remains in control. The architecture is ready to let a future model take over the moment one genuinely beats the payout on unseen data.</w:t>
      </w:r>
    </w:p>
    <w:p>
      <w:pPr>
        <w:pStyle w:val="Heading2"/>
      </w:pPr>
      <w:r>
        <w:t xml:space="preserve">9.7 How the model is used in production</w:t>
      </w:r>
    </w:p>
    <w:p>
      <w:pPr>
        <w:pStyle w:val="ListParagraph"/>
        <w:numPr>
          <w:ilvl w:val="0"/>
          <w:numId w:val="2"/>
        </w:numPr>
        <w:spacing w:after="60"/>
      </w:pPr>
      <w:r>
        <w:rPr>
          <w:b/>
          <w:bCs/>
        </w:rPr>
        <w:t xml:space="preserve">If eligible: </w:t>
      </w:r>
      <w:r>
        <w:t xml:space="preserve">the model can upgrade a confirmed signal to high confidence when it agrees, or downgrade it to WAIT when it strongly disagrees.</w:t>
      </w:r>
    </w:p>
    <w:p>
      <w:pPr>
        <w:pStyle w:val="ListParagraph"/>
        <w:numPr>
          <w:ilvl w:val="0"/>
          <w:numId w:val="2"/>
        </w:numPr>
        <w:spacing w:after="60"/>
      </w:pPr>
      <w:r>
        <w:rPr>
          <w:b/>
          <w:bCs/>
        </w:rPr>
        <w:t xml:space="preserve">If not eligible (current state): </w:t>
      </w:r>
      <w:r>
        <w:t xml:space="preserve">the calibrated probability P_up is displayed for transparency but cannot change the call. The rule engine decides.</w:t>
      </w:r>
    </w:p>
    <w:p>
      <w:pPr>
        <w:pStyle w:val="Heading2"/>
      </w:pPr>
      <w:r>
        <w:t xml:space="preserve">9.8 On “feeding trading documents to the model”</w:t>
      </w:r>
    </w:p>
    <w:p>
      <w:pPr>
        <w:spacing w:after="140" w:line="276"/>
      </w:pPr>
      <w:r>
        <w:t xml:space="preserve">A common expectation is that loading trading books or rules into the model will raise the win-rate. It will not: a supervised predictor learns only from labelled outcome data (features → did it win), not from prose. Reading textbooks cannot create an edge that is not present in the price data. The legitimate way to inject trading knowledge is exactly what was done here — encoding it as engineered features (candle psychology, support/resistance, regime-aware momentum).</w:t>
      </w:r>
    </w:p>
    <w:p>
      <w:pPr>
        <w:spacing w:after="140" w:line="276"/>
      </w:pPr>
      <w:r>
        <w:rPr>
          <w:b/>
          <w:bCs/>
        </w:rPr>
        <w:t xml:space="preserve">Where documents could help (a separate, optional layer): </w:t>
      </w:r>
      <w:r>
        <w:t xml:space="preserve">a large-language-model advisor could read the computed indicators and levels and write human-style reasoning or sanity-checks. That layer explains and educates; it does not predict prices, and it would require an API key plus the documents. It is noted here as a possible future addition, not part of the current build.</w:t>
      </w:r>
    </w:p>
    <w:p>
      <w:pPr>
        <w:pStyle w:val="Heading1"/>
      </w:pPr>
      <w:r>
        <w:t xml:space="preserve">10. Outcome Tracking &amp; Measured Win-Rate</w:t>
      </w:r>
    </w:p>
    <w:p>
      <w:pPr>
        <w:spacing w:after="140" w:line="276"/>
      </w:pPr>
      <w:r>
        <w:t xml:space="preserve">Without measuring results, any confidence figure is a guess. The application closes the loop:</w:t>
      </w:r>
    </w:p>
    <w:p>
      <w:pPr>
        <w:pStyle w:val="ListParagraph"/>
        <w:numPr>
          <w:ilvl w:val="0"/>
          <w:numId w:val="2"/>
        </w:numPr>
        <w:spacing w:after="60"/>
      </w:pPr>
      <w:r>
        <w:rPr>
          <w:b/>
          <w:bCs/>
        </w:rPr>
        <w:t xml:space="preserve">Signal log (tracking.py): </w:t>
      </w:r>
      <w:r>
        <w:t xml:space="preserve">every confirmed BUY/SELL is written to a local SQLite database with its context, confluence and indicator breakdown.</w:t>
      </w:r>
    </w:p>
    <w:p>
      <w:pPr>
        <w:pStyle w:val="ListParagraph"/>
        <w:numPr>
          <w:ilvl w:val="0"/>
          <w:numId w:val="2"/>
        </w:numPr>
        <w:spacing w:after="60"/>
      </w:pPr>
      <w:r>
        <w:rPr>
          <w:b/>
          <w:bCs/>
        </w:rPr>
        <w:t xml:space="preserve">Outcome capture (outcome.py): </w:t>
      </w:r>
      <w:r>
        <w:t xml:space="preserve">each signal records the entry price and an expiry time. After expiry, the engine compares the current price to the entry and labels the result win/loss/flat. If no reliable price can be read, the signal is honestly dropped as unmeasurable rather than guessed.</w:t>
      </w:r>
    </w:p>
    <w:p>
      <w:pPr>
        <w:pStyle w:val="ListParagraph"/>
        <w:numPr>
          <w:ilvl w:val="0"/>
          <w:numId w:val="2"/>
        </w:numPr>
        <w:spacing w:after="60"/>
      </w:pPr>
      <w:r>
        <w:rPr>
          <w:b/>
          <w:bCs/>
        </w:rPr>
        <w:t xml:space="preserve">Live statistics: </w:t>
      </w:r>
      <w:r>
        <w:t xml:space="preserve">the overlay shows the number of signals, the measured win-rate, and the number of open (pending) trades, alongside a reminder of the break-even rate.</w:t>
      </w:r>
    </w:p>
    <w:p>
      <w:pPr>
        <w:spacing w:after="140" w:line="276"/>
      </w:pPr>
      <w:r>
        <w:t xml:space="preserve">Over time this log becomes both the truth-teller for the UI and an additional training set for the model.</w:t>
      </w:r>
    </w:p>
    <w:p>
      <w:pPr>
        <w:pStyle w:val="Heading1"/>
      </w:pPr>
      <w:r>
        <w:t xml:space="preserve">11. Installing &amp; Running</w:t>
      </w:r>
    </w:p>
    <w:p>
      <w:pPr>
        <w:spacing w:after="140" w:line="276"/>
      </w:pPr>
      <w:r>
        <w:t xml:space="preserve">The entire system starts from a single file, RUN.bat, in the project root. Double-clicking it performs every step:</w:t>
      </w:r>
    </w:p>
    <w:tbl>
      <w:tblPr>
        <w:tblW w:type="dxa" w:w="9360"/>
        <w:tblBorders>
          <w:top w:val="single" w:color="BFBFBF" w:sz="1"/>
          <w:left w:val="single" w:color="BFBFBF" w:sz="1"/>
          <w:bottom w:val="single" w:color="BFBFBF" w:sz="1"/>
          <w:right w:val="single" w:color="BFBFBF" w:sz="1"/>
          <w:insideH w:val="single" w:color="BFBFBF" w:sz="1"/>
          <w:insideV w:val="single" w:color="BFBFBF" w:sz="1"/>
        </w:tblBorders>
      </w:tblPr>
      <w:tblGrid>
        <w:gridCol w:w="900"/>
        <w:gridCol w:w="8460"/>
      </w:tblGrid>
      <w:tr>
        <w:trPr>
          <w:tblHeader/>
        </w:trPr>
        <w:tc>
          <w:tcPr>
            <w:tcW w:type="dxa" w:w="900"/>
            <w:shd w:fill="1F4E79" w:val="clear"/>
            <w:tcMar>
              <w:top w:type="dxa" w:w="60"/>
              <w:left w:type="dxa" w:w="110"/>
              <w:bottom w:type="dxa" w:w="60"/>
              <w:right w:type="dxa" w:w="110"/>
            </w:tcMar>
          </w:tcPr>
          <w:p>
            <w:r>
              <w:rPr>
                <w:b/>
                <w:bCs/>
                <w:color w:val="FFFFFF"/>
                <w:sz w:val="19"/>
                <w:szCs w:val="19"/>
              </w:rPr>
              <w:t xml:space="preserve">Step</w:t>
            </w:r>
          </w:p>
        </w:tc>
        <w:tc>
          <w:tcPr>
            <w:tcW w:type="dxa" w:w="8460"/>
            <w:shd w:fill="1F4E79" w:val="clear"/>
            <w:tcMar>
              <w:top w:type="dxa" w:w="60"/>
              <w:left w:type="dxa" w:w="110"/>
              <w:bottom w:type="dxa" w:w="60"/>
              <w:right w:type="dxa" w:w="110"/>
            </w:tcMar>
          </w:tcPr>
          <w:p>
            <w:r>
              <w:rPr>
                <w:b/>
                <w:bCs/>
                <w:color w:val="FFFFFF"/>
                <w:sz w:val="19"/>
                <w:szCs w:val="19"/>
              </w:rPr>
              <w:t xml:space="preserve">Action</w:t>
            </w:r>
          </w:p>
        </w:tc>
      </w:tr>
      <w:tr>
        <w:tc>
          <w:tcPr>
            <w:tcW w:type="dxa" w:w="900"/>
            <w:shd w:fill="F2F2F2" w:val="clear"/>
            <w:tcMar>
              <w:top w:type="dxa" w:w="50"/>
              <w:left w:type="dxa" w:w="110"/>
              <w:bottom w:type="dxa" w:w="50"/>
              <w:right w:type="dxa" w:w="110"/>
            </w:tcMar>
          </w:tcPr>
          <w:p>
            <w:r>
              <w:rPr>
                <w:sz w:val="19"/>
                <w:szCs w:val="19"/>
              </w:rPr>
              <w:t xml:space="preserve">1</w:t>
            </w:r>
          </w:p>
        </w:tc>
        <w:tc>
          <w:tcPr>
            <w:tcW w:type="dxa" w:w="8460"/>
            <w:shd w:fill="F2F2F2" w:val="clear"/>
            <w:tcMar>
              <w:top w:type="dxa" w:w="50"/>
              <w:left w:type="dxa" w:w="110"/>
              <w:bottom w:type="dxa" w:w="50"/>
              <w:right w:type="dxa" w:w="110"/>
            </w:tcMar>
          </w:tcPr>
          <w:p>
            <w:r>
              <w:rPr>
                <w:sz w:val="19"/>
                <w:szCs w:val="19"/>
              </w:rPr>
              <w:t xml:space="preserve">Install Python dependencies</w:t>
            </w:r>
          </w:p>
        </w:tc>
      </w:tr>
      <w:tr>
        <w:tc>
          <w:tcPr>
            <w:tcW w:type="dxa" w:w="900"/>
            <w:shd w:fill="FFFFFF" w:val="clear"/>
            <w:tcMar>
              <w:top w:type="dxa" w:w="50"/>
              <w:left w:type="dxa" w:w="110"/>
              <w:bottom w:type="dxa" w:w="50"/>
              <w:right w:type="dxa" w:w="110"/>
            </w:tcMar>
          </w:tcPr>
          <w:p>
            <w:r>
              <w:rPr>
                <w:sz w:val="19"/>
                <w:szCs w:val="19"/>
              </w:rPr>
              <w:t xml:space="preserve">2</w:t>
            </w:r>
          </w:p>
        </w:tc>
        <w:tc>
          <w:tcPr>
            <w:tcW w:type="dxa" w:w="8460"/>
            <w:shd w:fill="FFFFFF" w:val="clear"/>
            <w:tcMar>
              <w:top w:type="dxa" w:w="50"/>
              <w:left w:type="dxa" w:w="110"/>
              <w:bottom w:type="dxa" w:w="50"/>
              <w:right w:type="dxa" w:w="110"/>
            </w:tcMar>
          </w:tcPr>
          <w:p>
            <w:r>
              <w:rPr>
                <w:sz w:val="19"/>
                <w:szCs w:val="19"/>
              </w:rPr>
              <w:t xml:space="preserve">Install Node dependencies (first run only)</w:t>
            </w:r>
          </w:p>
        </w:tc>
      </w:tr>
      <w:tr>
        <w:tc>
          <w:tcPr>
            <w:tcW w:type="dxa" w:w="900"/>
            <w:shd w:fill="F2F2F2" w:val="clear"/>
            <w:tcMar>
              <w:top w:type="dxa" w:w="50"/>
              <w:left w:type="dxa" w:w="110"/>
              <w:bottom w:type="dxa" w:w="50"/>
              <w:right w:type="dxa" w:w="110"/>
            </w:tcMar>
          </w:tcPr>
          <w:p>
            <w:r>
              <w:rPr>
                <w:sz w:val="19"/>
                <w:szCs w:val="19"/>
              </w:rPr>
              <w:t xml:space="preserve">3</w:t>
            </w:r>
          </w:p>
        </w:tc>
        <w:tc>
          <w:tcPr>
            <w:tcW w:type="dxa" w:w="8460"/>
            <w:shd w:fill="F2F2F2" w:val="clear"/>
            <w:tcMar>
              <w:top w:type="dxa" w:w="50"/>
              <w:left w:type="dxa" w:w="110"/>
              <w:bottom w:type="dxa" w:w="50"/>
              <w:right w:type="dxa" w:w="110"/>
            </w:tcMar>
          </w:tcPr>
          <w:p>
            <w:r>
              <w:rPr>
                <w:sz w:val="19"/>
                <w:szCs w:val="19"/>
              </w:rPr>
              <w:t xml:space="preserve">Build the user interface</w:t>
            </w:r>
          </w:p>
        </w:tc>
      </w:tr>
      <w:tr>
        <w:tc>
          <w:tcPr>
            <w:tcW w:type="dxa" w:w="900"/>
            <w:shd w:fill="FFFFFF" w:val="clear"/>
            <w:tcMar>
              <w:top w:type="dxa" w:w="50"/>
              <w:left w:type="dxa" w:w="110"/>
              <w:bottom w:type="dxa" w:w="50"/>
              <w:right w:type="dxa" w:w="110"/>
            </w:tcMar>
          </w:tcPr>
          <w:p>
            <w:r>
              <w:rPr>
                <w:sz w:val="19"/>
                <w:szCs w:val="19"/>
              </w:rPr>
              <w:t xml:space="preserve">4</w:t>
            </w:r>
          </w:p>
        </w:tc>
        <w:tc>
          <w:tcPr>
            <w:tcW w:type="dxa" w:w="8460"/>
            <w:shd w:fill="FFFFFF" w:val="clear"/>
            <w:tcMar>
              <w:top w:type="dxa" w:w="50"/>
              <w:left w:type="dxa" w:w="110"/>
              <w:bottom w:type="dxa" w:w="50"/>
              <w:right w:type="dxa" w:w="110"/>
            </w:tcMar>
          </w:tcPr>
          <w:p>
            <w:r>
              <w:rPr>
                <w:sz w:val="19"/>
                <w:szCs w:val="19"/>
              </w:rPr>
              <w:t xml:space="preserve">Train the AI model on real market data (first run only)</w:t>
            </w:r>
          </w:p>
        </w:tc>
      </w:tr>
      <w:tr>
        <w:tc>
          <w:tcPr>
            <w:tcW w:type="dxa" w:w="900"/>
            <w:shd w:fill="F2F2F2" w:val="clear"/>
            <w:tcMar>
              <w:top w:type="dxa" w:w="50"/>
              <w:left w:type="dxa" w:w="110"/>
              <w:bottom w:type="dxa" w:w="50"/>
              <w:right w:type="dxa" w:w="110"/>
            </w:tcMar>
          </w:tcPr>
          <w:p>
            <w:r>
              <w:rPr>
                <w:sz w:val="19"/>
                <w:szCs w:val="19"/>
              </w:rPr>
              <w:t xml:space="preserve">5</w:t>
            </w:r>
          </w:p>
        </w:tc>
        <w:tc>
          <w:tcPr>
            <w:tcW w:type="dxa" w:w="8460"/>
            <w:shd w:fill="F2F2F2" w:val="clear"/>
            <w:tcMar>
              <w:top w:type="dxa" w:w="50"/>
              <w:left w:type="dxa" w:w="110"/>
              <w:bottom w:type="dxa" w:w="50"/>
              <w:right w:type="dxa" w:w="110"/>
            </w:tcMar>
          </w:tcPr>
          <w:p>
            <w:r>
              <w:rPr>
                <w:sz w:val="19"/>
                <w:szCs w:val="19"/>
              </w:rPr>
              <w:t xml:space="preserve">Start the analysis engine on port 8000</w:t>
            </w:r>
          </w:p>
        </w:tc>
      </w:tr>
      <w:tr>
        <w:tc>
          <w:tcPr>
            <w:tcW w:type="dxa" w:w="900"/>
            <w:shd w:fill="FFFFFF" w:val="clear"/>
            <w:tcMar>
              <w:top w:type="dxa" w:w="50"/>
              <w:left w:type="dxa" w:w="110"/>
              <w:bottom w:type="dxa" w:w="50"/>
              <w:right w:type="dxa" w:w="110"/>
            </w:tcMar>
          </w:tcPr>
          <w:p>
            <w:r>
              <w:rPr>
                <w:sz w:val="19"/>
                <w:szCs w:val="19"/>
              </w:rPr>
              <w:t xml:space="preserve">6</w:t>
            </w:r>
          </w:p>
        </w:tc>
        <w:tc>
          <w:tcPr>
            <w:tcW w:type="dxa" w:w="8460"/>
            <w:shd w:fill="FFFFFF" w:val="clear"/>
            <w:tcMar>
              <w:top w:type="dxa" w:w="50"/>
              <w:left w:type="dxa" w:w="110"/>
              <w:bottom w:type="dxa" w:w="50"/>
              <w:right w:type="dxa" w:w="110"/>
            </w:tcMar>
          </w:tcPr>
          <w:p>
            <w:r>
              <w:rPr>
                <w:sz w:val="19"/>
                <w:szCs w:val="19"/>
              </w:rPr>
              <w:t xml:space="preserve">Wait until the engine reports healthy</w:t>
            </w:r>
          </w:p>
        </w:tc>
      </w:tr>
      <w:tr>
        <w:tc>
          <w:tcPr>
            <w:tcW w:type="dxa" w:w="900"/>
            <w:shd w:fill="F2F2F2" w:val="clear"/>
            <w:tcMar>
              <w:top w:type="dxa" w:w="50"/>
              <w:left w:type="dxa" w:w="110"/>
              <w:bottom w:type="dxa" w:w="50"/>
              <w:right w:type="dxa" w:w="110"/>
            </w:tcMar>
          </w:tcPr>
          <w:p>
            <w:r>
              <w:rPr>
                <w:sz w:val="19"/>
                <w:szCs w:val="19"/>
              </w:rPr>
              <w:t xml:space="preserve">7</w:t>
            </w:r>
          </w:p>
        </w:tc>
        <w:tc>
          <w:tcPr>
            <w:tcW w:type="dxa" w:w="8460"/>
            <w:shd w:fill="F2F2F2" w:val="clear"/>
            <w:tcMar>
              <w:top w:type="dxa" w:w="50"/>
              <w:left w:type="dxa" w:w="110"/>
              <w:bottom w:type="dxa" w:w="50"/>
              <w:right w:type="dxa" w:w="110"/>
            </w:tcMar>
          </w:tcPr>
          <w:p>
            <w:r>
              <w:rPr>
                <w:sz w:val="19"/>
                <w:szCs w:val="19"/>
              </w:rPr>
              <w:t xml:space="preserve">Launch the desktop overlay (and stop the engine automatically when the app closes)</w:t>
            </w:r>
          </w:p>
        </w:tc>
      </w:tr>
    </w:tbl>
    <w:p>
      <w:pPr>
        <w:spacing w:after="140" w:line="276"/>
      </w:pPr>
      <w:r>
        <w:rPr>
          <w:b/>
          <w:bCs/>
        </w:rPr>
        <w:t xml:space="preserve">Prerequisites (one-time, machine level): </w:t>
      </w:r>
      <w:r>
        <w:t xml:space="preserve">Python 3.10+ and Node.js LTS must be installed. The launcher checks for both and stops with a clear message if either is missing.</w:t>
      </w:r>
    </w:p>
    <w:p>
      <w:pPr>
        <w:spacing w:after="140" w:line="276"/>
      </w:pPr>
      <w:r>
        <w:rPr>
          <w:b/>
          <w:bCs/>
        </w:rPr>
        <w:t xml:space="preserve">To verify it is working: </w:t>
      </w:r>
      <w:r>
        <w:t xml:space="preserve">while running, open http://127.0.0.1:8000/health in a browser — it should return a healthy status. On the overlay, click ACTIVATE AI and watch the data-source tag (green “crypto.com”/“yahoo” for live data, amber “vision” for screen analysis).</w:t>
      </w:r>
    </w:p>
    <w:p>
      <w:pPr>
        <w:pStyle w:val="Heading1"/>
      </w:pPr>
      <w:r>
        <w:t xml:space="preserve">12. Limitations &amp; Responsible Use</w:t>
      </w:r>
    </w:p>
    <w:p>
      <w:pPr>
        <w:pStyle w:val="ListParagraph"/>
        <w:numPr>
          <w:ilvl w:val="0"/>
          <w:numId w:val="2"/>
        </w:numPr>
        <w:spacing w:after="60"/>
      </w:pPr>
      <w:r>
        <w:t xml:space="preserve">Synthetic indices carry essentially no learnable edge and can only be analysed from the screen.</w:t>
      </w:r>
    </w:p>
    <w:p>
      <w:pPr>
        <w:pStyle w:val="ListParagraph"/>
        <w:numPr>
          <w:ilvl w:val="0"/>
          <w:numId w:val="2"/>
        </w:numPr>
        <w:spacing w:after="60"/>
      </w:pPr>
      <w:r>
        <w:t xml:space="preserve">Vision accuracy depends on chart zoom, theme and OCR quality; calibration mitigates but does not eliminate this.</w:t>
      </w:r>
    </w:p>
    <w:p>
      <w:pPr>
        <w:pStyle w:val="ListParagraph"/>
        <w:numPr>
          <w:ilvl w:val="0"/>
          <w:numId w:val="2"/>
        </w:numPr>
        <w:spacing w:after="60"/>
      </w:pPr>
      <w:r>
        <w:t xml:space="preserve">Binary-option payout maths means even a “good” model can be break-even — which the EV backtest surfaces rather than hides.</w:t>
      </w:r>
    </w:p>
    <w:p>
      <w:pPr>
        <w:pStyle w:val="ListParagraph"/>
        <w:numPr>
          <w:ilvl w:val="0"/>
          <w:numId w:val="2"/>
        </w:numPr>
        <w:spacing w:after="60"/>
      </w:pPr>
      <w:r>
        <w:t xml:space="preserve">Forex data from Yahoo has no real volume, so volume indicators are muted for FX.</w:t>
      </w:r>
    </w:p>
    <w:p>
      <w:pPr>
        <w:pStyle w:val="ListParagraph"/>
        <w:numPr>
          <w:ilvl w:val="0"/>
          <w:numId w:val="2"/>
        </w:numPr>
        <w:spacing w:after="60"/>
      </w:pPr>
      <w:r>
        <w:t xml:space="preserve">The application is decision-support only. It never trades. All risk remains with the user.</w:t>
      </w:r>
    </w:p>
    <w:p>
      <w:pPr>
        <w:pStyle w:val="Heading1"/>
      </w:pPr>
      <w:r>
        <w:t xml:space="preserve">13. Suggested Improvements (for Discussion)</w:t>
      </w:r>
    </w:p>
    <w:p>
      <w:pPr>
        <w:spacing w:after="140" w:line="276"/>
      </w:pPr>
      <w:r>
        <w:t xml:space="preserve">The following are candidate next steps to review together:</w:t>
      </w:r>
    </w:p>
    <w:p>
      <w:pPr>
        <w:pStyle w:val="ListParagraph"/>
        <w:numPr>
          <w:ilvl w:val="0"/>
          <w:numId w:val="2"/>
        </w:numPr>
        <w:spacing w:after="60"/>
      </w:pPr>
      <w:r>
        <w:rPr>
          <w:b/>
          <w:bCs/>
        </w:rPr>
        <w:t xml:space="preserve">Add forex/stock history to model training </w:t>
      </w:r>
      <w:r>
        <w:t xml:space="preserve">so the model generalises beyond crypto.</w:t>
      </w:r>
    </w:p>
    <w:p>
      <w:pPr>
        <w:pStyle w:val="ListParagraph"/>
        <w:numPr>
          <w:ilvl w:val="0"/>
          <w:numId w:val="2"/>
        </w:numPr>
        <w:spacing w:after="60"/>
      </w:pPr>
      <w:r>
        <w:rPr>
          <w:b/>
          <w:bCs/>
        </w:rPr>
        <w:t xml:space="preserve">Scheduled retraining </w:t>
      </w:r>
      <w:r>
        <w:t xml:space="preserve">as the live outcome log grows, blending self-supervised and real signal outcomes.</w:t>
      </w:r>
    </w:p>
    <w:p>
      <w:pPr>
        <w:pStyle w:val="ListParagraph"/>
        <w:numPr>
          <w:ilvl w:val="0"/>
          <w:numId w:val="2"/>
        </w:numPr>
        <w:spacing w:after="60"/>
      </w:pPr>
      <w:r>
        <w:rPr>
          <w:b/>
          <w:bCs/>
        </w:rPr>
        <w:t xml:space="preserve">Longer / structural prediction targets </w:t>
      </w:r>
      <w:r>
        <w:t xml:space="preserve">instead of next-bar — the edge, if any, is more likely there.</w:t>
      </w:r>
    </w:p>
    <w:p>
      <w:pPr>
        <w:pStyle w:val="ListParagraph"/>
        <w:numPr>
          <w:ilvl w:val="0"/>
          <w:numId w:val="2"/>
        </w:numPr>
        <w:spacing w:after="60"/>
      </w:pPr>
      <w:r>
        <w:rPr>
          <w:b/>
          <w:bCs/>
        </w:rPr>
        <w:t xml:space="preserve">Optional LLM advisor layer </w:t>
      </w:r>
      <w:r>
        <w:t xml:space="preserve">for human-style explanation and setup sanity-checks (requires API key + documents).</w:t>
      </w:r>
    </w:p>
    <w:p>
      <w:pPr>
        <w:pStyle w:val="ListParagraph"/>
        <w:numPr>
          <w:ilvl w:val="0"/>
          <w:numId w:val="2"/>
        </w:numPr>
        <w:spacing w:after="60"/>
      </w:pPr>
      <w:r>
        <w:rPr>
          <w:b/>
          <w:bCs/>
        </w:rPr>
        <w:t xml:space="preserve">Electron security hardening </w:t>
      </w:r>
      <w:r>
        <w:t xml:space="preserve">(context isolation + preload bridge) and a settings panel for thresholds and payout.</w:t>
      </w:r>
    </w:p>
    <w:p>
      <w:pPr>
        <w:pStyle w:val="ListParagraph"/>
        <w:numPr>
          <w:ilvl w:val="0"/>
          <w:numId w:val="2"/>
        </w:numPr>
        <w:spacing w:after="60"/>
      </w:pPr>
      <w:r>
        <w:rPr>
          <w:b/>
          <w:bCs/>
        </w:rPr>
        <w:t xml:space="preserve">Per-asset configuration </w:t>
      </w:r>
      <w:r>
        <w:t xml:space="preserve">(payout, risk, preferred timeframe) and a richer signal-history view.</w:t>
      </w:r>
    </w:p>
    <w:p>
      <w:pPr>
        <w:spacing w:after="80"/>
      </w:pPr>
    </w:p>
    <w:p>
      <w:pPr>
        <w:spacing w:after="140" w:line="276"/>
      </w:pPr>
      <w:r>
        <w:rPr>
          <w:b/>
          <w:bCs/>
        </w:rPr>
        <w:t xml:space="preserve">End of document. </w:t>
      </w:r>
      <w:r>
        <w:t xml:space="preserve">Please annotate any corrections or improvement ideas; we can then discuss and refine the application together.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 Advisory only; the application never places trades.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808080"/>
        <w:sz w:val="16"/>
        <w:szCs w:val="16"/>
      </w:rPr>
      <w:t xml:space="preserve">AI Trading Assistant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6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4E79"/>
      <w:sz w:val="30"/>
      <w:szCs w:val="30"/>
    </w:rPr>
  </w:style>
  <w:style w:type="paragraph" w:styleId="Heading2">
    <w:name w:val="Heading 2"/>
    <w:basedOn w:val="Normal"/>
    <w:next w:val="Normal"/>
    <w:qFormat/>
    <w:pPr>
      <w:spacing w:after="100" w:before="220"/>
      <w:outlineLvl w:val="1"/>
    </w:pPr>
    <w:rPr>
      <w:rFonts w:ascii="Calibri" w:cs="Calibri" w:eastAsia="Calibri" w:hAnsi="Calibri"/>
      <w:b/>
      <w:bCs/>
      <w:color w:val="2E5C8A"/>
      <w:sz w:val="25"/>
      <w:szCs w:val="25"/>
    </w:rPr>
  </w:style>
  <w:style w:type="paragraph" w:styleId="Heading3">
    <w:name w:val="Heading 3"/>
    <w:basedOn w:val="Normal"/>
    <w:next w:val="Normal"/>
    <w:qFormat/>
    <w:pPr>
      <w:spacing w:after="80" w:before="16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Trading Assistant — Technical Documentation</dc:title>
  <dc:creator>AI Trading Assistant</dc:creator>
  <cp:lastModifiedBy>Un-named</cp:lastModifiedBy>
  <cp:revision>1</cp:revision>
  <dcterms:created xsi:type="dcterms:W3CDTF">2026-06-08T17:43:33.553Z</dcterms:created>
  <dcterms:modified xsi:type="dcterms:W3CDTF">2026-06-08T17:43:33.555Z</dcterms:modified>
</cp:coreProperties>
</file>

<file path=docProps/custom.xml><?xml version="1.0" encoding="utf-8"?>
<Properties xmlns="http://schemas.openxmlformats.org/officeDocument/2006/custom-properties" xmlns:vt="http://schemas.openxmlformats.org/officeDocument/2006/docPropsVTypes"/>
</file>