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6A13" w14:textId="77777777" w:rsidR="006F3FE1" w:rsidRDefault="003079CA">
      <w:pPr>
        <w:spacing w:after="3" w:line="301" w:lineRule="auto"/>
        <w:ind w:left="-15" w:right="-8" w:firstLine="27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CD702" wp14:editId="5741489C">
                <wp:simplePos x="0" y="0"/>
                <wp:positionH relativeFrom="column">
                  <wp:posOffset>3200501</wp:posOffset>
                </wp:positionH>
                <wp:positionV relativeFrom="paragraph">
                  <wp:posOffset>-101</wp:posOffset>
                </wp:positionV>
                <wp:extent cx="1588" cy="7734402"/>
                <wp:effectExtent l="0" t="0" r="0" b="0"/>
                <wp:wrapSquare wrapText="bothSides"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" cy="7734402"/>
                          <a:chOff x="0" y="0"/>
                          <a:chExt cx="1588" cy="7734402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0" cy="773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34402">
                                <a:moveTo>
                                  <a:pt x="0" y="773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8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6" style="width:0.125pt;height:609.008pt;position:absolute;mso-position-horizontal-relative:text;mso-position-horizontal:absolute;margin-left:252.008pt;mso-position-vertical-relative:text;margin-top:-0.00799561pt;" coordsize="15,77344">
                <v:shape id="Shape 121" style="position:absolute;width:0;height:77344;left:0;top:0;" coordsize="0,7734402" path="m0,7734402l0,0">
                  <v:stroke weight="0.125pt" endcap="flat" joinstyle="miter" miterlimit="10" on="true" color="#18171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181717"/>
        </w:rPr>
        <w:t>Cured epoxy putties are highly resistant to corrosion or deterioration by dilute acids and caustics. They will withstand the influence of mildly</w:t>
      </w:r>
    </w:p>
    <w:p w14:paraId="047927A2" w14:textId="77777777" w:rsidR="006F3FE1" w:rsidRDefault="003079CA">
      <w:pPr>
        <w:spacing w:after="122" w:line="265" w:lineRule="auto"/>
        <w:ind w:left="-5" w:hanging="10"/>
      </w:pPr>
      <w:r>
        <w:rPr>
          <w:rFonts w:ascii="Arial" w:eastAsia="Arial" w:hAnsi="Arial" w:cs="Arial"/>
          <w:color w:val="181717"/>
        </w:rPr>
        <w:t>acidic water.</w:t>
      </w:r>
    </w:p>
    <w:p w14:paraId="36F22554" w14:textId="77777777" w:rsidR="006F3FE1" w:rsidRDefault="003079CA">
      <w:pPr>
        <w:pStyle w:val="Heading1"/>
        <w:ind w:left="80" w:right="40"/>
      </w:pPr>
      <w:r>
        <w:t>Solvents</w:t>
      </w:r>
    </w:p>
    <w:p w14:paraId="028ED931" w14:textId="77777777" w:rsidR="006F3FE1" w:rsidRDefault="003079CA">
      <w:pPr>
        <w:spacing w:after="102" w:line="265" w:lineRule="auto"/>
        <w:ind w:left="-15" w:firstLine="288"/>
      </w:pPr>
      <w:r>
        <w:rPr>
          <w:rFonts w:ascii="Arial" w:eastAsia="Arial" w:hAnsi="Arial" w:cs="Arial"/>
          <w:color w:val="181717"/>
        </w:rPr>
        <w:t>Normal temperature exposure to the following solvents has no effect or minor effect on cured epoxy putties:</w:t>
      </w:r>
    </w:p>
    <w:p w14:paraId="3D2EDFD4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Alcohols (e.g., methyl, ethyl, isopropyl, butyl)</w:t>
      </w:r>
    </w:p>
    <w:p w14:paraId="4A4D963E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Antifreeze</w:t>
      </w:r>
    </w:p>
    <w:p w14:paraId="1D89AB48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proofErr w:type="spellStart"/>
      <w:r>
        <w:rPr>
          <w:rFonts w:ascii="Arial" w:eastAsia="Arial" w:hAnsi="Arial" w:cs="Arial"/>
          <w:color w:val="181717"/>
        </w:rPr>
        <w:t>Cellosolves</w:t>
      </w:r>
      <w:proofErr w:type="spellEnd"/>
    </w:p>
    <w:p w14:paraId="457CAC11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Chlorinated solvents, saturated (limited)</w:t>
      </w:r>
    </w:p>
    <w:p w14:paraId="5AE1E9E2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Ester (e.g., amyl acetate)</w:t>
      </w:r>
    </w:p>
    <w:p w14:paraId="27D6578C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Greases</w:t>
      </w:r>
    </w:p>
    <w:p w14:paraId="64E96488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Lacquers and lacquer thinner</w:t>
      </w:r>
    </w:p>
    <w:p w14:paraId="68C2AAF7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Methylene chloride</w:t>
      </w:r>
    </w:p>
    <w:p w14:paraId="0F25C5B6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Mineral spirits</w:t>
      </w:r>
    </w:p>
    <w:p w14:paraId="371E93E3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Naphtha</w:t>
      </w:r>
    </w:p>
    <w:p w14:paraId="2B1C2ADB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Natural oils, e.g., linseed, olive, palm</w:t>
      </w:r>
    </w:p>
    <w:p w14:paraId="72A4E0A8" w14:textId="77777777" w:rsidR="006F3FE1" w:rsidRDefault="003079CA">
      <w:pPr>
        <w:numPr>
          <w:ilvl w:val="0"/>
          <w:numId w:val="1"/>
        </w:numPr>
        <w:spacing w:after="96" w:line="265" w:lineRule="auto"/>
        <w:ind w:hanging="216"/>
      </w:pPr>
      <w:r>
        <w:rPr>
          <w:rFonts w:ascii="Arial" w:eastAsia="Arial" w:hAnsi="Arial" w:cs="Arial"/>
          <w:color w:val="181717"/>
        </w:rPr>
        <w:t>Oils and fuels, including diesel oil, fuel oil, gasoline, jet fuel, lubricating oil and silicone oil</w:t>
      </w:r>
    </w:p>
    <w:p w14:paraId="3A4B89B6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Methylene chloride</w:t>
      </w:r>
    </w:p>
    <w:p w14:paraId="7EEEEE8B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Mineral spirits</w:t>
      </w:r>
    </w:p>
    <w:p w14:paraId="2F424C20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 xml:space="preserve">Paint </w:t>
      </w:r>
      <w:r>
        <w:rPr>
          <w:rFonts w:ascii="Arial" w:eastAsia="Arial" w:hAnsi="Arial" w:cs="Arial"/>
          <w:color w:val="181717"/>
        </w:rPr>
        <w:t>thinner</w:t>
      </w:r>
    </w:p>
    <w:p w14:paraId="1D6F2465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Shellac</w:t>
      </w:r>
    </w:p>
    <w:p w14:paraId="4BD3F615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Toluene</w:t>
      </w:r>
    </w:p>
    <w:p w14:paraId="1D9450BC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Trichloroethane</w:t>
      </w:r>
    </w:p>
    <w:p w14:paraId="5DE9EC40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 xml:space="preserve">Turpentine </w:t>
      </w:r>
    </w:p>
    <w:p w14:paraId="721936AD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Xylene.</w:t>
      </w:r>
    </w:p>
    <w:p w14:paraId="4C538C79" w14:textId="77777777" w:rsidR="006F3FE1" w:rsidRDefault="003079CA">
      <w:pPr>
        <w:spacing w:after="102" w:line="265" w:lineRule="auto"/>
        <w:ind w:left="-15" w:firstLine="288"/>
      </w:pPr>
      <w:r>
        <w:rPr>
          <w:rFonts w:ascii="Arial" w:eastAsia="Arial" w:hAnsi="Arial" w:cs="Arial"/>
          <w:color w:val="181717"/>
        </w:rPr>
        <w:t>Hot or strongly concentrated exposure to the following solvents has a moderate or severe effect on cured epoxy putties:</w:t>
      </w:r>
    </w:p>
    <w:p w14:paraId="3C40E116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Acetone</w:t>
      </w:r>
    </w:p>
    <w:p w14:paraId="2007EEBF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Ester (hot)</w:t>
      </w:r>
    </w:p>
    <w:p w14:paraId="6B5EE27C" w14:textId="77777777" w:rsidR="006F3FE1" w:rsidRDefault="003079CA">
      <w:pPr>
        <w:numPr>
          <w:ilvl w:val="0"/>
          <w:numId w:val="1"/>
        </w:numPr>
        <w:spacing w:after="152" w:line="265" w:lineRule="auto"/>
        <w:ind w:hanging="216"/>
      </w:pPr>
      <w:proofErr w:type="spellStart"/>
      <w:r>
        <w:rPr>
          <w:rFonts w:ascii="Arial" w:eastAsia="Arial" w:hAnsi="Arial" w:cs="Arial"/>
          <w:color w:val="181717"/>
        </w:rPr>
        <w:t>Methylethyl</w:t>
      </w:r>
      <w:proofErr w:type="spellEnd"/>
      <w:r>
        <w:rPr>
          <w:rFonts w:ascii="Arial" w:eastAsia="Arial" w:hAnsi="Arial" w:cs="Arial"/>
          <w:color w:val="181717"/>
        </w:rPr>
        <w:t xml:space="preserve"> ketone (MEK).</w:t>
      </w:r>
    </w:p>
    <w:tbl>
      <w:tblPr>
        <w:tblStyle w:val="TableGrid"/>
        <w:tblpPr w:vertAnchor="text" w:horzAnchor="margin"/>
        <w:tblOverlap w:val="never"/>
        <w:tblW w:w="1008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F3FE1" w14:paraId="1D7FE201" w14:textId="77777777">
        <w:trPr>
          <w:trHeight w:val="1440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304C8D"/>
            <w:vAlign w:val="center"/>
          </w:tcPr>
          <w:p w14:paraId="3223ABBB" w14:textId="77777777" w:rsidR="006F3FE1" w:rsidRDefault="003079CA">
            <w:pPr>
              <w:spacing w:after="0"/>
              <w:ind w:left="1501" w:right="78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E8B5D30" wp14:editId="4382F672">
                  <wp:simplePos x="0" y="0"/>
                  <wp:positionH relativeFrom="column">
                    <wp:posOffset>1026185</wp:posOffset>
                  </wp:positionH>
                  <wp:positionV relativeFrom="paragraph">
                    <wp:posOffset>546</wp:posOffset>
                  </wp:positionV>
                  <wp:extent cx="698052" cy="698053"/>
                  <wp:effectExtent l="0" t="0" r="0" b="0"/>
                  <wp:wrapSquare wrapText="bothSides"/>
                  <wp:docPr id="124" name="Picture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052" cy="69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color w:val="FFFEFD"/>
                <w:sz w:val="58"/>
              </w:rPr>
              <w:t>Chemical Resistance of Cured Epoxy Putties</w:t>
            </w:r>
          </w:p>
        </w:tc>
      </w:tr>
    </w:tbl>
    <w:p w14:paraId="4E0DF543" w14:textId="77777777" w:rsidR="006F3FE1" w:rsidRDefault="003079CA">
      <w:pPr>
        <w:pStyle w:val="Heading1"/>
        <w:ind w:left="80" w:right="65"/>
      </w:pPr>
      <w:r>
        <w:t>Caustics</w:t>
      </w:r>
    </w:p>
    <w:p w14:paraId="0886EE53" w14:textId="77777777" w:rsidR="006F3FE1" w:rsidRDefault="003079CA">
      <w:pPr>
        <w:spacing w:after="0" w:line="265" w:lineRule="auto"/>
        <w:ind w:left="-15" w:firstLine="221"/>
      </w:pPr>
      <w:r>
        <w:rPr>
          <w:rFonts w:ascii="Arial" w:eastAsia="Arial" w:hAnsi="Arial" w:cs="Arial"/>
          <w:color w:val="181717"/>
        </w:rPr>
        <w:t>Normal temperature exposure to the following caustics has no effect or minor effect on cured</w:t>
      </w:r>
    </w:p>
    <w:p w14:paraId="3B71979B" w14:textId="77777777" w:rsidR="006F3FE1" w:rsidRDefault="003079CA">
      <w:pPr>
        <w:spacing w:after="103" w:line="265" w:lineRule="auto"/>
        <w:ind w:left="-5" w:hanging="10"/>
      </w:pPr>
      <w:r>
        <w:rPr>
          <w:rFonts w:ascii="Arial" w:eastAsia="Arial" w:hAnsi="Arial" w:cs="Arial"/>
          <w:color w:val="181717"/>
        </w:rPr>
        <w:t>epoxy putties:</w:t>
      </w:r>
    </w:p>
    <w:p w14:paraId="0FD1EAA8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Chlorine bleach (dilute)</w:t>
      </w:r>
    </w:p>
    <w:p w14:paraId="0323DE3D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Caustic potash</w:t>
      </w:r>
    </w:p>
    <w:p w14:paraId="12118E46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Hydrogen peroxide</w:t>
      </w:r>
    </w:p>
    <w:p w14:paraId="468BCB2E" w14:textId="77777777" w:rsidR="006F3FE1" w:rsidRDefault="003079CA">
      <w:pPr>
        <w:numPr>
          <w:ilvl w:val="0"/>
          <w:numId w:val="2"/>
        </w:numPr>
        <w:spacing w:after="96" w:line="265" w:lineRule="auto"/>
        <w:ind w:hanging="216"/>
      </w:pPr>
      <w:r>
        <w:rPr>
          <w:rFonts w:ascii="Arial" w:eastAsia="Arial" w:hAnsi="Arial" w:cs="Arial"/>
          <w:color w:val="181717"/>
        </w:rPr>
        <w:t>Salt solutions, including alum, calcium chloride and salt</w:t>
      </w:r>
    </w:p>
    <w:p w14:paraId="7BFE7395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Soap and soap solutions.</w:t>
      </w:r>
    </w:p>
    <w:p w14:paraId="6BA50D18" w14:textId="77777777" w:rsidR="006F3FE1" w:rsidRDefault="003079CA">
      <w:pPr>
        <w:spacing w:after="102" w:line="265" w:lineRule="auto"/>
        <w:ind w:left="-15" w:firstLine="288"/>
      </w:pPr>
      <w:r>
        <w:rPr>
          <w:rFonts w:ascii="Arial" w:eastAsia="Arial" w:hAnsi="Arial" w:cs="Arial"/>
          <w:color w:val="181717"/>
        </w:rPr>
        <w:t>Hot or strongly concentrated exposure to the following caustics has moderate or severe effect on cured epoxy putties:</w:t>
      </w:r>
    </w:p>
    <w:p w14:paraId="35F43633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Bromine</w:t>
      </w:r>
    </w:p>
    <w:p w14:paraId="74D00C54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Caustic potash (hot)</w:t>
      </w:r>
    </w:p>
    <w:p w14:paraId="6C75EF7E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Chlorine</w:t>
      </w:r>
    </w:p>
    <w:p w14:paraId="0371B415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Chromate solutions</w:t>
      </w:r>
    </w:p>
    <w:p w14:paraId="3C162E1F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Hydrogen peroxide (hot)</w:t>
      </w:r>
    </w:p>
    <w:p w14:paraId="39F42059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Hypochlorite bleach (concentrated or hot)</w:t>
      </w:r>
    </w:p>
    <w:p w14:paraId="6589BBF0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Oxidizing agents</w:t>
      </w:r>
    </w:p>
    <w:p w14:paraId="6FFBDC92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Sodium peroxide</w:t>
      </w:r>
    </w:p>
    <w:p w14:paraId="2C49CCF1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Soap and soap solutions</w:t>
      </w:r>
    </w:p>
    <w:p w14:paraId="264815CA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Oleum</w:t>
      </w:r>
    </w:p>
    <w:p w14:paraId="3678B0DD" w14:textId="77777777" w:rsidR="006F3FE1" w:rsidRDefault="003079CA">
      <w:pPr>
        <w:numPr>
          <w:ilvl w:val="0"/>
          <w:numId w:val="2"/>
        </w:numPr>
        <w:spacing w:after="152" w:line="265" w:lineRule="auto"/>
        <w:ind w:hanging="216"/>
      </w:pPr>
      <w:r>
        <w:rPr>
          <w:rFonts w:ascii="Arial" w:eastAsia="Arial" w:hAnsi="Arial" w:cs="Arial"/>
          <w:color w:val="181717"/>
        </w:rPr>
        <w:t>Plating solutions.</w:t>
      </w:r>
    </w:p>
    <w:p w14:paraId="4F25D6E4" w14:textId="77777777" w:rsidR="006F3FE1" w:rsidRDefault="003079CA">
      <w:pPr>
        <w:pStyle w:val="Heading1"/>
        <w:ind w:left="80" w:right="65"/>
      </w:pPr>
      <w:r>
        <w:lastRenderedPageBreak/>
        <w:t>Acids</w:t>
      </w:r>
    </w:p>
    <w:p w14:paraId="79B1C30A" w14:textId="77777777" w:rsidR="006F3FE1" w:rsidRDefault="003079CA">
      <w:pPr>
        <w:spacing w:after="114" w:line="301" w:lineRule="auto"/>
        <w:ind w:left="-15" w:right="-8" w:firstLine="278"/>
        <w:jc w:val="both"/>
      </w:pPr>
      <w:r>
        <w:rPr>
          <w:rFonts w:ascii="Arial" w:eastAsia="Arial" w:hAnsi="Arial" w:cs="Arial"/>
          <w:color w:val="181717"/>
        </w:rPr>
        <w:t>Normal temperature exposure to the following dilute acids has no effect or minor effect on cured epoxy putties: • Acetic</w:t>
      </w:r>
    </w:p>
    <w:p w14:paraId="33944B26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Muriatic</w:t>
      </w:r>
    </w:p>
    <w:p w14:paraId="5B13B5AA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Nitr</w:t>
      </w:r>
      <w:r>
        <w:rPr>
          <w:rFonts w:ascii="Arial" w:eastAsia="Arial" w:hAnsi="Arial" w:cs="Arial"/>
          <w:color w:val="181717"/>
        </w:rPr>
        <w:t>ic.</w:t>
      </w:r>
    </w:p>
    <w:p w14:paraId="1E2D11D4" w14:textId="77777777" w:rsidR="006F3FE1" w:rsidRDefault="003079CA">
      <w:pPr>
        <w:spacing w:after="114" w:line="301" w:lineRule="auto"/>
        <w:ind w:left="-15" w:right="137" w:firstLine="278"/>
        <w:jc w:val="both"/>
      </w:pPr>
      <w:r>
        <w:rPr>
          <w:rFonts w:ascii="Arial" w:eastAsia="Arial" w:hAnsi="Arial" w:cs="Arial"/>
          <w:color w:val="181717"/>
        </w:rPr>
        <w:t>Hot or strongly concentrated exposure to the following acids has a moderate or severe effect on cured epoxy putties: •</w:t>
      </w:r>
      <w:r>
        <w:rPr>
          <w:rFonts w:ascii="Arial" w:eastAsia="Arial" w:hAnsi="Arial" w:cs="Arial"/>
          <w:color w:val="181717"/>
        </w:rPr>
        <w:t xml:space="preserve"> Acetic</w:t>
      </w:r>
    </w:p>
    <w:p w14:paraId="4211A80A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Aqua regia</w:t>
      </w:r>
    </w:p>
    <w:p w14:paraId="3A68600D" w14:textId="77777777" w:rsidR="006F3FE1" w:rsidRDefault="006F3FE1">
      <w:pPr>
        <w:sectPr w:rsidR="006F3FE1">
          <w:pgSz w:w="12240" w:h="15840"/>
          <w:pgMar w:top="720" w:right="1085" w:bottom="1440" w:left="1080" w:header="720" w:footer="720" w:gutter="0"/>
          <w:cols w:num="2" w:space="390"/>
        </w:sectPr>
      </w:pPr>
    </w:p>
    <w:p w14:paraId="51399316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353E92" wp14:editId="1FAE21A3">
                <wp:simplePos x="0" y="0"/>
                <wp:positionH relativeFrom="column">
                  <wp:posOffset>3200117</wp:posOffset>
                </wp:positionH>
                <wp:positionV relativeFrom="paragraph">
                  <wp:posOffset>202</wp:posOffset>
                </wp:positionV>
                <wp:extent cx="192" cy="1917482"/>
                <wp:effectExtent l="0" t="0" r="0" b="0"/>
                <wp:wrapSquare wrapText="bothSides"/>
                <wp:docPr id="2361" name="Group 2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" cy="1917482"/>
                          <a:chOff x="0" y="0"/>
                          <a:chExt cx="192" cy="1917482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192" cy="1917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" h="1917482">
                                <a:moveTo>
                                  <a:pt x="0" y="0"/>
                                </a:moveTo>
                                <a:lnTo>
                                  <a:pt x="192" y="1917482"/>
                                </a:lnTo>
                              </a:path>
                            </a:pathLst>
                          </a:custGeom>
                          <a:ln w="1588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1" style="width:0.0151062pt;height:150.983pt;position:absolute;mso-position-horizontal-relative:text;mso-position-horizontal:absolute;margin-left:251.978pt;mso-position-vertical-relative:text;margin-top:0.0159302pt;" coordsize="1,19174">
                <v:shape id="Shape 144" style="position:absolute;width:1;height:19174;left:0;top:0;" coordsize="192,1917482" path="m0,0l192,1917482">
                  <v:stroke weight="0.125pt" endcap="flat" joinstyle="miter" miterlimit="10" on="true" color="#18171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181717"/>
        </w:rPr>
        <w:t>Carbolic</w:t>
      </w:r>
    </w:p>
    <w:p w14:paraId="28CC8DF5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Muriatic</w:t>
      </w:r>
    </w:p>
    <w:p w14:paraId="4A6EB71C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Nitric</w:t>
      </w:r>
    </w:p>
    <w:p w14:paraId="1473957A" w14:textId="77777777" w:rsidR="006F3FE1" w:rsidRDefault="003079CA">
      <w:pPr>
        <w:numPr>
          <w:ilvl w:val="0"/>
          <w:numId w:val="3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Sulfuric.</w:t>
      </w:r>
    </w:p>
    <w:p w14:paraId="313A16CE" w14:textId="77777777" w:rsidR="006F3FE1" w:rsidRDefault="003079CA">
      <w:pPr>
        <w:pStyle w:val="Heading1"/>
        <w:spacing w:after="42"/>
        <w:ind w:left="1593" w:right="4970" w:firstLine="0"/>
        <w:jc w:val="left"/>
      </w:pPr>
      <w:r>
        <w:t>Miscellaneous</w:t>
      </w:r>
    </w:p>
    <w:p w14:paraId="1C899A21" w14:textId="77777777" w:rsidR="006F3FE1" w:rsidRDefault="003079CA">
      <w:pPr>
        <w:spacing w:after="102" w:line="265" w:lineRule="auto"/>
        <w:ind w:left="-15" w:right="4970" w:firstLine="288"/>
      </w:pPr>
      <w:r>
        <w:rPr>
          <w:rFonts w:ascii="Arial" w:eastAsia="Arial" w:hAnsi="Arial" w:cs="Arial"/>
          <w:color w:val="181717"/>
        </w:rPr>
        <w:t>The following have no effect or minor effect on cured epoxy putties:</w:t>
      </w:r>
    </w:p>
    <w:p w14:paraId="65EAADCA" w14:textId="77777777" w:rsidR="006F3FE1" w:rsidRDefault="003079CA">
      <w:pPr>
        <w:numPr>
          <w:ilvl w:val="0"/>
          <w:numId w:val="4"/>
        </w:numPr>
        <w:spacing w:after="152" w:line="265" w:lineRule="auto"/>
        <w:ind w:right="4970" w:hanging="216"/>
      </w:pPr>
      <w:r>
        <w:rPr>
          <w:rFonts w:ascii="Arial" w:eastAsia="Arial" w:hAnsi="Arial" w:cs="Arial"/>
          <w:color w:val="181717"/>
        </w:rPr>
        <w:t>Lard</w:t>
      </w:r>
    </w:p>
    <w:p w14:paraId="771A1B5C" w14:textId="77777777" w:rsidR="006F3FE1" w:rsidRDefault="003079CA">
      <w:pPr>
        <w:numPr>
          <w:ilvl w:val="0"/>
          <w:numId w:val="4"/>
        </w:numPr>
        <w:spacing w:after="6136" w:line="265" w:lineRule="auto"/>
        <w:ind w:right="4970" w:hanging="216"/>
      </w:pPr>
      <w:r>
        <w:rPr>
          <w:rFonts w:ascii="Arial" w:eastAsia="Arial" w:hAnsi="Arial" w:cs="Arial"/>
          <w:color w:val="181717"/>
        </w:rPr>
        <w:t>Water.</w:t>
      </w:r>
    </w:p>
    <w:p w14:paraId="1F3876A8" w14:textId="30AF4263" w:rsidR="006F3FE1" w:rsidRDefault="006F3FE1">
      <w:pPr>
        <w:spacing w:after="0"/>
      </w:pPr>
      <w:bookmarkStart w:id="0" w:name="_GoBack"/>
      <w:bookmarkEnd w:id="0"/>
    </w:p>
    <w:sectPr w:rsidR="006F3FE1">
      <w:type w:val="continuous"/>
      <w:pgSz w:w="12240" w:h="15840"/>
      <w:pgMar w:top="1440" w:right="115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B6724"/>
    <w:multiLevelType w:val="hybridMultilevel"/>
    <w:tmpl w:val="3DE262C8"/>
    <w:lvl w:ilvl="0" w:tplc="0F00C580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8EA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43E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2843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EE2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6B1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700C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2DC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881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FB1932"/>
    <w:multiLevelType w:val="hybridMultilevel"/>
    <w:tmpl w:val="B840DDD6"/>
    <w:lvl w:ilvl="0" w:tplc="0B24E06A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8D0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46B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2FD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210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6FB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037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E2A7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C9D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728BF"/>
    <w:multiLevelType w:val="hybridMultilevel"/>
    <w:tmpl w:val="AED46596"/>
    <w:lvl w:ilvl="0" w:tplc="B5086966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EC7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8D5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545C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894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8049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6F8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09D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2BC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880A3A"/>
    <w:multiLevelType w:val="hybridMultilevel"/>
    <w:tmpl w:val="E4F41D8E"/>
    <w:lvl w:ilvl="0" w:tplc="3B44FB64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4E9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A04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058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B079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5684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129B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8AC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0880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FE1"/>
    <w:rsid w:val="003079CA"/>
    <w:rsid w:val="006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FC84"/>
  <w15:docId w15:val="{450C7757-F5CF-4824-A8CB-C0171F18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"/>
      <w:ind w:left="40" w:hanging="10"/>
      <w:jc w:val="center"/>
      <w:outlineLvl w:val="0"/>
    </w:pPr>
    <w:rPr>
      <w:rFonts w:ascii="Franklin Gothic" w:eastAsia="Franklin Gothic" w:hAnsi="Franklin Gothic" w:cs="Franklin Gothic"/>
      <w:color w:val="181717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181717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1</dc:title>
  <dc:subject/>
  <dc:creator>Prem Suresh</dc:creator>
  <cp:keywords/>
  <cp:lastModifiedBy>Prem Suresh</cp:lastModifiedBy>
  <cp:revision>2</cp:revision>
  <dcterms:created xsi:type="dcterms:W3CDTF">2018-05-24T13:40:00Z</dcterms:created>
  <dcterms:modified xsi:type="dcterms:W3CDTF">2018-05-24T13:40:00Z</dcterms:modified>
</cp:coreProperties>
</file>