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8D6A" w14:textId="77777777" w:rsidR="00F41841" w:rsidRDefault="00F41841" w:rsidP="00F41841">
      <w:r>
        <w:t>20. Configuration of DHCP (dynamic host configuration protocol) in packet tracer</w:t>
      </w:r>
    </w:p>
    <w:p w14:paraId="786F162A" w14:textId="12B6ED6C" w:rsidR="00F41841" w:rsidRDefault="00F41841" w:rsidP="00F41841">
      <w:r>
        <w:rPr>
          <w:noProof/>
        </w:rPr>
        <w:drawing>
          <wp:inline distT="0" distB="0" distL="0" distR="0" wp14:anchorId="6A3A9150" wp14:editId="1E71E6FB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FF9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41"/>
    <w:rsid w:val="002F1C93"/>
    <w:rsid w:val="00F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16ED"/>
  <w15:chartTrackingRefBased/>
  <w15:docId w15:val="{F3088B4D-4A97-4AF0-8F5D-EB290C7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2023-02-13T11:06:00Z</dcterms:created>
  <dcterms:modified xsi:type="dcterms:W3CDTF">2023-02-13T11:06:00Z</dcterms:modified>
</cp:coreProperties>
</file>