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4129" w14:textId="77777777" w:rsidR="000D6D7A" w:rsidRDefault="000D6D7A" w:rsidP="000D6D7A">
      <w:r>
        <w:t>4. Design and Configuration of RING Topologies using Packet Tracer</w:t>
      </w:r>
    </w:p>
    <w:p w14:paraId="7492A625" w14:textId="5C0ED640" w:rsidR="000D6D7A" w:rsidRDefault="000D6D7A" w:rsidP="000D6D7A">
      <w:r>
        <w:rPr>
          <w:noProof/>
        </w:rPr>
        <w:drawing>
          <wp:inline distT="0" distB="0" distL="0" distR="0" wp14:anchorId="3D8912FD" wp14:editId="45C9715D">
            <wp:extent cx="5730240" cy="3017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A0C2" w14:textId="77777777" w:rsidR="00E034CA" w:rsidRDefault="00E034CA"/>
    <w:sectPr w:rsidR="00E0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7A"/>
    <w:rsid w:val="000D6D7A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9418"/>
  <w15:chartTrackingRefBased/>
  <w15:docId w15:val="{6AFDFFF1-710C-4F5E-96B8-15E6425A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2023-02-13T05:24:00Z</dcterms:created>
  <dcterms:modified xsi:type="dcterms:W3CDTF">2023-02-13T05:24:00Z</dcterms:modified>
</cp:coreProperties>
</file>