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7687"/>
          <w:sz w:val="28"/>
        </w:rPr>
        <w:t>REJUVONIX</w:t>
      </w:r>
    </w:p>
    <w:p>
      <w:pPr>
        <w:pStyle w:val="Title"/>
        <w:jc w:val="center"/>
      </w:pPr>
      <w:r>
        <w:t>Agent Experience Specification</w:t>
      </w:r>
    </w:p>
    <w:p>
      <w:pPr>
        <w:jc w:val="center"/>
      </w:pPr>
      <w:r>
        <w:rPr>
          <w:b/>
          <w:color w:val="50596D"/>
          <w:sz w:val="26"/>
        </w:rPr>
        <w:t>Version 1.0.0</w:t>
      </w:r>
    </w:p>
    <w:p>
      <w:pPr>
        <w:pStyle w:val="Lead"/>
        <w:jc w:val="center"/>
      </w:pPr>
      <w:r>
        <w:t>Presentation, interaction, handoff, safety, and role experience contract for the Rejuvonix Intelligence Layer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5112"/>
            <w:shd w:fill="EF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Document ID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RAI-UX-002</w:t>
            </w:r>
          </w:p>
        </w:tc>
      </w:tr>
      <w:tr>
        <w:tc>
          <w:tcPr>
            <w:tcW w:type="dxa" w:w="5112"/>
            <w:shd w:fill="EF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1.0.0</w:t>
            </w:r>
          </w:p>
        </w:tc>
      </w:tr>
      <w:tr>
        <w:tc>
          <w:tcPr>
            <w:tcW w:type="dxa" w:w="5112"/>
            <w:shd w:fill="EF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APPROVED EXPERIENCE BASELINE</w:t>
            </w:r>
          </w:p>
        </w:tc>
      </w:tr>
      <w:tr>
        <w:tc>
          <w:tcPr>
            <w:tcW w:type="dxa" w:w="5112"/>
            <w:shd w:fill="EF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Rejuvonix Product / Clinical Governance</w:t>
            </w:r>
          </w:p>
        </w:tc>
      </w:tr>
      <w:tr>
        <w:tc>
          <w:tcPr>
            <w:tcW w:type="dxa" w:w="5112"/>
            <w:shd w:fill="EF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Effective Date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2026-08-24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AF7F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0F5C66"/>
                <w:sz w:val="22"/>
              </w:rPr>
              <w:t>Experience thesis</w:t>
              <w:br/>
            </w:r>
            <w:r>
              <w:rPr>
                <w:sz w:val="20"/>
              </w:rPr>
              <w:t>The Rejuvonix AI should not feel like a generic chatbot. It should feel like a governed care intelligence layer that changes its presentation, permissions, language, and available actions according to the stakeholder, context, and stage of the care journey.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Purpose and Experience Vision</w:t>
      </w:r>
    </w:p>
    <w:p>
      <w:pPr>
        <w:pStyle w:val="Lead"/>
      </w:pPr>
      <w:r>
        <w:t>The Rejuvonix Intelligence Layer is one governed intelligence foundation expressed through multiple role-specific experiences.</w:t>
      </w:r>
    </w:p>
    <w:p>
      <w:pPr>
        <w:pStyle w:val="ListBullet"/>
        <w:ind w:left="0"/>
      </w:pPr>
      <w:r>
        <w:t>Visitors and patients experience a calm care guide that helps them understand, navigate, prepare, and escalate.</w:t>
      </w:r>
    </w:p>
    <w:p>
      <w:pPr>
        <w:pStyle w:val="ListBullet"/>
        <w:ind w:left="0"/>
      </w:pPr>
      <w:r>
        <w:t>Practitioners experience a clinical copilot that reduces search and documentation burden while preserving human clinical authority.</w:t>
      </w:r>
    </w:p>
    <w:p>
      <w:pPr>
        <w:pStyle w:val="ListBullet"/>
        <w:ind w:left="0"/>
      </w:pPr>
      <w:r>
        <w:t>Pharmacists and medication-support users experience a medication-aware assistant grounded in approved medication and pharmacy knowledge.</w:t>
      </w:r>
    </w:p>
    <w:p>
      <w:pPr>
        <w:pStyle w:val="ListBullet"/>
        <w:ind w:left="0"/>
      </w:pPr>
      <w:r>
        <w:t>Operations users experience a workflow assistant focused on scheduling, coordination, notifications, and service delivery.</w:t>
      </w:r>
    </w:p>
    <w:p>
      <w:pPr>
        <w:pStyle w:val="ListBullet"/>
        <w:ind w:left="0"/>
      </w:pPr>
      <w:r>
        <w:t>All agents share a common knowledge, authorization, audit, and safety foundation.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EF0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0F5C66"/>
                <w:sz w:val="22"/>
              </w:rPr>
              <w:t>Non-negotiable interaction rule</w:t>
              <w:br/>
            </w:r>
            <w:r>
              <w:rPr>
                <w:sz w:val="20"/>
              </w:rPr>
              <w:t>AI authority must never exceed the authenticated human user's authority. A user should never gain access to information or actions through the AI that they could not access through the platform directly.</w:t>
            </w:r>
          </w:p>
        </w:tc>
      </w:tr>
    </w:tbl>
    <w:p>
      <w:pPr>
        <w:spacing w:after="20"/>
      </w:pPr>
    </w:p>
    <w:p>
      <w:pPr>
        <w:pStyle w:val="Heading1"/>
      </w:pPr>
      <w:r>
        <w:t>2. Visual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uvonix_intelligence_lay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"/>
        <w:jc w:val="center"/>
      </w:pPr>
      <w:r>
        <w:t>Figure 1. Rejuvonix Intelligence Layer role concept.</w:t>
      </w:r>
    </w:p>
    <w:p>
      <w:pPr>
        <w:pStyle w:val="Heading1"/>
      </w:pPr>
      <w:r>
        <w:t>3. Shared Interaction Principles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Healthcare first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interface should feel like a premium care platform first. AI branding is secondary and restrained.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Context aware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assistant should understand the current page, workflow stage, and authorized record context without requiring the user to repeatedly explain it.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Guided before open chat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task chips, suggested actions, and contextual prompts before presenting a blank chat field.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Structured responses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Prefer cards, actions, statuses, source panels, checklists, and review controls over long paragraphs.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Visible mode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Always make the active role or mode understandable: Patient Guide, Clinical Copilot, Medication Support, or Operations Assistant.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Grounded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Clinical, medication, policy, and Rejuvonix-specific responses should be linked to approved sources where relevant.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Escalation is useful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safety boundary should lead to a helpful next step, not a dead end.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Human accountability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Consequential clinical actions remain under qualified practitioner review.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Transparent memory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Persistent memory should be explicit, reviewable, permissioned, and separate from the authoritative clinical record.</w:t>
            </w:r>
          </w:p>
        </w:tc>
      </w:tr>
    </w:tbl>
    <w:p/>
    <w:p>
      <w:pPr>
        <w:pStyle w:val="Heading1"/>
      </w:pPr>
      <w:r>
        <w:t>4. Visitor &amp; Patient Guide Experience</w:t>
      </w:r>
    </w:p>
    <w:p>
      <w:r>
        <w:rPr>
          <w:b/>
        </w:rPr>
        <w:t xml:space="preserve">Experience character: </w:t>
      </w:r>
      <w:r>
        <w:t>Calm, guided, supportive, non-diagnostic, and confidence-building.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Primary entry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 contextual “Ask Rejuvonix” or care-guide entry point integrated into the page, not an intrusive floating chatbot.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First view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Begin with guided choices such as Explore treatment options, Check my next step, Understand medication, Prepare for consultation, or Ask a question.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Anonymous state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General approved education and navigation only. Personal-care questions should prompt sign-in before accessing personal context.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Authenticated state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May use authorized patient context to explain next steps, appointments, care-plan information, and workflow status.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Treatment pages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Offer context-aware questions such as who may qualify, how it works, common side effects, and what happens next.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Onboarding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progress-oriented guidance: current step, what is needed, why it matters, and next action.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Response style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Short explanation plus structured cards, links, or action buttons. Avoid dense clinical prose unless specifically requested.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Safety escalation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When clinical review is needed, present options such as Send to care team, Request consultation, or View urgent-care guidance.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Source visibility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Show a compact “Sources” affordance when answers rely on governed clinical or medication knowledge.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Mobile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 bottom sheet or full-height conversational panel that can be dismissed without losing the underlying page.</w:t>
            </w:r>
          </w:p>
        </w:tc>
      </w:tr>
    </w:tbl>
    <w:p/>
    <w:p>
      <w:pPr>
        <w:pStyle w:val="Heading2"/>
      </w:pPr>
      <w:r>
        <w:t>4.1 Patient Journey Continuity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AF7F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0F5C66"/>
                <w:sz w:val="22"/>
              </w:rPr>
              <w:t>Intended journey</w:t>
              <w:br/>
            </w:r>
            <w:r>
              <w:rPr>
                <w:sz w:val="20"/>
              </w:rPr>
              <w:t>Homepage -&gt; Treatment Education -&gt; Eligibility / Get Started -&gt; Account -&gt; Onboarding -&gt; Consent -&gt; Intake -&gt; Consultation -&gt; Treatment -&gt; Follow-up. The assistant changes its guidance at each stage rather than behaving as one static chatbot.</w:t>
            </w:r>
          </w:p>
        </w:tc>
      </w:tr>
    </w:tbl>
    <w:p>
      <w:pPr>
        <w:spacing w:after="20"/>
      </w:pPr>
    </w:p>
    <w:p>
      <w:pPr>
        <w:pStyle w:val="Heading1"/>
      </w:pPr>
      <w:r>
        <w:t>5. Practitioner Copilot Experience</w:t>
      </w:r>
    </w:p>
    <w:p>
      <w:r>
        <w:rPr>
          <w:b/>
        </w:rPr>
        <w:t xml:space="preserve">Experience character: </w:t>
      </w:r>
      <w:r>
        <w:t>Concise, evidence-aware, patient-contextual, reviewable, and action-oriented.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Placement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Integrated beside the authorized patient chart or encounter workspace, not as a generic global chat window.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Context header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Clearly display the current patient, encounter, and relevant treatment/workflow context.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Task starters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Summarize intake, Identify missing information, Review medication considerations, Compare approved pathways, Draft note, Prepare follow-up.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Information separation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Visually distinguish Patient Record facts, Approved Guidance, and AI Consideration.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Sources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Show detailed provenance: knowledge source, version, effective/review dates where available.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Recommendation controls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Material AI suggestions should support Accept into plan, Modify, or Dismiss, with the clinician action auditable.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Natural language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Allow questions such as “What changed since the last consultation?” or “What information is still missing?”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Authorization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copilot may only retrieve patients and resources the clinician is permitted to access.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Clinical authority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The copilot supports reasoning but does not independently diagnose, prescribe, change dose, discontinue medication, or finalize treatment decisions.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Material AI assistance should record the interaction, sources, tools used, and clinician disposition where appropriate.</w:t>
            </w:r>
          </w:p>
        </w:tc>
      </w:tr>
    </w:tbl>
    <w:p/>
    <w:p>
      <w:pPr>
        <w:pStyle w:val="Heading1"/>
      </w:pPr>
      <w:r>
        <w:t>6. Pharmacist &amp; Medication Support Experience</w:t>
      </w:r>
    </w:p>
    <w:p>
      <w:r>
        <w:rPr>
          <w:b/>
        </w:rPr>
        <w:t xml:space="preserve">Experience character: </w:t>
      </w:r>
      <w:r>
        <w:t>Medication-aware, safety-first, source-grounded, and escalation oriented.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Primary tasks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Medication education, administration guidance, adherence support, source retrieval, and identification of issues requiring pharmacist/clinician review.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Presentation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medication summary cards with approved use, administration, common concerns, source references, and escalation markers.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Uncertainty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Potential interactions, contraindications, adverse reactions, or conflicting information should be explicitly flagged for review.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 not allow an AI-only medication assistant to independently modify prescriptions or dosage.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Source priority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Premojin/Rejuvonix approved medication guidance, official product information, and approved clinical references before model general knowledge.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Patient-facing variant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plain language and avoid overloading the user with professional terminology.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Professional variant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Allow more structured detail, citations, interaction context, and pharmacy workflow actions subject to permissions.</w:t>
            </w:r>
          </w:p>
        </w:tc>
      </w:tr>
    </w:tbl>
    <w:p/>
    <w:p>
      <w:pPr>
        <w:pStyle w:val="Heading1"/>
      </w:pPr>
      <w:r>
        <w:t>7. Operations Assistant Experience</w:t>
      </w:r>
    </w:p>
    <w:p>
      <w:r>
        <w:rPr>
          <w:b/>
        </w:rPr>
        <w:t xml:space="preserve">Experience character: </w:t>
      </w:r>
      <w:r>
        <w:t>Efficient, organized, responsive, and non-clinical unless explicitly authorized.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Primary surface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Workflow queue, scheduling, status, notifications, follow-up coordination, and service navigation.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Typical prompts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What requires attention today? Which appointments need follow-up? Which notifications failed? What tasks are overdue?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Action cards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queues, counts, due dates, status indicators, and confirmable actions instead of free-form chat where possible.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Clinical separation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Operations/support users must not receive unrestricted encounter notes or treatment details simply because the AI can retrieve them.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Handoff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Clinical questions should route to an authorized clinician/pharmacist workflow rather than being answered through operations context.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Notifications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Support notification preparation and workflow state, respecting consent, channel preferences, and sensitivity rules.</w:t>
            </w:r>
          </w:p>
        </w:tc>
      </w:tr>
    </w:tbl>
    <w:p/>
    <w:p>
      <w:pPr>
        <w:pStyle w:val="Heading1"/>
      </w:pPr>
      <w:r>
        <w:t>8. Knowledge &amp; Governance Layer Experience</w:t>
      </w:r>
    </w:p>
    <w:p>
      <w:r>
        <w:rPr>
          <w:b/>
        </w:rPr>
        <w:t xml:space="preserve">Experience character: </w:t>
      </w:r>
      <w:r>
        <w:t>Mostly invisible to users, but its effects should be visible through trustworthy behavior.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Grounding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Answers should be based on approved Premojin knowledge, Rejuvonix protocols, and approved external clinical sources.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Source labels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Expose source provenance in a role-appropriate manner.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Permissions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Apply role, permission, resource scope, and patient relationship before retrieval or tool execution.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Versioning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approved and current source versions. Superseded knowledge should not appear as current guidance.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Safety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Apply escalation and human-oversight rules before high-risk responses or actions.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Audit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Capture interaction metadata, tool use, source versions, authorization outcome, escalation, and reviewer action where relevant.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Failure behavior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If grounding, authority, or context is insufficient, the system should say so and provide a safe next step.</w:t>
            </w:r>
          </w:p>
        </w:tc>
      </w:tr>
    </w:tbl>
    <w:p/>
    <w:p>
      <w:pPr>
        <w:pStyle w:val="Heading1"/>
      </w:pPr>
      <w:r>
        <w:t>9. Agent State and Context Presentation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Mode indicator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Show the active experience, e.g., Patient Guide, Clinical Copilot, Operations Assistant.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Working-with chips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For protected professional workflows, show context chips such as Patient #, Encounter #, or Treatment Program.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Anonymous vs signed-in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Clearly distinguish public general guidance from authenticated personal guidance.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General vs personalized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labels such as GENERAL EDUCATION, BASED ON YOUR REJUVONIX CARE PLAN, and CLINICIAN REVIEW REQUIRED.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Memory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Ask before retaining user preferences that are not already part of the governed record. Provide a way to view/manage remembered preferences.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Session continuity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Preserve active task context across page navigation where safe, but do not allow stale patient context to bleed into another patient record.</w:t>
            </w:r>
          </w:p>
        </w:tc>
      </w:tr>
    </w:tbl>
    <w:p/>
    <w:p>
      <w:pPr>
        <w:pStyle w:val="Heading1"/>
      </w:pPr>
      <w:r>
        <w:t>10. Three Levels of Interaction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Level 1 - Inform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Explain, define, navigate, retrieve approved information. Lowest operational risk.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Level 2 - Assist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Summarize, compare, prepare, draft, identify missing information, structure next steps.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Level 3 - Act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Request appointment, send message, save draft, submit intake, or invoke another authorized tool. Requires explicit authorization and confirmation where appropriate.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F3EE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0F5C66"/>
                <w:sz w:val="22"/>
              </w:rPr>
              <w:t>Action pattern</w:t>
              <w:br/>
            </w:r>
            <w:r>
              <w:rPr>
                <w:sz w:val="20"/>
              </w:rPr>
              <w:t>AI proposes action -&gt; User confirms where required -&gt; Authorized tool executes -&gt; Success/failure state is shown -&gt; Audit/event is written.</w:t>
            </w:r>
          </w:p>
        </w:tc>
      </w:tr>
    </w:tbl>
    <w:p>
      <w:pPr>
        <w:spacing w:after="20"/>
      </w:pPr>
    </w:p>
    <w:p>
      <w:pPr>
        <w:pStyle w:val="Heading1"/>
      </w:pPr>
      <w:r>
        <w:t>11. Escalation and Human Handoff Experience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Clinical uncertainty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State that the issue requires human review and provide a direct path to the appropriate care role.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Urgent concern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Present approved urgent/emergency guidance appropriate to the platform policy; do not improvise.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Medication concern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Offer pharmacist or clinician review path based on the nature of the issue.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Technical/support issue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Transfer context to operations/support without exposing unnecessary clinical content.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Failed action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Explain what failed in user-safe language, preserve correlation ID internally, and offer retry or alternate path where appropriate.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source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 not fabricate. State that no sufficiently verified source is available and escalate when the question is consequential.</w:t>
            </w:r>
          </w:p>
        </w:tc>
      </w:tr>
    </w:tbl>
    <w:p/>
    <w:p>
      <w:pPr>
        <w:pStyle w:val="Heading1"/>
      </w:pPr>
      <w:r>
        <w:t>12. Visual Language and Component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tblHeader w:val="true"/>
        </w:trPr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Experience Element</w:t>
            </w:r>
          </w:p>
        </w:tc>
        <w:tc>
          <w:tcPr>
            <w:tcW w:type="dxa" w:w="5112"/>
            <w:shd w:fill="DDECF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Expected Behavior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Branding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Premium healthcare aesthetic with restrained teal/blue/violet accents. Avoid novelty AI visuals dominating the care experience.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Desktop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Assistant rail or contextual side panel aligned with the active workflow.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Mobile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Bottom-sheet or full-screen assistant that preserves underlying page state.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Cards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appointment cards, medication cards, progress cards, source cards, review cards, and queue cards.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Action chips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concise, role-specific suggested actions before open-ended prompting.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Status colors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semantic status treatment consistently; do not rely on color alone.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Accessibility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Keyboard support, focus states, clear labels, buttons for actions, links for navigation, readable contrast, and screen-reader meaningful naming.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 markers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Use subtle labels such as AI CONSIDERATION rather than decorative “sparkles” everywhere.</w:t>
            </w:r>
          </w:p>
        </w:tc>
      </w:tr>
    </w:tbl>
    <w:p/>
    <w:p>
      <w:pPr>
        <w:pStyle w:val="Heading1"/>
      </w:pPr>
      <w:r>
        <w:t>13. Role Experience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160"/>
        <w:gridCol w:w="2232"/>
        <w:gridCol w:w="1944"/>
        <w:gridCol w:w="1944"/>
      </w:tblGrid>
      <w:tr>
        <w:trPr>
          <w:tblHeader w:val="true"/>
        </w:trPr>
        <w:tc>
          <w:tcPr>
            <w:tcW w:type="dxa" w:w="2045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Role</w:t>
            </w:r>
          </w:p>
        </w:tc>
        <w:tc>
          <w:tcPr>
            <w:tcW w:type="dxa" w:w="2045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Primary Mode</w:t>
            </w:r>
          </w:p>
        </w:tc>
        <w:tc>
          <w:tcPr>
            <w:tcW w:type="dxa" w:w="2045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Personal Data</w:t>
            </w:r>
          </w:p>
        </w:tc>
        <w:tc>
          <w:tcPr>
            <w:tcW w:type="dxa" w:w="2045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Clinical Support</w:t>
            </w:r>
          </w:p>
        </w:tc>
        <w:tc>
          <w:tcPr>
            <w:tcW w:type="dxa" w:w="2045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May Execute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Visitor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Public Guide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 private record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General education only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Public navigation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Patient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Patient Guide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Own authorized data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Explain own care context; no autonomous diagnosis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Own authorized workflow actions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Clinician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Clinical Copilot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Assigned/authorized patients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Decision support with sources and review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Authorized clinical workflow actions; consequential decisions remain human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Pharmacist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Medication Support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Authorized medication/patient context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Medication-focused support and escalation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Authorized pharmacy workflow actions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Operations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Operations Assistant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necessary operational data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 unrestricted clinical reasoning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Scheduling, coordination, notifications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Support</w:t>
            </w:r>
          </w:p>
        </w:tc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Restricted Support</w:t>
            </w:r>
          </w:p>
        </w:tc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necessary troubleshooting data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None by default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Support actions only</w:t>
            </w:r>
          </w:p>
        </w:tc>
      </w:tr>
    </w:tbl>
    <w:p/>
    <w:p>
      <w:pPr>
        <w:pStyle w:val="Heading1"/>
      </w:pPr>
      <w:r>
        <w:t>14. Experience Acceptance Criteria</w:t>
      </w:r>
    </w:p>
    <w:p>
      <w:pPr>
        <w:pStyle w:val="ListBullet"/>
        <w:ind w:left="0"/>
      </w:pPr>
      <w:r>
        <w:t>A visitor can identify what Rejuvonix does and reach the next logical step without needing to invent a prompt.</w:t>
      </w:r>
    </w:p>
    <w:p>
      <w:pPr>
        <w:pStyle w:val="ListBullet"/>
        <w:ind w:left="0"/>
      </w:pPr>
      <w:r>
        <w:t>A patient can distinguish general education from personalized information.</w:t>
      </w:r>
    </w:p>
    <w:p>
      <w:pPr>
        <w:pStyle w:val="ListBullet"/>
        <w:ind w:left="0"/>
      </w:pPr>
      <w:r>
        <w:t>A clinician can always see which patient/context the copilot is working with.</w:t>
      </w:r>
    </w:p>
    <w:p>
      <w:pPr>
        <w:pStyle w:val="ListBullet"/>
        <w:ind w:left="0"/>
      </w:pPr>
      <w:r>
        <w:t>AI-generated clinical considerations are visually distinguishable from record facts and approved guidance.</w:t>
      </w:r>
    </w:p>
    <w:p>
      <w:pPr>
        <w:pStyle w:val="ListBullet"/>
        <w:ind w:left="0"/>
      </w:pPr>
      <w:r>
        <w:t>High-risk or uncertain questions produce a safe escalation path rather than an unsupported answer.</w:t>
      </w:r>
    </w:p>
    <w:p>
      <w:pPr>
        <w:pStyle w:val="ListBullet"/>
        <w:ind w:left="0"/>
      </w:pPr>
      <w:r>
        <w:t>All Level 3 actions pass through authorization and produce a clear success/failure state.</w:t>
      </w:r>
    </w:p>
    <w:p>
      <w:pPr>
        <w:pStyle w:val="ListBullet"/>
        <w:ind w:left="0"/>
      </w:pPr>
      <w:r>
        <w:t>No role can access data or actions through AI beyond its platform permissions.</w:t>
      </w:r>
    </w:p>
    <w:p>
      <w:pPr>
        <w:pStyle w:val="ListBullet"/>
        <w:ind w:left="0"/>
      </w:pPr>
      <w:r>
        <w:t>Source provenance is available for governed clinical/medication guidance.</w:t>
      </w:r>
    </w:p>
    <w:p>
      <w:pPr>
        <w:pStyle w:val="ListBullet"/>
        <w:ind w:left="0"/>
      </w:pPr>
      <w:r>
        <w:t>The experience works on desktop and mobile without hiding primary navigation or workflow state.</w:t>
      </w:r>
    </w:p>
    <w:p>
      <w:pPr>
        <w:pStyle w:val="ListBullet"/>
        <w:ind w:left="0"/>
      </w:pPr>
      <w:r>
        <w:t>Agent continuity never becomes a substitute for the authoritative patient or clinical record.</w:t>
      </w:r>
    </w:p>
    <w:p>
      <w:pPr>
        <w:pStyle w:val="Heading1"/>
      </w:pPr>
      <w:r>
        <w:t>15. Codex Build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24"/>
            <w:shd w:fill="EAF7F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0F5C66"/>
                <w:sz w:val="22"/>
              </w:rPr>
              <w:t>Mandatory governance relationship</w:t>
              <w:br/>
            </w:r>
            <w:r>
              <w:rPr>
                <w:sz w:val="20"/>
              </w:rPr>
              <w:t>Codex should treat this document as the UX/interaction companion to the AI Governance and API/Integration Governance packs. AI-only work loads the AI governance index; integration/tool work loads the integration governance index; agent experience work that spans both must load both governance sets plus this experience specification.</w:t>
            </w:r>
          </w:p>
        </w:tc>
      </w:tr>
    </w:tbl>
    <w:p>
      <w:pPr>
        <w:spacing w:after="20"/>
      </w:pPr>
    </w:p>
    <w:p>
      <w:pPr>
        <w:pStyle w:val="ListBullet"/>
        <w:ind w:left="0"/>
      </w:pPr>
      <w:r>
        <w:t>Document ID: RAI-UX-002, Version 1.0.0.</w:t>
      </w:r>
    </w:p>
    <w:p>
      <w:pPr>
        <w:pStyle w:val="ListBullet"/>
        <w:ind w:left="0"/>
      </w:pPr>
      <w:r>
        <w:t>Any change to role behavior, presentation of authority, clinical review controls, escalation flow, memory behavior, or action-confirmation policy requires an explicit document update and version increment.</w:t>
      </w:r>
    </w:p>
    <w:p>
      <w:pPr>
        <w:pStyle w:val="ListBullet"/>
        <w:ind w:left="0"/>
      </w:pPr>
      <w:r>
        <w:t>Implementation must not silently diverge from this experience contract.</w:t>
      </w:r>
    </w:p>
    <w:p>
      <w:pPr>
        <w:pStyle w:val="ListBullet"/>
        <w:ind w:left="0"/>
      </w:pPr>
      <w:r>
        <w:t>Where this document conflicts with clinical safety, security, privacy, or regulatory controls, the stricter higher-authority control prevails.</w:t>
      </w:r>
    </w:p>
    <w:p>
      <w:pPr>
        <w:pStyle w:val="Heading1"/>
      </w:pPr>
      <w:r>
        <w:t>16. Version History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00"/>
        <w:gridCol w:w="1944"/>
        <w:gridCol w:w="4608"/>
      </w:tblGrid>
      <w:tr>
        <w:tc>
          <w:tcPr>
            <w:tcW w:type="dxa" w:w="2556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Version</w:t>
            </w:r>
          </w:p>
        </w:tc>
        <w:tc>
          <w:tcPr>
            <w:tcW w:type="dxa" w:w="2556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56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Status</w:t>
            </w:r>
          </w:p>
        </w:tc>
        <w:tc>
          <w:tcPr>
            <w:tcW w:type="dxa" w:w="2556"/>
            <w:shd w:fill="DDECF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Summary</w:t>
            </w:r>
          </w:p>
        </w:tc>
      </w:tr>
      <w:tr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1.0.0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2026-08-24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Approved baseline</w:t>
            </w:r>
          </w:p>
        </w:tc>
        <w:tc>
          <w:tcPr>
            <w:tcW w:type="dxa" w:w="25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Initial unified agent experience specification covering patient, practitioner, pharmacist, operations, governance, handoff, state, visual interaction, and acceptance criteria.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6"/>
      </w:rPr>
      <w:t>Rejuvonix Agent Experience Specification | RAI-UX-002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53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46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46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b w:val="0"/>
      <w:color w:val="5F6978"/>
      <w:sz w:val="18"/>
    </w:rPr>
  </w:style>
  <w:style w:type="paragraph" w:customStyle="1" w:styleId="Lead">
    <w:name w:val="Lead"/>
    <w:rPr>
      <w:rFonts w:ascii="Aptos" w:hAnsi="Aptos"/>
      <w:b w:val="0"/>
      <w:color w:val="374150"/>
      <w:sz w:val="24"/>
    </w:rPr>
  </w:style>
  <w:style w:type="paragraph" w:customStyle="1" w:styleId="Callout">
    <w:name w:val="Callout"/>
    <w:rPr>
      <w:rFonts w:ascii="Aptos" w:hAnsi="Aptos"/>
      <w:b/>
      <w:color w:val="144D5A"/>
      <w:sz w:val="21"/>
    </w:rPr>
  </w:style>
  <w:style w:type="paragraph" w:customStyle="1" w:styleId="Small">
    <w:name w:val="Small"/>
    <w:rPr>
      <w:rFonts w:ascii="Aptos" w:hAnsi="Aptos"/>
      <w:b w:val="0"/>
      <w:color w:val="505A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