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4869" w:rsidRDefault="00B37FC8" w:rsidP="00B37FC8">
      <w:pPr>
        <w:jc w:val="center"/>
      </w:pPr>
      <w:r>
        <w:rPr>
          <w:noProof/>
        </w:rPr>
        <w:drawing>
          <wp:inline distT="0" distB="0" distL="0" distR="0">
            <wp:extent cx="3012142" cy="3012142"/>
            <wp:effectExtent l="0" t="0" r="0" b="0"/>
            <wp:docPr id="83579277" name="Picture 1" descr="A logo with text and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277" name="Picture 1" descr="A logo with text and a circl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2820" cy="3022820"/>
                    </a:xfrm>
                    <a:prstGeom prst="rect">
                      <a:avLst/>
                    </a:prstGeom>
                  </pic:spPr>
                </pic:pic>
              </a:graphicData>
            </a:graphic>
          </wp:inline>
        </w:drawing>
      </w:r>
    </w:p>
    <w:p w:rsidR="00B37FC8" w:rsidRDefault="00B37FC8" w:rsidP="00B37FC8">
      <w:pPr>
        <w:pStyle w:val="Heading1"/>
        <w:tabs>
          <w:tab w:val="left" w:pos="567"/>
          <w:tab w:val="left" w:pos="1134"/>
          <w:tab w:val="center" w:pos="9639"/>
        </w:tabs>
        <w:spacing w:before="0" w:after="0"/>
        <w:ind w:left="714" w:hanging="357"/>
        <w:rPr>
          <w:rFonts w:ascii="Times New Roman" w:eastAsia="Times New Roman" w:hAnsi="Times New Roman" w:cs="Times New Roman"/>
          <w:b w:val="0"/>
          <w:szCs w:val="28"/>
        </w:rPr>
      </w:pPr>
      <w:bookmarkStart w:id="0" w:name="_Toc197958124"/>
      <w:bookmarkStart w:id="1" w:name="_Toc198558463"/>
      <w:r>
        <w:rPr>
          <w:rFonts w:ascii="Times New Roman" w:eastAsia="Times New Roman" w:hAnsi="Times New Roman" w:cs="Times New Roman"/>
          <w:szCs w:val="28"/>
        </w:rPr>
        <w:t>Universiteti “Haxhi Zeka”</w:t>
      </w:r>
      <w:r>
        <w:rPr>
          <w:rFonts w:ascii="Times New Roman" w:eastAsia="Times New Roman" w:hAnsi="Times New Roman" w:cs="Times New Roman"/>
          <w:szCs w:val="28"/>
        </w:rPr>
        <w:br/>
        <w:t>Fakulteti i Biznesit</w:t>
      </w:r>
      <w:bookmarkEnd w:id="0"/>
      <w:bookmarkEnd w:id="1"/>
    </w:p>
    <w:p w:rsidR="00B37FC8" w:rsidRDefault="00B37FC8" w:rsidP="00B37FC8">
      <w:pPr>
        <w:pStyle w:val="Heading1"/>
        <w:tabs>
          <w:tab w:val="left" w:pos="567"/>
          <w:tab w:val="left" w:pos="1134"/>
          <w:tab w:val="center" w:pos="9639"/>
        </w:tabs>
        <w:spacing w:before="0" w:after="0"/>
        <w:ind w:left="714" w:hanging="357"/>
        <w:rPr>
          <w:rFonts w:ascii="Times New Roman" w:eastAsia="Times New Roman" w:hAnsi="Times New Roman" w:cs="Times New Roman"/>
          <w:b w:val="0"/>
          <w:szCs w:val="28"/>
        </w:rPr>
      </w:pPr>
      <w:bookmarkStart w:id="2" w:name="_Toc197958125"/>
      <w:bookmarkStart w:id="3" w:name="_Toc198558464"/>
      <w:r>
        <w:rPr>
          <w:rFonts w:ascii="Times New Roman" w:eastAsia="Times New Roman" w:hAnsi="Times New Roman" w:cs="Times New Roman"/>
          <w:szCs w:val="28"/>
        </w:rPr>
        <w:t>Departamenti i Teknologjisë së Informacionit për Biznes dhe Ekonomi</w:t>
      </w:r>
      <w:bookmarkEnd w:id="2"/>
      <w:bookmarkEnd w:id="3"/>
    </w:p>
    <w:p w:rsidR="00CB14A5" w:rsidRDefault="00CB14A5" w:rsidP="00724ACE"/>
    <w:p w:rsidR="00CB14A5" w:rsidRDefault="00CB14A5" w:rsidP="00724ACE"/>
    <w:p w:rsidR="00B37FC8" w:rsidRDefault="00B37FC8" w:rsidP="00B37FC8">
      <w:pPr>
        <w:pStyle w:val="Heading1"/>
      </w:pPr>
      <w:bookmarkStart w:id="4" w:name="_Toc198558465"/>
      <w:r w:rsidRPr="00CB14A5">
        <w:t>Kuptimi i Kredive dhe Tregut të Kredive Personale në Kosovë: Konceptet, Karakteristikat dhe Analiza e Tregut</w:t>
      </w:r>
      <w:bookmarkEnd w:id="4"/>
    </w:p>
    <w:p w:rsidR="00B37FC8" w:rsidRDefault="00B37FC8" w:rsidP="00B37FC8">
      <w:pPr>
        <w:pStyle w:val="Heading2"/>
      </w:pPr>
      <w:bookmarkStart w:id="5" w:name="_Toc197958127"/>
      <w:bookmarkStart w:id="6" w:name="_Toc198558466"/>
      <w:r>
        <w:t>Lënda: Financat</w:t>
      </w:r>
      <w:bookmarkEnd w:id="5"/>
      <w:bookmarkEnd w:id="6"/>
    </w:p>
    <w:p w:rsidR="00B37FC8" w:rsidRPr="001D7798" w:rsidRDefault="00B37FC8" w:rsidP="00B37FC8">
      <w:pPr>
        <w:jc w:val="center"/>
        <w:rPr>
          <w:b/>
          <w:bCs/>
        </w:rPr>
      </w:pPr>
      <w:r w:rsidRPr="001D7798">
        <w:rPr>
          <w:b/>
          <w:bCs/>
        </w:rPr>
        <w:t>Viti Akademik 2024/25</w:t>
      </w:r>
    </w:p>
    <w:p w:rsidR="00B37FC8" w:rsidRDefault="00B37FC8" w:rsidP="00B37FC8"/>
    <w:p w:rsidR="00B37FC8" w:rsidRDefault="00B37FC8" w:rsidP="00B37FC8">
      <w:pPr>
        <w:jc w:val="center"/>
      </w:pPr>
      <w:r>
        <w:t>Mentorë:</w:t>
      </w:r>
    </w:p>
    <w:p w:rsidR="00B37FC8" w:rsidRDefault="00B37FC8" w:rsidP="00B37FC8">
      <w:pPr>
        <w:jc w:val="center"/>
      </w:pPr>
      <w:r>
        <w:t>Prof. Ass. Dr. Donjeta Morina</w:t>
      </w:r>
    </w:p>
    <w:p w:rsidR="00B37FC8" w:rsidRDefault="00B37FC8" w:rsidP="00B37FC8">
      <w:pPr>
        <w:jc w:val="center"/>
      </w:pPr>
      <w:r>
        <w:t>Punoi:</w:t>
      </w:r>
    </w:p>
    <w:p w:rsidR="00CB14A5" w:rsidRDefault="00B37FC8" w:rsidP="00116C70">
      <w:pPr>
        <w:jc w:val="center"/>
      </w:pPr>
      <w:r>
        <w:t xml:space="preserve">Premtim Morina – 171843238 </w:t>
      </w:r>
    </w:p>
    <w:sdt>
      <w:sdtPr>
        <w:rPr>
          <w:rFonts w:ascii="Times New Roman" w:eastAsiaTheme="minorHAnsi" w:hAnsi="Times New Roman" w:cs="Google Sans Text"/>
          <w:color w:val="1B1C1D"/>
          <w:kern w:val="2"/>
          <w:sz w:val="24"/>
          <w:szCs w:val="20"/>
          <w:lang w:val="sq-AL"/>
          <w14:ligatures w14:val="standardContextual"/>
        </w:rPr>
        <w:id w:val="1901170999"/>
        <w:docPartObj>
          <w:docPartGallery w:val="Table of Contents"/>
          <w:docPartUnique/>
        </w:docPartObj>
      </w:sdtPr>
      <w:sdtEndPr>
        <w:rPr>
          <w:b/>
          <w:bCs/>
          <w:noProof/>
        </w:rPr>
      </w:sdtEndPr>
      <w:sdtContent>
        <w:p w:rsidR="00B37FC8" w:rsidRDefault="00B37FC8">
          <w:pPr>
            <w:pStyle w:val="TOCHeading"/>
          </w:pPr>
          <w:r>
            <w:t>Contents</w:t>
          </w:r>
        </w:p>
        <w:p w:rsidR="00A80D54" w:rsidRDefault="00B37FC8">
          <w:pPr>
            <w:pStyle w:val="TOC1"/>
            <w:tabs>
              <w:tab w:val="right" w:leader="dot" w:pos="8495"/>
            </w:tabs>
            <w:rPr>
              <w:rFonts w:asciiTheme="minorHAnsi" w:eastAsiaTheme="minorEastAsia" w:hAnsiTheme="minorHAnsi" w:cstheme="minorBidi"/>
              <w:noProof/>
              <w:color w:val="auto"/>
              <w:szCs w:val="24"/>
              <w:lang w:val="en-US"/>
            </w:rPr>
          </w:pPr>
          <w:r>
            <w:fldChar w:fldCharType="begin"/>
          </w:r>
          <w:r>
            <w:instrText xml:space="preserve"> TOC \o "1-3" \h \z \u </w:instrText>
          </w:r>
          <w:r>
            <w:fldChar w:fldCharType="separate"/>
          </w:r>
          <w:hyperlink w:anchor="_Toc198558465" w:history="1">
            <w:r w:rsidR="00A80D54" w:rsidRPr="00C17269">
              <w:rPr>
                <w:rStyle w:val="Hyperlink"/>
                <w:noProof/>
              </w:rPr>
              <w:t>Kuptimi i Kredive dhe Tregut të Kredive Personale në Kosovë: Konceptet, Karakteristikat dhe Analiza e Tregut</w:t>
            </w:r>
            <w:r w:rsidR="00A80D54">
              <w:rPr>
                <w:noProof/>
                <w:webHidden/>
              </w:rPr>
              <w:tab/>
            </w:r>
            <w:r w:rsidR="00A80D54">
              <w:rPr>
                <w:noProof/>
                <w:webHidden/>
              </w:rPr>
              <w:fldChar w:fldCharType="begin"/>
            </w:r>
            <w:r w:rsidR="00A80D54">
              <w:rPr>
                <w:noProof/>
                <w:webHidden/>
              </w:rPr>
              <w:instrText xml:space="preserve"> PAGEREF _Toc198558465 \h </w:instrText>
            </w:r>
            <w:r w:rsidR="00A80D54">
              <w:rPr>
                <w:noProof/>
                <w:webHidden/>
              </w:rPr>
            </w:r>
            <w:r w:rsidR="00A80D54">
              <w:rPr>
                <w:noProof/>
                <w:webHidden/>
              </w:rPr>
              <w:fldChar w:fldCharType="separate"/>
            </w:r>
            <w:r w:rsidR="00A80D54">
              <w:rPr>
                <w:noProof/>
                <w:webHidden/>
              </w:rPr>
              <w:t>1</w:t>
            </w:r>
            <w:r w:rsidR="00A80D54">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66" w:history="1">
            <w:r w:rsidRPr="00C17269">
              <w:rPr>
                <w:rStyle w:val="Hyperlink"/>
                <w:noProof/>
              </w:rPr>
              <w:t>Lënda: Financat</w:t>
            </w:r>
            <w:r>
              <w:rPr>
                <w:noProof/>
                <w:webHidden/>
              </w:rPr>
              <w:tab/>
            </w:r>
            <w:r>
              <w:rPr>
                <w:noProof/>
                <w:webHidden/>
              </w:rPr>
              <w:fldChar w:fldCharType="begin"/>
            </w:r>
            <w:r>
              <w:rPr>
                <w:noProof/>
                <w:webHidden/>
              </w:rPr>
              <w:instrText xml:space="preserve"> PAGEREF _Toc198558466 \h </w:instrText>
            </w:r>
            <w:r>
              <w:rPr>
                <w:noProof/>
                <w:webHidden/>
              </w:rPr>
            </w:r>
            <w:r>
              <w:rPr>
                <w:noProof/>
                <w:webHidden/>
              </w:rPr>
              <w:fldChar w:fldCharType="separate"/>
            </w:r>
            <w:r>
              <w:rPr>
                <w:noProof/>
                <w:webHidden/>
              </w:rPr>
              <w:t>1</w:t>
            </w:r>
            <w:r>
              <w:rPr>
                <w:noProof/>
                <w:webHidden/>
              </w:rPr>
              <w:fldChar w:fldCharType="end"/>
            </w:r>
          </w:hyperlink>
        </w:p>
        <w:p w:rsidR="00A80D54" w:rsidRDefault="00A80D54">
          <w:pPr>
            <w:pStyle w:val="TOC1"/>
            <w:tabs>
              <w:tab w:val="right" w:leader="dot" w:pos="8495"/>
            </w:tabs>
            <w:rPr>
              <w:rFonts w:asciiTheme="minorHAnsi" w:eastAsiaTheme="minorEastAsia" w:hAnsiTheme="minorHAnsi" w:cstheme="minorBidi"/>
              <w:noProof/>
              <w:color w:val="auto"/>
              <w:szCs w:val="24"/>
              <w:lang w:val="en-US"/>
            </w:rPr>
          </w:pPr>
          <w:hyperlink w:anchor="_Toc198558467" w:history="1">
            <w:r w:rsidRPr="00C17269">
              <w:rPr>
                <w:rStyle w:val="Hyperlink"/>
                <w:noProof/>
              </w:rPr>
              <w:t>Kuptimi i Kredive dhe Tregut të Kredive Personale në Kosovë: Konceptet, Karakteristikat dhe Analiza e Tregut</w:t>
            </w:r>
            <w:r>
              <w:rPr>
                <w:noProof/>
                <w:webHidden/>
              </w:rPr>
              <w:tab/>
            </w:r>
            <w:r>
              <w:rPr>
                <w:noProof/>
                <w:webHidden/>
              </w:rPr>
              <w:fldChar w:fldCharType="begin"/>
            </w:r>
            <w:r>
              <w:rPr>
                <w:noProof/>
                <w:webHidden/>
              </w:rPr>
              <w:instrText xml:space="preserve"> PAGEREF _Toc198558467 \h </w:instrText>
            </w:r>
            <w:r>
              <w:rPr>
                <w:noProof/>
                <w:webHidden/>
              </w:rPr>
            </w:r>
            <w:r>
              <w:rPr>
                <w:noProof/>
                <w:webHidden/>
              </w:rPr>
              <w:fldChar w:fldCharType="separate"/>
            </w:r>
            <w:r>
              <w:rPr>
                <w:noProof/>
                <w:webHidden/>
              </w:rPr>
              <w:t>3</w:t>
            </w:r>
            <w:r>
              <w:rPr>
                <w:noProof/>
                <w:webHidden/>
              </w:rPr>
              <w:fldChar w:fldCharType="end"/>
            </w:r>
          </w:hyperlink>
        </w:p>
        <w:p w:rsidR="00A80D54" w:rsidRDefault="00A80D54">
          <w:pPr>
            <w:pStyle w:val="TOC1"/>
            <w:tabs>
              <w:tab w:val="right" w:leader="dot" w:pos="8495"/>
            </w:tabs>
            <w:rPr>
              <w:rFonts w:asciiTheme="minorHAnsi" w:eastAsiaTheme="minorEastAsia" w:hAnsiTheme="minorHAnsi" w:cstheme="minorBidi"/>
              <w:noProof/>
              <w:color w:val="auto"/>
              <w:szCs w:val="24"/>
              <w:lang w:val="en-US"/>
            </w:rPr>
          </w:pPr>
          <w:hyperlink w:anchor="_Toc198558468" w:history="1">
            <w:r w:rsidRPr="00C17269">
              <w:rPr>
                <w:rStyle w:val="Hyperlink"/>
                <w:noProof/>
              </w:rPr>
              <w:t>Pjesa 1: Kuptimi i Kredive - Konceptet dhe Llojet Kryesore</w:t>
            </w:r>
            <w:r>
              <w:rPr>
                <w:noProof/>
                <w:webHidden/>
              </w:rPr>
              <w:tab/>
            </w:r>
            <w:r>
              <w:rPr>
                <w:noProof/>
                <w:webHidden/>
              </w:rPr>
              <w:fldChar w:fldCharType="begin"/>
            </w:r>
            <w:r>
              <w:rPr>
                <w:noProof/>
                <w:webHidden/>
              </w:rPr>
              <w:instrText xml:space="preserve"> PAGEREF _Toc198558468 \h </w:instrText>
            </w:r>
            <w:r>
              <w:rPr>
                <w:noProof/>
                <w:webHidden/>
              </w:rPr>
            </w:r>
            <w:r>
              <w:rPr>
                <w:noProof/>
                <w:webHidden/>
              </w:rPr>
              <w:fldChar w:fldCharType="separate"/>
            </w:r>
            <w:r>
              <w:rPr>
                <w:noProof/>
                <w:webHidden/>
              </w:rPr>
              <w:t>3</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69" w:history="1">
            <w:r w:rsidRPr="00C17269">
              <w:rPr>
                <w:rStyle w:val="Hyperlink"/>
                <w:noProof/>
              </w:rPr>
              <w:t>Seksioni 1.1: Anatomia e një Kredie - Komponentët Bazë</w:t>
            </w:r>
            <w:r>
              <w:rPr>
                <w:noProof/>
                <w:webHidden/>
              </w:rPr>
              <w:tab/>
            </w:r>
            <w:r>
              <w:rPr>
                <w:noProof/>
                <w:webHidden/>
              </w:rPr>
              <w:fldChar w:fldCharType="begin"/>
            </w:r>
            <w:r>
              <w:rPr>
                <w:noProof/>
                <w:webHidden/>
              </w:rPr>
              <w:instrText xml:space="preserve"> PAGEREF _Toc198558469 \h </w:instrText>
            </w:r>
            <w:r>
              <w:rPr>
                <w:noProof/>
                <w:webHidden/>
              </w:rPr>
            </w:r>
            <w:r>
              <w:rPr>
                <w:noProof/>
                <w:webHidden/>
              </w:rPr>
              <w:fldChar w:fldCharType="separate"/>
            </w:r>
            <w:r>
              <w:rPr>
                <w:noProof/>
                <w:webHidden/>
              </w:rPr>
              <w:t>3</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0" w:history="1">
            <w:r w:rsidRPr="00C17269">
              <w:rPr>
                <w:rStyle w:val="Hyperlink"/>
                <w:noProof/>
              </w:rPr>
              <w:t>Seksioni 1.2: Llojet e Kredive dhe Diferencimi i Tyre</w:t>
            </w:r>
            <w:r>
              <w:rPr>
                <w:noProof/>
                <w:webHidden/>
              </w:rPr>
              <w:tab/>
            </w:r>
            <w:r>
              <w:rPr>
                <w:noProof/>
                <w:webHidden/>
              </w:rPr>
              <w:fldChar w:fldCharType="begin"/>
            </w:r>
            <w:r>
              <w:rPr>
                <w:noProof/>
                <w:webHidden/>
              </w:rPr>
              <w:instrText xml:space="preserve"> PAGEREF _Toc198558470 \h </w:instrText>
            </w:r>
            <w:r>
              <w:rPr>
                <w:noProof/>
                <w:webHidden/>
              </w:rPr>
            </w:r>
            <w:r>
              <w:rPr>
                <w:noProof/>
                <w:webHidden/>
              </w:rPr>
              <w:fldChar w:fldCharType="separate"/>
            </w:r>
            <w:r>
              <w:rPr>
                <w:noProof/>
                <w:webHidden/>
              </w:rPr>
              <w:t>8</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1" w:history="1">
            <w:r w:rsidRPr="00C17269">
              <w:rPr>
                <w:rStyle w:val="Hyperlink"/>
                <w:noProof/>
              </w:rPr>
              <w:t>Seksioni 1.3: Cikli Jetësor i Kredisë: Nga Aplikimi te Mbyllja</w:t>
            </w:r>
            <w:r>
              <w:rPr>
                <w:noProof/>
                <w:webHidden/>
              </w:rPr>
              <w:tab/>
            </w:r>
            <w:r>
              <w:rPr>
                <w:noProof/>
                <w:webHidden/>
              </w:rPr>
              <w:fldChar w:fldCharType="begin"/>
            </w:r>
            <w:r>
              <w:rPr>
                <w:noProof/>
                <w:webHidden/>
              </w:rPr>
              <w:instrText xml:space="preserve"> PAGEREF _Toc198558471 \h </w:instrText>
            </w:r>
            <w:r>
              <w:rPr>
                <w:noProof/>
                <w:webHidden/>
              </w:rPr>
            </w:r>
            <w:r>
              <w:rPr>
                <w:noProof/>
                <w:webHidden/>
              </w:rPr>
              <w:fldChar w:fldCharType="separate"/>
            </w:r>
            <w:r>
              <w:rPr>
                <w:noProof/>
                <w:webHidden/>
              </w:rPr>
              <w:t>17</w:t>
            </w:r>
            <w:r>
              <w:rPr>
                <w:noProof/>
                <w:webHidden/>
              </w:rPr>
              <w:fldChar w:fldCharType="end"/>
            </w:r>
          </w:hyperlink>
        </w:p>
        <w:p w:rsidR="00A80D54" w:rsidRDefault="00A80D54">
          <w:pPr>
            <w:pStyle w:val="TOC1"/>
            <w:tabs>
              <w:tab w:val="right" w:leader="dot" w:pos="8495"/>
            </w:tabs>
            <w:rPr>
              <w:rFonts w:asciiTheme="minorHAnsi" w:eastAsiaTheme="minorEastAsia" w:hAnsiTheme="minorHAnsi" w:cstheme="minorBidi"/>
              <w:noProof/>
              <w:color w:val="auto"/>
              <w:szCs w:val="24"/>
              <w:lang w:val="en-US"/>
            </w:rPr>
          </w:pPr>
          <w:hyperlink w:anchor="_Toc198558472" w:history="1">
            <w:r w:rsidRPr="00C17269">
              <w:rPr>
                <w:rStyle w:val="Hyperlink"/>
                <w:noProof/>
              </w:rPr>
              <w:t>Pjesa 2: Analizë Strukturore e Tregut të Kredive Personale në Kosovë</w:t>
            </w:r>
            <w:r>
              <w:rPr>
                <w:noProof/>
                <w:webHidden/>
              </w:rPr>
              <w:tab/>
            </w:r>
            <w:r>
              <w:rPr>
                <w:noProof/>
                <w:webHidden/>
              </w:rPr>
              <w:fldChar w:fldCharType="begin"/>
            </w:r>
            <w:r>
              <w:rPr>
                <w:noProof/>
                <w:webHidden/>
              </w:rPr>
              <w:instrText xml:space="preserve"> PAGEREF _Toc198558472 \h </w:instrText>
            </w:r>
            <w:r>
              <w:rPr>
                <w:noProof/>
                <w:webHidden/>
              </w:rPr>
            </w:r>
            <w:r>
              <w:rPr>
                <w:noProof/>
                <w:webHidden/>
              </w:rPr>
              <w:fldChar w:fldCharType="separate"/>
            </w:r>
            <w:r>
              <w:rPr>
                <w:noProof/>
                <w:webHidden/>
              </w:rPr>
              <w:t>24</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3" w:history="1">
            <w:r w:rsidRPr="00C17269">
              <w:rPr>
                <w:rStyle w:val="Hyperlink"/>
                <w:noProof/>
              </w:rPr>
              <w:t>Seksioni 2.1: Mjedisi Financiar dhe Ekonomik në Kosovë</w:t>
            </w:r>
            <w:r>
              <w:rPr>
                <w:noProof/>
                <w:webHidden/>
              </w:rPr>
              <w:tab/>
            </w:r>
            <w:r>
              <w:rPr>
                <w:noProof/>
                <w:webHidden/>
              </w:rPr>
              <w:fldChar w:fldCharType="begin"/>
            </w:r>
            <w:r>
              <w:rPr>
                <w:noProof/>
                <w:webHidden/>
              </w:rPr>
              <w:instrText xml:space="preserve"> PAGEREF _Toc198558473 \h </w:instrText>
            </w:r>
            <w:r>
              <w:rPr>
                <w:noProof/>
                <w:webHidden/>
              </w:rPr>
            </w:r>
            <w:r>
              <w:rPr>
                <w:noProof/>
                <w:webHidden/>
              </w:rPr>
              <w:fldChar w:fldCharType="separate"/>
            </w:r>
            <w:r>
              <w:rPr>
                <w:noProof/>
                <w:webHidden/>
              </w:rPr>
              <w:t>24</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4" w:history="1">
            <w:r w:rsidRPr="00C17269">
              <w:rPr>
                <w:rStyle w:val="Hyperlink"/>
                <w:noProof/>
              </w:rPr>
              <w:t>Seksioni 2.2: Aktorët Kryesorë në Tregun e Kredive Personale</w:t>
            </w:r>
            <w:r>
              <w:rPr>
                <w:noProof/>
                <w:webHidden/>
              </w:rPr>
              <w:tab/>
            </w:r>
            <w:r>
              <w:rPr>
                <w:noProof/>
                <w:webHidden/>
              </w:rPr>
              <w:fldChar w:fldCharType="begin"/>
            </w:r>
            <w:r>
              <w:rPr>
                <w:noProof/>
                <w:webHidden/>
              </w:rPr>
              <w:instrText xml:space="preserve"> PAGEREF _Toc198558474 \h </w:instrText>
            </w:r>
            <w:r>
              <w:rPr>
                <w:noProof/>
                <w:webHidden/>
              </w:rPr>
            </w:r>
            <w:r>
              <w:rPr>
                <w:noProof/>
                <w:webHidden/>
              </w:rPr>
              <w:fldChar w:fldCharType="separate"/>
            </w:r>
            <w:r>
              <w:rPr>
                <w:noProof/>
                <w:webHidden/>
              </w:rPr>
              <w:t>28</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5" w:history="1">
            <w:r w:rsidRPr="00C17269">
              <w:rPr>
                <w:rStyle w:val="Hyperlink"/>
                <w:noProof/>
              </w:rPr>
              <w:t xml:space="preserve">Seksioni 2.3: Produktet e Kredive </w:t>
            </w:r>
            <w:r>
              <w:rPr>
                <w:noProof/>
                <w:webHidden/>
              </w:rPr>
              <w:tab/>
            </w:r>
            <w:r>
              <w:rPr>
                <w:noProof/>
                <w:webHidden/>
              </w:rPr>
              <w:fldChar w:fldCharType="begin"/>
            </w:r>
            <w:r>
              <w:rPr>
                <w:noProof/>
                <w:webHidden/>
              </w:rPr>
              <w:instrText xml:space="preserve"> PAGEREF _Toc198558475 \h </w:instrText>
            </w:r>
            <w:r>
              <w:rPr>
                <w:noProof/>
                <w:webHidden/>
              </w:rPr>
            </w:r>
            <w:r>
              <w:rPr>
                <w:noProof/>
                <w:webHidden/>
              </w:rPr>
              <w:fldChar w:fldCharType="separate"/>
            </w:r>
            <w:r>
              <w:rPr>
                <w:noProof/>
                <w:webHidden/>
              </w:rPr>
              <w:t>31</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6" w:history="1">
            <w:r w:rsidRPr="00C17269">
              <w:rPr>
                <w:rStyle w:val="Hyperlink"/>
                <w:noProof/>
              </w:rPr>
              <w:t>Seksioni 2.4: Dinamikat e Tregut: Madhësia, Rritja dhe Trendet</w:t>
            </w:r>
            <w:r>
              <w:rPr>
                <w:noProof/>
                <w:webHidden/>
              </w:rPr>
              <w:tab/>
            </w:r>
            <w:r>
              <w:rPr>
                <w:noProof/>
                <w:webHidden/>
              </w:rPr>
              <w:fldChar w:fldCharType="begin"/>
            </w:r>
            <w:r>
              <w:rPr>
                <w:noProof/>
                <w:webHidden/>
              </w:rPr>
              <w:instrText xml:space="preserve"> PAGEREF _Toc198558476 \h </w:instrText>
            </w:r>
            <w:r>
              <w:rPr>
                <w:noProof/>
                <w:webHidden/>
              </w:rPr>
            </w:r>
            <w:r>
              <w:rPr>
                <w:noProof/>
                <w:webHidden/>
              </w:rPr>
              <w:fldChar w:fldCharType="separate"/>
            </w:r>
            <w:r>
              <w:rPr>
                <w:noProof/>
                <w:webHidden/>
              </w:rPr>
              <w:t>35</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7" w:history="1">
            <w:r w:rsidRPr="00C17269">
              <w:rPr>
                <w:rStyle w:val="Hyperlink"/>
                <w:noProof/>
              </w:rPr>
              <w:t>Seksioni 2.5: Korniza Rregullatore dhe Mbrojtja e Konsumatorit</w:t>
            </w:r>
            <w:r>
              <w:rPr>
                <w:noProof/>
                <w:webHidden/>
              </w:rPr>
              <w:tab/>
            </w:r>
            <w:r>
              <w:rPr>
                <w:noProof/>
                <w:webHidden/>
              </w:rPr>
              <w:fldChar w:fldCharType="begin"/>
            </w:r>
            <w:r>
              <w:rPr>
                <w:noProof/>
                <w:webHidden/>
              </w:rPr>
              <w:instrText xml:space="preserve"> PAGEREF _Toc198558477 \h </w:instrText>
            </w:r>
            <w:r>
              <w:rPr>
                <w:noProof/>
                <w:webHidden/>
              </w:rPr>
            </w:r>
            <w:r>
              <w:rPr>
                <w:noProof/>
                <w:webHidden/>
              </w:rPr>
              <w:fldChar w:fldCharType="separate"/>
            </w:r>
            <w:r>
              <w:rPr>
                <w:noProof/>
                <w:webHidden/>
              </w:rPr>
              <w:t>38</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78" w:history="1">
            <w:r w:rsidRPr="00C17269">
              <w:rPr>
                <w:rStyle w:val="Hyperlink"/>
                <w:noProof/>
              </w:rPr>
              <w:t>Seksioni 2.6: Faktorët që Nxisin Kërkesën për Kredi Personale</w:t>
            </w:r>
            <w:r>
              <w:rPr>
                <w:noProof/>
                <w:webHidden/>
              </w:rPr>
              <w:tab/>
            </w:r>
            <w:r>
              <w:rPr>
                <w:noProof/>
                <w:webHidden/>
              </w:rPr>
              <w:fldChar w:fldCharType="begin"/>
            </w:r>
            <w:r>
              <w:rPr>
                <w:noProof/>
                <w:webHidden/>
              </w:rPr>
              <w:instrText xml:space="preserve"> PAGEREF _Toc198558478 \h </w:instrText>
            </w:r>
            <w:r>
              <w:rPr>
                <w:noProof/>
                <w:webHidden/>
              </w:rPr>
            </w:r>
            <w:r>
              <w:rPr>
                <w:noProof/>
                <w:webHidden/>
              </w:rPr>
              <w:fldChar w:fldCharType="separate"/>
            </w:r>
            <w:r>
              <w:rPr>
                <w:noProof/>
                <w:webHidden/>
              </w:rPr>
              <w:t>42</w:t>
            </w:r>
            <w:r>
              <w:rPr>
                <w:noProof/>
                <w:webHidden/>
              </w:rPr>
              <w:fldChar w:fldCharType="end"/>
            </w:r>
          </w:hyperlink>
        </w:p>
        <w:p w:rsidR="00A80D54" w:rsidRDefault="00A80D54">
          <w:pPr>
            <w:pStyle w:val="TOC1"/>
            <w:tabs>
              <w:tab w:val="right" w:leader="dot" w:pos="8495"/>
            </w:tabs>
            <w:rPr>
              <w:rFonts w:asciiTheme="minorHAnsi" w:eastAsiaTheme="minorEastAsia" w:hAnsiTheme="minorHAnsi" w:cstheme="minorBidi"/>
              <w:noProof/>
              <w:color w:val="auto"/>
              <w:szCs w:val="24"/>
              <w:lang w:val="en-US"/>
            </w:rPr>
          </w:pPr>
          <w:hyperlink w:anchor="_Toc198558479" w:history="1">
            <w:r w:rsidRPr="00C17269">
              <w:rPr>
                <w:rStyle w:val="Hyperlink"/>
                <w:noProof/>
              </w:rPr>
              <w:t>Pjesa 3: Përmbledhje Analitike dhe Rekomandime Kryesore</w:t>
            </w:r>
            <w:r>
              <w:rPr>
                <w:noProof/>
                <w:webHidden/>
              </w:rPr>
              <w:tab/>
            </w:r>
            <w:r>
              <w:rPr>
                <w:noProof/>
                <w:webHidden/>
              </w:rPr>
              <w:fldChar w:fldCharType="begin"/>
            </w:r>
            <w:r>
              <w:rPr>
                <w:noProof/>
                <w:webHidden/>
              </w:rPr>
              <w:instrText xml:space="preserve"> PAGEREF _Toc198558479 \h </w:instrText>
            </w:r>
            <w:r>
              <w:rPr>
                <w:noProof/>
                <w:webHidden/>
              </w:rPr>
            </w:r>
            <w:r>
              <w:rPr>
                <w:noProof/>
                <w:webHidden/>
              </w:rPr>
              <w:fldChar w:fldCharType="separate"/>
            </w:r>
            <w:r>
              <w:rPr>
                <w:noProof/>
                <w:webHidden/>
              </w:rPr>
              <w:t>45</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80" w:history="1">
            <w:r w:rsidRPr="00C17269">
              <w:rPr>
                <w:rStyle w:val="Hyperlink"/>
                <w:noProof/>
              </w:rPr>
              <w:t>3.1 Mësimet Kyçe nga Bazat e Kredisë</w:t>
            </w:r>
            <w:r>
              <w:rPr>
                <w:noProof/>
                <w:webHidden/>
              </w:rPr>
              <w:tab/>
            </w:r>
            <w:r>
              <w:rPr>
                <w:noProof/>
                <w:webHidden/>
              </w:rPr>
              <w:fldChar w:fldCharType="begin"/>
            </w:r>
            <w:r>
              <w:rPr>
                <w:noProof/>
                <w:webHidden/>
              </w:rPr>
              <w:instrText xml:space="preserve"> PAGEREF _Toc198558480 \h </w:instrText>
            </w:r>
            <w:r>
              <w:rPr>
                <w:noProof/>
                <w:webHidden/>
              </w:rPr>
            </w:r>
            <w:r>
              <w:rPr>
                <w:noProof/>
                <w:webHidden/>
              </w:rPr>
              <w:fldChar w:fldCharType="separate"/>
            </w:r>
            <w:r>
              <w:rPr>
                <w:noProof/>
                <w:webHidden/>
              </w:rPr>
              <w:t>45</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81" w:history="1">
            <w:r w:rsidRPr="00C17269">
              <w:rPr>
                <w:rStyle w:val="Hyperlink"/>
                <w:noProof/>
              </w:rPr>
              <w:t>3.2 Analiza Përmbledhëse e Tregut të Kredive në Kosovë</w:t>
            </w:r>
            <w:r>
              <w:rPr>
                <w:noProof/>
                <w:webHidden/>
              </w:rPr>
              <w:tab/>
            </w:r>
            <w:r>
              <w:rPr>
                <w:noProof/>
                <w:webHidden/>
              </w:rPr>
              <w:fldChar w:fldCharType="begin"/>
            </w:r>
            <w:r>
              <w:rPr>
                <w:noProof/>
                <w:webHidden/>
              </w:rPr>
              <w:instrText xml:space="preserve"> PAGEREF _Toc198558481 \h </w:instrText>
            </w:r>
            <w:r>
              <w:rPr>
                <w:noProof/>
                <w:webHidden/>
              </w:rPr>
            </w:r>
            <w:r>
              <w:rPr>
                <w:noProof/>
                <w:webHidden/>
              </w:rPr>
              <w:fldChar w:fldCharType="separate"/>
            </w:r>
            <w:r>
              <w:rPr>
                <w:noProof/>
                <w:webHidden/>
              </w:rPr>
              <w:t>46</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82" w:history="1">
            <w:r w:rsidRPr="00C17269">
              <w:rPr>
                <w:rStyle w:val="Hyperlink"/>
                <w:noProof/>
              </w:rPr>
              <w:t>3.3 Reflektime dhe Rekomandime për Politikat Publike</w:t>
            </w:r>
            <w:r>
              <w:rPr>
                <w:noProof/>
                <w:webHidden/>
              </w:rPr>
              <w:tab/>
            </w:r>
            <w:r>
              <w:rPr>
                <w:noProof/>
                <w:webHidden/>
              </w:rPr>
              <w:fldChar w:fldCharType="begin"/>
            </w:r>
            <w:r>
              <w:rPr>
                <w:noProof/>
                <w:webHidden/>
              </w:rPr>
              <w:instrText xml:space="preserve"> PAGEREF _Toc198558482 \h </w:instrText>
            </w:r>
            <w:r>
              <w:rPr>
                <w:noProof/>
                <w:webHidden/>
              </w:rPr>
            </w:r>
            <w:r>
              <w:rPr>
                <w:noProof/>
                <w:webHidden/>
              </w:rPr>
              <w:fldChar w:fldCharType="separate"/>
            </w:r>
            <w:r>
              <w:rPr>
                <w:noProof/>
                <w:webHidden/>
              </w:rPr>
              <w:t>47</w:t>
            </w:r>
            <w:r>
              <w:rPr>
                <w:noProof/>
                <w:webHidden/>
              </w:rPr>
              <w:fldChar w:fldCharType="end"/>
            </w:r>
          </w:hyperlink>
        </w:p>
        <w:p w:rsidR="00A80D54" w:rsidRDefault="00A80D54">
          <w:pPr>
            <w:pStyle w:val="TOC2"/>
            <w:tabs>
              <w:tab w:val="right" w:leader="dot" w:pos="8495"/>
            </w:tabs>
            <w:rPr>
              <w:rFonts w:asciiTheme="minorHAnsi" w:eastAsiaTheme="minorEastAsia" w:hAnsiTheme="minorHAnsi" w:cstheme="minorBidi"/>
              <w:noProof/>
              <w:color w:val="auto"/>
              <w:szCs w:val="24"/>
              <w:lang w:val="en-US"/>
            </w:rPr>
          </w:pPr>
          <w:hyperlink w:anchor="_Toc198558483" w:history="1">
            <w:r w:rsidRPr="00C17269">
              <w:rPr>
                <w:rStyle w:val="Hyperlink"/>
                <w:noProof/>
              </w:rPr>
              <w:t>Veprat e cituara</w:t>
            </w:r>
            <w:r>
              <w:rPr>
                <w:noProof/>
                <w:webHidden/>
              </w:rPr>
              <w:tab/>
            </w:r>
            <w:r>
              <w:rPr>
                <w:noProof/>
                <w:webHidden/>
              </w:rPr>
              <w:fldChar w:fldCharType="begin"/>
            </w:r>
            <w:r>
              <w:rPr>
                <w:noProof/>
                <w:webHidden/>
              </w:rPr>
              <w:instrText xml:space="preserve"> PAGEREF _Toc198558483 \h </w:instrText>
            </w:r>
            <w:r>
              <w:rPr>
                <w:noProof/>
                <w:webHidden/>
              </w:rPr>
            </w:r>
            <w:r>
              <w:rPr>
                <w:noProof/>
                <w:webHidden/>
              </w:rPr>
              <w:fldChar w:fldCharType="separate"/>
            </w:r>
            <w:r>
              <w:rPr>
                <w:noProof/>
                <w:webHidden/>
              </w:rPr>
              <w:t>48</w:t>
            </w:r>
            <w:r>
              <w:rPr>
                <w:noProof/>
                <w:webHidden/>
              </w:rPr>
              <w:fldChar w:fldCharType="end"/>
            </w:r>
          </w:hyperlink>
        </w:p>
        <w:p w:rsidR="00B37FC8" w:rsidRDefault="00B37FC8">
          <w:r>
            <w:rPr>
              <w:b/>
              <w:bCs/>
              <w:noProof/>
            </w:rPr>
            <w:fldChar w:fldCharType="end"/>
          </w:r>
        </w:p>
      </w:sdtContent>
    </w:sdt>
    <w:p w:rsidR="00CB14A5" w:rsidRDefault="00CB14A5" w:rsidP="00724ACE"/>
    <w:p w:rsidR="00CB14A5" w:rsidRDefault="00CB14A5" w:rsidP="00724ACE"/>
    <w:p w:rsidR="009B74E1" w:rsidRDefault="009B74E1" w:rsidP="00724ACE"/>
    <w:p w:rsidR="009B74E1" w:rsidRDefault="009B74E1" w:rsidP="00724ACE"/>
    <w:p w:rsidR="00CB14A5" w:rsidRDefault="00CB14A5" w:rsidP="00D11F02">
      <w:pPr>
        <w:pStyle w:val="Heading1"/>
      </w:pPr>
      <w:bookmarkStart w:id="7" w:name="_Toc198558468"/>
      <w:r w:rsidRPr="00CB14A5">
        <w:lastRenderedPageBreak/>
        <w:t>Pjesa 1: Kuptimi i Kredive</w:t>
      </w:r>
      <w:r w:rsidR="006E0EA1">
        <w:t xml:space="preserve"> -</w:t>
      </w:r>
      <w:r w:rsidRPr="00CB14A5">
        <w:t xml:space="preserve"> Konceptet dhe Llojet Kryesore</w:t>
      </w:r>
      <w:bookmarkEnd w:id="7"/>
    </w:p>
    <w:p w:rsidR="00CB14A5" w:rsidRDefault="00CB14A5" w:rsidP="003838A9">
      <w:pPr>
        <w:pStyle w:val="Heading2"/>
      </w:pPr>
      <w:bookmarkStart w:id="8" w:name="_Toc198558469"/>
      <w:r w:rsidRPr="00CB14A5">
        <w:t xml:space="preserve">Seksioni 1.1: Anatomia e një </w:t>
      </w:r>
      <w:r w:rsidR="006E0EA1">
        <w:t>K</w:t>
      </w:r>
      <w:r w:rsidRPr="00CB14A5">
        <w:t>redie</w:t>
      </w:r>
      <w:r w:rsidR="006E0EA1">
        <w:t xml:space="preserve"> - </w:t>
      </w:r>
      <w:r w:rsidR="006E0EA1" w:rsidRPr="006E0EA1">
        <w:t>Komponentët Bazë</w:t>
      </w:r>
      <w:bookmarkEnd w:id="8"/>
    </w:p>
    <w:p w:rsidR="00CB14A5" w:rsidRDefault="00CB14A5" w:rsidP="00724ACE">
      <w:pPr>
        <w:widowControl w:val="0"/>
        <w:numPr>
          <w:ilvl w:val="0"/>
          <w:numId w:val="1"/>
        </w:numPr>
        <w:pBdr>
          <w:top w:val="nil"/>
          <w:left w:val="nil"/>
          <w:bottom w:val="nil"/>
          <w:right w:val="nil"/>
          <w:between w:val="nil"/>
        </w:pBdr>
        <w:spacing w:after="120"/>
        <w:jc w:val="left"/>
      </w:pPr>
      <w:r w:rsidRPr="00CB14A5">
        <w:rPr>
          <w:b/>
          <w:bCs/>
        </w:rPr>
        <w:t>1.1.1 Përkufizimi i një Kredie</w:t>
      </w:r>
    </w:p>
    <w:p w:rsidR="00CB14A5" w:rsidRPr="0014475F" w:rsidRDefault="00CB14A5" w:rsidP="00724ACE">
      <w:pPr>
        <w:pBdr>
          <w:top w:val="nil"/>
          <w:left w:val="nil"/>
          <w:bottom w:val="nil"/>
          <w:right w:val="nil"/>
          <w:between w:val="nil"/>
        </w:pBdr>
        <w:spacing w:before="240"/>
        <w:rPr>
          <w:lang w:val="en-US"/>
        </w:rPr>
      </w:pPr>
      <w:r w:rsidRPr="00CB14A5">
        <w:t>Një kredi është në thelb një lloj mjeti kreditimi ku njëra palë, huadhënësi (si një korporatë, institucion financiar ose qeveri), i jep par</w:t>
      </w:r>
      <w:r w:rsidR="0014475F">
        <w:t>apr</w:t>
      </w:r>
      <w:r w:rsidRPr="00CB14A5">
        <w:t xml:space="preserve">akisht një shumë parash një pale tjetër, huamarrësit. </w:t>
      </w:r>
      <w:proofErr w:type="spellStart"/>
      <w:r w:rsidR="0014475F" w:rsidRPr="0014475F">
        <w:rPr>
          <w:lang w:val="en-US"/>
        </w:rPr>
        <w:t>Huamarrësi</w:t>
      </w:r>
      <w:proofErr w:type="spellEnd"/>
      <w:r w:rsidR="0014475F" w:rsidRPr="0014475F">
        <w:rPr>
          <w:lang w:val="en-US"/>
        </w:rPr>
        <w:t xml:space="preserve"> </w:t>
      </w:r>
      <w:proofErr w:type="spellStart"/>
      <w:r w:rsidR="0014475F" w:rsidRPr="0014475F">
        <w:rPr>
          <w:lang w:val="en-US"/>
        </w:rPr>
        <w:t>angazhohet</w:t>
      </w:r>
      <w:proofErr w:type="spellEnd"/>
      <w:r w:rsidR="0014475F" w:rsidRPr="0014475F">
        <w:rPr>
          <w:lang w:val="en-US"/>
        </w:rPr>
        <w:t xml:space="preserve"> </w:t>
      </w:r>
      <w:proofErr w:type="spellStart"/>
      <w:r w:rsidR="0014475F" w:rsidRPr="0014475F">
        <w:rPr>
          <w:lang w:val="en-US"/>
        </w:rPr>
        <w:t>të</w:t>
      </w:r>
      <w:proofErr w:type="spellEnd"/>
      <w:r w:rsidR="0014475F" w:rsidRPr="0014475F">
        <w:rPr>
          <w:lang w:val="en-US"/>
        </w:rPr>
        <w:t xml:space="preserve"> </w:t>
      </w:r>
      <w:proofErr w:type="spellStart"/>
      <w:r w:rsidR="0014475F" w:rsidRPr="0014475F">
        <w:rPr>
          <w:lang w:val="en-US"/>
        </w:rPr>
        <w:t>shlyejë</w:t>
      </w:r>
      <w:proofErr w:type="spellEnd"/>
      <w:r w:rsidR="0014475F" w:rsidRPr="0014475F">
        <w:rPr>
          <w:lang w:val="en-US"/>
        </w:rPr>
        <w:t xml:space="preserve"> </w:t>
      </w:r>
      <w:proofErr w:type="spellStart"/>
      <w:r w:rsidR="0014475F" w:rsidRPr="0014475F">
        <w:rPr>
          <w:lang w:val="en-US"/>
        </w:rPr>
        <w:t>shumën</w:t>
      </w:r>
      <w:proofErr w:type="spellEnd"/>
      <w:r w:rsidR="0014475F" w:rsidRPr="0014475F">
        <w:rPr>
          <w:lang w:val="en-US"/>
        </w:rPr>
        <w:t xml:space="preserve"> e </w:t>
      </w:r>
      <w:proofErr w:type="spellStart"/>
      <w:r w:rsidR="0014475F" w:rsidRPr="0014475F">
        <w:rPr>
          <w:lang w:val="en-US"/>
        </w:rPr>
        <w:t>marrë</w:t>
      </w:r>
      <w:proofErr w:type="spellEnd"/>
      <w:r w:rsidR="0014475F" w:rsidRPr="0014475F">
        <w:rPr>
          <w:lang w:val="en-US"/>
        </w:rPr>
        <w:t xml:space="preserve"> </w:t>
      </w:r>
      <w:proofErr w:type="spellStart"/>
      <w:r w:rsidR="0014475F" w:rsidRPr="0014475F">
        <w:rPr>
          <w:lang w:val="en-US"/>
        </w:rPr>
        <w:t>hua</w:t>
      </w:r>
      <w:proofErr w:type="spellEnd"/>
      <w:r w:rsidR="0014475F" w:rsidRPr="0014475F">
        <w:rPr>
          <w:lang w:val="en-US"/>
        </w:rPr>
        <w:t xml:space="preserve">, e </w:t>
      </w:r>
      <w:proofErr w:type="spellStart"/>
      <w:r w:rsidR="0014475F" w:rsidRPr="0014475F">
        <w:rPr>
          <w:lang w:val="en-US"/>
        </w:rPr>
        <w:t>njohur</w:t>
      </w:r>
      <w:proofErr w:type="spellEnd"/>
      <w:r w:rsidR="0014475F" w:rsidRPr="0014475F">
        <w:rPr>
          <w:lang w:val="en-US"/>
        </w:rPr>
        <w:t xml:space="preserve"> </w:t>
      </w:r>
      <w:proofErr w:type="spellStart"/>
      <w:r w:rsidR="0014475F" w:rsidRPr="0014475F">
        <w:rPr>
          <w:lang w:val="en-US"/>
        </w:rPr>
        <w:t>si</w:t>
      </w:r>
      <w:proofErr w:type="spellEnd"/>
      <w:r w:rsidR="0014475F" w:rsidRPr="0014475F">
        <w:rPr>
          <w:lang w:val="en-US"/>
        </w:rPr>
        <w:t xml:space="preserve"> </w:t>
      </w:r>
      <w:proofErr w:type="spellStart"/>
      <w:r w:rsidR="0014475F" w:rsidRPr="0014475F">
        <w:rPr>
          <w:lang w:val="en-US"/>
        </w:rPr>
        <w:t>shuma</w:t>
      </w:r>
      <w:proofErr w:type="spellEnd"/>
      <w:r w:rsidR="0014475F" w:rsidRPr="0014475F">
        <w:rPr>
          <w:lang w:val="en-US"/>
        </w:rPr>
        <w:t xml:space="preserve"> </w:t>
      </w:r>
      <w:proofErr w:type="spellStart"/>
      <w:r w:rsidR="0014475F" w:rsidRPr="0014475F">
        <w:rPr>
          <w:lang w:val="en-US"/>
        </w:rPr>
        <w:t>kryesore</w:t>
      </w:r>
      <w:proofErr w:type="spellEnd"/>
      <w:r w:rsidR="0014475F" w:rsidRPr="0014475F">
        <w:rPr>
          <w:lang w:val="en-US"/>
        </w:rPr>
        <w:t xml:space="preserve">, </w:t>
      </w:r>
      <w:proofErr w:type="spellStart"/>
      <w:r w:rsidR="0014475F" w:rsidRPr="0014475F">
        <w:rPr>
          <w:lang w:val="en-US"/>
        </w:rPr>
        <w:t>në</w:t>
      </w:r>
      <w:proofErr w:type="spellEnd"/>
      <w:r w:rsidR="0014475F" w:rsidRPr="0014475F">
        <w:rPr>
          <w:lang w:val="en-US"/>
        </w:rPr>
        <w:t xml:space="preserve"> </w:t>
      </w:r>
      <w:proofErr w:type="spellStart"/>
      <w:r w:rsidR="0014475F" w:rsidRPr="0014475F">
        <w:rPr>
          <w:lang w:val="en-US"/>
        </w:rPr>
        <w:t>një</w:t>
      </w:r>
      <w:proofErr w:type="spellEnd"/>
      <w:r w:rsidR="0014475F" w:rsidRPr="0014475F">
        <w:rPr>
          <w:lang w:val="en-US"/>
        </w:rPr>
        <w:t xml:space="preserve"> </w:t>
      </w:r>
      <w:proofErr w:type="spellStart"/>
      <w:r w:rsidR="0014475F" w:rsidRPr="0014475F">
        <w:rPr>
          <w:lang w:val="en-US"/>
        </w:rPr>
        <w:t>datë</w:t>
      </w:r>
      <w:proofErr w:type="spellEnd"/>
      <w:r w:rsidR="0014475F" w:rsidRPr="0014475F">
        <w:rPr>
          <w:lang w:val="en-US"/>
        </w:rPr>
        <w:t xml:space="preserve"> </w:t>
      </w:r>
      <w:proofErr w:type="spellStart"/>
      <w:r w:rsidR="0014475F" w:rsidRPr="0014475F">
        <w:rPr>
          <w:lang w:val="en-US"/>
        </w:rPr>
        <w:t>të</w:t>
      </w:r>
      <w:proofErr w:type="spellEnd"/>
      <w:r w:rsidR="0014475F" w:rsidRPr="0014475F">
        <w:rPr>
          <w:lang w:val="en-US"/>
        </w:rPr>
        <w:t xml:space="preserve"> </w:t>
      </w:r>
      <w:proofErr w:type="spellStart"/>
      <w:r w:rsidR="0014475F" w:rsidRPr="0014475F">
        <w:rPr>
          <w:lang w:val="en-US"/>
        </w:rPr>
        <w:t>ardhshme</w:t>
      </w:r>
      <w:proofErr w:type="spellEnd"/>
      <w:r w:rsidR="0014475F" w:rsidRPr="0014475F">
        <w:rPr>
          <w:lang w:val="en-US"/>
        </w:rPr>
        <w:t xml:space="preserve">. </w:t>
      </w:r>
      <w:proofErr w:type="spellStart"/>
      <w:r w:rsidR="0014475F" w:rsidRPr="0014475F">
        <w:rPr>
          <w:lang w:val="en-US"/>
        </w:rPr>
        <w:t>Kjo</w:t>
      </w:r>
      <w:proofErr w:type="spellEnd"/>
      <w:r w:rsidR="0014475F" w:rsidRPr="0014475F">
        <w:rPr>
          <w:lang w:val="en-US"/>
        </w:rPr>
        <w:t xml:space="preserve"> </w:t>
      </w:r>
      <w:proofErr w:type="spellStart"/>
      <w:r w:rsidR="0014475F" w:rsidRPr="0014475F">
        <w:rPr>
          <w:lang w:val="en-US"/>
        </w:rPr>
        <w:t>shumë</w:t>
      </w:r>
      <w:proofErr w:type="spellEnd"/>
      <w:r w:rsidR="0014475F" w:rsidRPr="0014475F">
        <w:rPr>
          <w:lang w:val="en-US"/>
        </w:rPr>
        <w:t xml:space="preserve"> </w:t>
      </w:r>
      <w:proofErr w:type="spellStart"/>
      <w:r w:rsidR="0014475F" w:rsidRPr="0014475F">
        <w:rPr>
          <w:lang w:val="en-US"/>
        </w:rPr>
        <w:t>shpesh</w:t>
      </w:r>
      <w:proofErr w:type="spellEnd"/>
      <w:r w:rsidR="0014475F" w:rsidRPr="0014475F">
        <w:rPr>
          <w:lang w:val="en-US"/>
        </w:rPr>
        <w:t xml:space="preserve"> </w:t>
      </w:r>
      <w:proofErr w:type="spellStart"/>
      <w:r w:rsidR="0014475F" w:rsidRPr="0014475F">
        <w:rPr>
          <w:lang w:val="en-US"/>
        </w:rPr>
        <w:t>përfshin</w:t>
      </w:r>
      <w:proofErr w:type="spellEnd"/>
      <w:r w:rsidR="0014475F" w:rsidRPr="0014475F">
        <w:rPr>
          <w:lang w:val="en-US"/>
        </w:rPr>
        <w:t xml:space="preserve"> </w:t>
      </w:r>
      <w:proofErr w:type="spellStart"/>
      <w:r w:rsidR="0014475F" w:rsidRPr="0014475F">
        <w:rPr>
          <w:lang w:val="en-US"/>
        </w:rPr>
        <w:t>edhe</w:t>
      </w:r>
      <w:proofErr w:type="spellEnd"/>
      <w:r w:rsidR="0014475F" w:rsidRPr="0014475F">
        <w:rPr>
          <w:lang w:val="en-US"/>
        </w:rPr>
        <w:t xml:space="preserve"> </w:t>
      </w:r>
      <w:proofErr w:type="spellStart"/>
      <w:r w:rsidR="0014475F" w:rsidRPr="0014475F">
        <w:rPr>
          <w:lang w:val="en-US"/>
        </w:rPr>
        <w:t>tarifa</w:t>
      </w:r>
      <w:proofErr w:type="spellEnd"/>
      <w:r w:rsidR="0014475F" w:rsidRPr="0014475F">
        <w:rPr>
          <w:lang w:val="en-US"/>
        </w:rPr>
        <w:t xml:space="preserve"> </w:t>
      </w:r>
      <w:proofErr w:type="spellStart"/>
      <w:r w:rsidR="0014475F" w:rsidRPr="0014475F">
        <w:rPr>
          <w:lang w:val="en-US"/>
        </w:rPr>
        <w:t>shtesë</w:t>
      </w:r>
      <w:proofErr w:type="spellEnd"/>
      <w:r w:rsidR="0014475F" w:rsidRPr="0014475F">
        <w:rPr>
          <w:lang w:val="en-US"/>
        </w:rPr>
        <w:t xml:space="preserve"> </w:t>
      </w:r>
      <w:proofErr w:type="spellStart"/>
      <w:r w:rsidR="0014475F" w:rsidRPr="0014475F">
        <w:rPr>
          <w:lang w:val="en-US"/>
        </w:rPr>
        <w:t>si</w:t>
      </w:r>
      <w:proofErr w:type="spellEnd"/>
      <w:r w:rsidR="0014475F" w:rsidRPr="0014475F">
        <w:rPr>
          <w:lang w:val="en-US"/>
        </w:rPr>
        <w:t xml:space="preserve"> </w:t>
      </w:r>
      <w:proofErr w:type="spellStart"/>
      <w:r w:rsidR="0014475F" w:rsidRPr="0014475F">
        <w:rPr>
          <w:lang w:val="en-US"/>
        </w:rPr>
        <w:t>interesat</w:t>
      </w:r>
      <w:proofErr w:type="spellEnd"/>
      <w:r w:rsidRPr="00CB14A5">
        <w:t>.</w:t>
      </w:r>
      <w:r w:rsidRPr="00CB14A5">
        <w:rPr>
          <w:rFonts w:eastAsia="Google Sans Text" w:cs="Times New Roman"/>
          <w:color w:val="575B5F"/>
          <w:szCs w:val="24"/>
          <w:vertAlign w:val="superscript"/>
        </w:rPr>
        <w:t>1</w:t>
      </w:r>
      <w:r>
        <w:rPr>
          <w:rFonts w:ascii="Google Sans Text" w:eastAsia="Google Sans Text" w:hAnsi="Google Sans Text"/>
          <w:szCs w:val="24"/>
        </w:rPr>
        <w:t xml:space="preserve"> </w:t>
      </w:r>
      <w:r w:rsidRPr="00CB14A5">
        <w:t>Në shumicën e marrëveshjeve të huadhënies, huadhënësi përfshin tarifa shtesë, kryesisht interesa ose tarifa financiare, në vlerën kryesore. Këto tarifa përbëjnë koston e huamarrjes dhe duhet të paguhen nga huamarrësi së bashku me bilancin e kryesores.</w:t>
      </w:r>
      <w:r w:rsidRPr="00CB14A5">
        <w:rPr>
          <w:rFonts w:eastAsia="Google Sans Text" w:cs="Times New Roman"/>
          <w:color w:val="575B5F"/>
          <w:szCs w:val="24"/>
          <w:vertAlign w:val="superscript"/>
        </w:rPr>
        <w:t>1</w:t>
      </w:r>
      <w:r w:rsidRPr="00CB14A5">
        <w:t>.</w:t>
      </w:r>
    </w:p>
    <w:p w:rsidR="00CB14A5" w:rsidRDefault="00CB14A5" w:rsidP="00724ACE">
      <w:pPr>
        <w:pBdr>
          <w:top w:val="nil"/>
          <w:left w:val="nil"/>
          <w:bottom w:val="nil"/>
          <w:right w:val="nil"/>
          <w:between w:val="nil"/>
        </w:pBdr>
        <w:rPr>
          <w:rFonts w:ascii="Google Sans Text" w:eastAsia="Google Sans Text" w:hAnsi="Google Sans Text"/>
          <w:szCs w:val="24"/>
        </w:rPr>
      </w:pPr>
      <w:r w:rsidRPr="00CB14A5">
        <w:t>Kreditë përfaqësojnë një formë borxhi të marrë nga një individ ose entitet</w:t>
      </w:r>
      <w:r w:rsidRPr="00CB14A5">
        <w:rPr>
          <w:rFonts w:eastAsia="Google Sans Text" w:cs="Times New Roman"/>
          <w:color w:val="575B5F"/>
          <w:szCs w:val="24"/>
          <w:vertAlign w:val="superscript"/>
        </w:rPr>
        <w:t>1</w:t>
      </w:r>
      <w:r>
        <w:rPr>
          <w:rFonts w:ascii="Google Sans Text" w:eastAsia="Google Sans Text" w:hAnsi="Google Sans Text"/>
          <w:szCs w:val="24"/>
        </w:rPr>
        <w:t xml:space="preserve"> </w:t>
      </w:r>
      <w:r w:rsidRPr="00CB14A5">
        <w:t>Kushtet që rregullojnë këtë borxh formalizohen në një kontratë të rënë dakord nga të dyja palët përpara se të disbursohen fondet. Kjo marrëveshje përshkruan me kujdes detajet thelbësore, duke përfshirë çdo tarifë financimi, normën e interesit të zbatueshme, orarin e ripagimit dhe datën përfundimtare, kërkesat për kolateral (nëse ka) dhe kushte ose marrëveshje të tjera specifike.</w:t>
      </w:r>
      <w:r w:rsidRPr="00CB14A5">
        <w:rPr>
          <w:rFonts w:eastAsia="Google Sans Text" w:cs="Times New Roman"/>
          <w:color w:val="575B5F"/>
          <w:szCs w:val="24"/>
          <w:vertAlign w:val="superscript"/>
        </w:rPr>
        <w:t>1</w:t>
      </w:r>
      <w:r>
        <w:rPr>
          <w:rFonts w:ascii="Google Sans Text" w:eastAsia="Google Sans Text" w:hAnsi="Google Sans Text"/>
          <w:szCs w:val="24"/>
        </w:rPr>
        <w:t xml:space="preserve"> </w:t>
      </w:r>
      <w:r w:rsidRPr="00CB14A5">
        <w:t>Kreditë mund të strukturohen për një disbursim specifik, të vetëm të fondeve ose si një linjë kredie me afat të hapur, duke i lejuar huamarrësit të tërheqë fonde deri në një limit të paracaktuar sipas nevojës.</w:t>
      </w:r>
      <w:r w:rsidRPr="00CB14A5">
        <w:rPr>
          <w:rFonts w:eastAsia="Google Sans Text" w:cs="Times New Roman"/>
          <w:color w:val="575B5F"/>
          <w:szCs w:val="24"/>
          <w:vertAlign w:val="superscript"/>
        </w:rPr>
        <w:t>1</w:t>
      </w:r>
      <w:r>
        <w:rPr>
          <w:rFonts w:ascii="Google Sans Text" w:eastAsia="Google Sans Text" w:hAnsi="Google Sans Text"/>
          <w:szCs w:val="24"/>
        </w:rPr>
        <w:t xml:space="preserve"> </w:t>
      </w:r>
      <w:r w:rsidRPr="007F0636">
        <w:t>Format e zakonshme përfshijnë kredi të siguruara, të pasiguruara, komerciale dhe personale.</w:t>
      </w:r>
      <w:r w:rsidRPr="007F0636">
        <w:rPr>
          <w:rFonts w:eastAsia="Google Sans Text" w:cs="Times New Roman"/>
          <w:color w:val="575B5F"/>
          <w:szCs w:val="24"/>
          <w:vertAlign w:val="superscript"/>
        </w:rPr>
        <w:t>1</w:t>
      </w:r>
      <w:r w:rsidRPr="007F0636">
        <w:rPr>
          <w:rFonts w:eastAsia="Google Sans Text" w:cs="Times New Roman"/>
          <w:szCs w:val="24"/>
        </w:rPr>
        <w:t>.</w:t>
      </w:r>
    </w:p>
    <w:p w:rsidR="00CB14A5" w:rsidRDefault="00CB14A5" w:rsidP="00724ACE">
      <w:pPr>
        <w:pBdr>
          <w:top w:val="nil"/>
          <w:left w:val="nil"/>
          <w:bottom w:val="nil"/>
          <w:right w:val="nil"/>
          <w:between w:val="nil"/>
        </w:pBdr>
        <w:spacing w:after="120"/>
        <w:rPr>
          <w:rFonts w:ascii="Google Sans Text" w:eastAsia="Google Sans Text" w:hAnsi="Google Sans Text"/>
          <w:szCs w:val="24"/>
        </w:rPr>
      </w:pPr>
      <w:r w:rsidRPr="007F0636">
        <w:t>Funksionalisht, kreditë shërbejnë si një mekanizëm kritik brenda një ekonomie. Ato lehtësojnë një gamë të gjerë aktivitetesh, duke u mundësuar individëve dhe bizneseve të ndërmarrin blerje të mëdha (si shtëpi ose automjete), të financojnë investime, të financojnë rinovime, të konsolidojnë borxhet ekzistuese ose të nisin dhe zgjerojnë sipërmarrjet e biznesit.</w:t>
      </w:r>
      <w:r w:rsidRPr="007F0636">
        <w:rPr>
          <w:rFonts w:eastAsia="Google Sans Text" w:cs="Times New Roman"/>
          <w:color w:val="575B5F"/>
          <w:szCs w:val="24"/>
          <w:vertAlign w:val="superscript"/>
        </w:rPr>
        <w:t>1</w:t>
      </w:r>
      <w:r w:rsidR="007F0636">
        <w:rPr>
          <w:rFonts w:ascii="Google Sans Text" w:eastAsia="Google Sans Text" w:hAnsi="Google Sans Text"/>
          <w:szCs w:val="24"/>
        </w:rPr>
        <w:t xml:space="preserve"> </w:t>
      </w:r>
      <w:r w:rsidR="007F0636" w:rsidRPr="007F0636">
        <w:t>D</w:t>
      </w:r>
      <w:r w:rsidRPr="007F0636">
        <w:t>uke ofruar akses në kapital, kreditë kontribuojnë në rritjen e furnizimit të përgjithshëm me para, nxisin konkurrencën duke mbështetur bizneset e reja dhe shërbejnë si një burim kryesor i të ardhurave për institucionet huadhënëse si bankat dhe shitësit me pakicë përmes interesave dhe tarifave.</w:t>
      </w:r>
      <w:r w:rsidRPr="007F0636">
        <w:rPr>
          <w:rFonts w:eastAsia="Google Sans Text" w:cs="Times New Roman"/>
          <w:color w:val="575B5F"/>
          <w:szCs w:val="24"/>
          <w:vertAlign w:val="superscript"/>
        </w:rPr>
        <w:t>1</w:t>
      </w:r>
      <w:r w:rsidRPr="007F0636">
        <w:rPr>
          <w:rFonts w:eastAsia="Google Sans Text" w:cs="Times New Roman"/>
          <w:szCs w:val="24"/>
        </w:rPr>
        <w:t>.</w:t>
      </w:r>
    </w:p>
    <w:p w:rsidR="00CB14A5" w:rsidRPr="007F0636" w:rsidRDefault="00CB14A5" w:rsidP="00724ACE">
      <w:pPr>
        <w:widowControl w:val="0"/>
        <w:numPr>
          <w:ilvl w:val="0"/>
          <w:numId w:val="2"/>
        </w:numPr>
        <w:pBdr>
          <w:top w:val="nil"/>
          <w:left w:val="nil"/>
          <w:bottom w:val="nil"/>
          <w:right w:val="nil"/>
          <w:between w:val="nil"/>
        </w:pBdr>
        <w:spacing w:after="120"/>
        <w:jc w:val="left"/>
        <w:rPr>
          <w:b/>
          <w:bCs/>
        </w:rPr>
      </w:pPr>
      <w:r w:rsidRPr="007F0636">
        <w:rPr>
          <w:b/>
          <w:bCs/>
        </w:rPr>
        <w:t>1.1.2 Kryesor</w:t>
      </w:r>
    </w:p>
    <w:p w:rsidR="00CB14A5" w:rsidRDefault="00CB14A5" w:rsidP="00724ACE">
      <w:pPr>
        <w:pBdr>
          <w:top w:val="nil"/>
          <w:left w:val="nil"/>
          <w:bottom w:val="nil"/>
          <w:right w:val="nil"/>
          <w:between w:val="nil"/>
        </w:pBdr>
        <w:spacing w:before="240"/>
        <w:rPr>
          <w:rFonts w:ascii="Google Sans Text" w:eastAsia="Google Sans Text" w:hAnsi="Google Sans Text"/>
          <w:szCs w:val="24"/>
        </w:rPr>
      </w:pPr>
      <w:r w:rsidRPr="007F0636">
        <w:t xml:space="preserve">Kryesori është elementi themelor i çdo transaksioni kredie; ai përfaqëson shumën origjinale të parave të marra hua nga huadhënësi ose, në një kontekst investimi, shumën </w:t>
      </w:r>
      <w:r w:rsidRPr="007F0636">
        <w:lastRenderedPageBreak/>
        <w:t>fillestare të vendosur në një investim.</w:t>
      </w:r>
      <w:r w:rsidRPr="007F0636">
        <w:rPr>
          <w:rFonts w:eastAsia="Google Sans Text" w:cs="Times New Roman"/>
          <w:color w:val="575B5F"/>
          <w:szCs w:val="24"/>
          <w:vertAlign w:val="superscript"/>
        </w:rPr>
        <w:t>1</w:t>
      </w:r>
      <w:r w:rsidR="007F0636">
        <w:rPr>
          <w:rFonts w:ascii="Google Sans Text" w:eastAsia="Google Sans Text" w:hAnsi="Google Sans Text"/>
          <w:szCs w:val="24"/>
        </w:rPr>
        <w:t xml:space="preserve"> </w:t>
      </w:r>
      <w:r w:rsidR="007F0636" w:rsidRPr="007F0636">
        <w:t>Kj</w:t>
      </w:r>
      <w:r w:rsidRPr="007F0636">
        <w:t xml:space="preserve">o shumë fillestare </w:t>
      </w:r>
      <w:r w:rsidR="00BE072C">
        <w:t>vepron</w:t>
      </w:r>
      <w:r w:rsidRPr="007F0636">
        <w:t xml:space="preserve"> si bazë mbi të cilën ndërtohen të gjitha llogaritjet e interesit dhe skemat e ripagimit.</w:t>
      </w:r>
      <w:r w:rsidRPr="007F0636">
        <w:rPr>
          <w:rFonts w:eastAsia="Google Sans Text" w:cs="Times New Roman"/>
          <w:color w:val="575B5F"/>
          <w:szCs w:val="24"/>
          <w:vertAlign w:val="superscript"/>
        </w:rPr>
        <w:t>2</w:t>
      </w:r>
      <w:r w:rsidRPr="007F0636">
        <w:t>.</w:t>
      </w:r>
    </w:p>
    <w:p w:rsidR="00CB14A5" w:rsidRDefault="00CB14A5" w:rsidP="00724ACE">
      <w:pPr>
        <w:pBdr>
          <w:top w:val="nil"/>
          <w:left w:val="nil"/>
          <w:bottom w:val="nil"/>
          <w:right w:val="nil"/>
          <w:between w:val="nil"/>
        </w:pBdr>
        <w:rPr>
          <w:rFonts w:ascii="Google Sans Text" w:eastAsia="Google Sans Text" w:hAnsi="Google Sans Text"/>
          <w:szCs w:val="24"/>
        </w:rPr>
      </w:pPr>
      <w:r w:rsidRPr="007F0636">
        <w:t>Ndërsa huamarrësi bën pagesa periodike gjatë kohëzgjatjes së kredisë, një pjesë e secilës pagesë ndahet për të zvogëluar shumën kryesore të detyruar.</w:t>
      </w:r>
      <w:r w:rsidRPr="007F0636">
        <w:rPr>
          <w:rFonts w:eastAsia="Google Sans Text" w:cs="Times New Roman"/>
          <w:color w:val="575B5F"/>
          <w:szCs w:val="24"/>
          <w:vertAlign w:val="superscript"/>
        </w:rPr>
        <w:t>2</w:t>
      </w:r>
      <w:r w:rsidR="007F0636">
        <w:rPr>
          <w:rFonts w:ascii="Google Sans Text" w:eastAsia="Google Sans Text" w:hAnsi="Google Sans Text"/>
          <w:szCs w:val="24"/>
        </w:rPr>
        <w:t xml:space="preserve"> </w:t>
      </w:r>
      <w:r w:rsidR="007F0636" w:rsidRPr="007F0636">
        <w:t>B</w:t>
      </w:r>
      <w:r w:rsidRPr="007F0636">
        <w:t>ilanci i mbetur i shumës origjinale të marrë hua në çdo moment gjatë periudhës së ripagimit quhet principali i papaguar.</w:t>
      </w:r>
      <w:r w:rsidRPr="007F0636">
        <w:rPr>
          <w:rFonts w:eastAsia="Google Sans Text" w:cs="Times New Roman"/>
          <w:color w:val="575B5F"/>
          <w:szCs w:val="24"/>
          <w:vertAlign w:val="superscript"/>
        </w:rPr>
        <w:t>2</w:t>
      </w:r>
      <w:r w:rsidR="007F0636">
        <w:rPr>
          <w:rFonts w:ascii="Google Sans Text" w:eastAsia="Google Sans Text" w:hAnsi="Google Sans Text"/>
          <w:szCs w:val="24"/>
        </w:rPr>
        <w:t xml:space="preserve"> </w:t>
      </w:r>
      <w:r w:rsidR="007F0636" w:rsidRPr="007F0636">
        <w:t>I</w:t>
      </w:r>
      <w:r w:rsidRPr="007F0636">
        <w:t>nteresi vazhdon të llogaritet mbi këtë kryegjë të papaguar derisa detyrimi i kredisë të shlyhet plotësisht.</w:t>
      </w:r>
      <w:r w:rsidRPr="007F0636">
        <w:rPr>
          <w:rFonts w:eastAsia="Google Sans Text" w:cs="Times New Roman"/>
          <w:color w:val="575B5F"/>
          <w:szCs w:val="24"/>
          <w:vertAlign w:val="superscript"/>
        </w:rPr>
        <w:t>2</w:t>
      </w:r>
      <w:r w:rsidRPr="007F0636">
        <w:t>.</w:t>
      </w:r>
    </w:p>
    <w:p w:rsidR="00CB14A5" w:rsidRDefault="00CB14A5" w:rsidP="00724ACE">
      <w:pPr>
        <w:pBdr>
          <w:top w:val="nil"/>
          <w:left w:val="nil"/>
          <w:bottom w:val="nil"/>
          <w:right w:val="nil"/>
          <w:between w:val="nil"/>
        </w:pBdr>
        <w:spacing w:after="120"/>
        <w:rPr>
          <w:rFonts w:ascii="Google Sans Text" w:eastAsia="Google Sans Text" w:hAnsi="Google Sans Text"/>
          <w:szCs w:val="24"/>
        </w:rPr>
      </w:pPr>
      <w:r w:rsidRPr="007F0636">
        <w:t>Një kuptim i qartë i shumës kryesore është thelbësor për planifikimin financiar efektiv dhe vlerësimin e përballueshmërisë së një kredie. Madhësia e kryesores ndikon drejtpërdrejt në koston totale të huamarrjes. Duke supozuar që norma e interesit dhe afati i kredisë mbeten konstante, një shumë kryesore më e lartë do të çojë në mënyrë të pashmangshme në pagesa më të larta të interesit agregate gjatë jetëgjatësisë së kredisë.</w:t>
      </w:r>
      <w:r w:rsidRPr="007F0636">
        <w:rPr>
          <w:rFonts w:eastAsia="Google Sans Text" w:cs="Times New Roman"/>
          <w:color w:val="575B5F"/>
          <w:szCs w:val="24"/>
          <w:vertAlign w:val="superscript"/>
        </w:rPr>
        <w:t>2</w:t>
      </w:r>
      <w:r w:rsidR="007F0636">
        <w:rPr>
          <w:rFonts w:ascii="Google Sans Text" w:eastAsia="Google Sans Text" w:hAnsi="Google Sans Text"/>
          <w:szCs w:val="24"/>
        </w:rPr>
        <w:t xml:space="preserve"> </w:t>
      </w:r>
      <w:r w:rsidR="007F0636" w:rsidRPr="007F0636">
        <w:t>K</w:t>
      </w:r>
      <w:r w:rsidRPr="007F0636">
        <w:t>jo ndodh sepse interesi llogaritet si përqindje e principalit (qoftë fillestar apo i papaguar). Si pasojë, një shumë bazë më e madhe rezulton natyrshëm në një shumë absolute më të madhe të interesit që ngarkohet në secilën periudhë. Ky efekt shtohet gjatë afatit të kredisë, duke rritur ndjeshëm barrën totale të shlyerjes për kreditë me principal më të madh krahasuar me ato me principal më të vogël, edhe kur normat e interesit dhe kohëzgjatjet janë identike.</w:t>
      </w:r>
      <w:r w:rsidRPr="007F0636">
        <w:rPr>
          <w:rFonts w:eastAsia="Google Sans Text" w:cs="Times New Roman"/>
          <w:color w:val="575B5F"/>
          <w:szCs w:val="24"/>
          <w:vertAlign w:val="superscript"/>
        </w:rPr>
        <w:t>2</w:t>
      </w:r>
      <w:r w:rsidRPr="007F0636">
        <w:t>.</w:t>
      </w:r>
    </w:p>
    <w:p w:rsidR="00CB14A5" w:rsidRPr="007F0636" w:rsidRDefault="00CB14A5" w:rsidP="00724ACE">
      <w:pPr>
        <w:widowControl w:val="0"/>
        <w:numPr>
          <w:ilvl w:val="0"/>
          <w:numId w:val="3"/>
        </w:numPr>
        <w:pBdr>
          <w:top w:val="nil"/>
          <w:left w:val="nil"/>
          <w:bottom w:val="nil"/>
          <w:right w:val="nil"/>
          <w:between w:val="nil"/>
        </w:pBdr>
        <w:spacing w:after="120"/>
        <w:jc w:val="left"/>
        <w:rPr>
          <w:b/>
          <w:bCs/>
        </w:rPr>
      </w:pPr>
      <w:r w:rsidRPr="007F0636">
        <w:rPr>
          <w:b/>
          <w:bCs/>
        </w:rPr>
        <w:t>1.1.3 Interesi (i thjeshtë kundrejt i përbërë)</w:t>
      </w:r>
    </w:p>
    <w:p w:rsidR="00CB14A5" w:rsidRPr="004A75B4" w:rsidRDefault="00CB14A5" w:rsidP="00724ACE">
      <w:pPr>
        <w:pBdr>
          <w:top w:val="nil"/>
          <w:left w:val="nil"/>
          <w:bottom w:val="nil"/>
          <w:right w:val="nil"/>
          <w:between w:val="nil"/>
        </w:pBdr>
        <w:spacing w:before="240"/>
      </w:pPr>
      <w:r w:rsidRPr="004A75B4">
        <w:t>Interesi përfaqëson tarifën e vendosur nga huadhënësi për privilegjin e përdorimit të aseteve të tyre, konkretisht shumën kryesore të marrë hua.</w:t>
      </w:r>
      <w:r w:rsidRPr="004A75B4">
        <w:rPr>
          <w:rFonts w:eastAsia="Google Sans Text" w:cs="Times New Roman"/>
          <w:color w:val="575B5F"/>
          <w:szCs w:val="24"/>
          <w:vertAlign w:val="superscript"/>
        </w:rPr>
        <w:t>1</w:t>
      </w:r>
      <w:r w:rsidR="004A75B4">
        <w:rPr>
          <w:rFonts w:ascii="Google Sans Text" w:eastAsia="Google Sans Text" w:hAnsi="Google Sans Text"/>
          <w:szCs w:val="24"/>
        </w:rPr>
        <w:t xml:space="preserve"> </w:t>
      </w:r>
      <w:r w:rsidR="004A75B4" w:rsidRPr="004A75B4">
        <w:t>N</w:t>
      </w:r>
      <w:r w:rsidRPr="004A75B4">
        <w:t>ga perspektiva e huamarrësit, interesi është kostoja e marrjes së borxhit, ndërsa për huadhënësin, ai përbën normën e kthimit të fondeve të dhëna.</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L</w:t>
      </w:r>
      <w:r w:rsidRPr="004A75B4">
        <w:t>logaritjet e interesit zakonisht ndahen në dy kategori kryesore: të thjeshta dhe të përbëra.</w:t>
      </w:r>
    </w:p>
    <w:p w:rsidR="00CB14A5" w:rsidRDefault="00CB14A5" w:rsidP="00724ACE">
      <w:pPr>
        <w:pBdr>
          <w:top w:val="nil"/>
          <w:left w:val="nil"/>
          <w:bottom w:val="nil"/>
          <w:right w:val="nil"/>
          <w:between w:val="nil"/>
        </w:pBdr>
        <w:rPr>
          <w:rFonts w:ascii="Google Sans Text" w:eastAsia="Google Sans Text" w:hAnsi="Google Sans Text"/>
          <w:szCs w:val="24"/>
        </w:rPr>
      </w:pPr>
      <w:r w:rsidRPr="004A75B4">
        <w:rPr>
          <w:b/>
          <w:bCs/>
        </w:rPr>
        <w:t>Interes i thjeshtë:</w:t>
      </w:r>
      <w:r w:rsidR="004A75B4" w:rsidRPr="004A75B4">
        <w:t xml:space="preserve"> </w:t>
      </w:r>
      <w:r w:rsidRPr="004A75B4">
        <w:t>Interesi i thjeshtë llogaritet vetëm bazuar në shumën origjinale të principalit të kredisë, e aplikuar gjatë gjithë afatit të kredisë.</w:t>
      </w:r>
      <w:r w:rsidRPr="004A75B4">
        <w:rPr>
          <w:rFonts w:eastAsia="Google Sans Text" w:cs="Times New Roman"/>
          <w:color w:val="575B5F"/>
          <w:szCs w:val="24"/>
          <w:vertAlign w:val="superscript"/>
        </w:rPr>
        <w:t>1</w:t>
      </w:r>
      <w:r w:rsidR="004A75B4" w:rsidRPr="004A75B4">
        <w:t xml:space="preserve"> L</w:t>
      </w:r>
      <w:r w:rsidRPr="004A75B4">
        <w:t xml:space="preserve">logaritja është e thjeshtë: Interesi i Thjeshtë = </w:t>
      </w:r>
      <w:r w:rsidR="0014475F">
        <w:t>Shuma Kryesore</w:t>
      </w:r>
      <w:r w:rsidRPr="004A75B4">
        <w:t xml:space="preserve"> × Norma × Koha. Për shembull, një kredi prej 10,000 dollarësh me një normë interesi të thjeshtë vjetore prej 5% e marrë për tre vjet do të grumbullonte një interes total prej 1,500 dollarësh (10,000 × 0.05 × 3).</w:t>
      </w:r>
      <w:r w:rsidRPr="004A75B4">
        <w:rPr>
          <w:rFonts w:eastAsia="Google Sans Text" w:cs="Times New Roman"/>
          <w:color w:val="575B5F"/>
          <w:szCs w:val="24"/>
          <w:vertAlign w:val="superscript"/>
        </w:rPr>
        <w:t>4</w:t>
      </w:r>
      <w:r w:rsidR="004A75B4">
        <w:rPr>
          <w:rFonts w:ascii="Google Sans Text" w:eastAsia="Google Sans Text" w:hAnsi="Google Sans Text"/>
          <w:szCs w:val="24"/>
        </w:rPr>
        <w:t xml:space="preserve"> </w:t>
      </w:r>
      <w:r w:rsidR="004A75B4" w:rsidRPr="004A75B4">
        <w:t>E</w:t>
      </w:r>
      <w:r w:rsidRPr="004A75B4">
        <w:t>dhe pse e lehtë për t’u kuptuar, interesi i thjeshtë rrallë zbatohet për kreditë konsumatore si hipotekat ose kreditë personale nga institucionet financiare.</w:t>
      </w:r>
      <w:r w:rsidRPr="004A75B4">
        <w:rPr>
          <w:rFonts w:eastAsia="Google Sans Text" w:cs="Times New Roman"/>
          <w:color w:val="575B5F"/>
          <w:szCs w:val="24"/>
          <w:vertAlign w:val="superscript"/>
        </w:rPr>
        <w:t>1</w:t>
      </w:r>
      <w:r w:rsidRPr="004A75B4">
        <w:t>.</w:t>
      </w:r>
    </w:p>
    <w:p w:rsidR="00CB14A5" w:rsidRDefault="00CB14A5" w:rsidP="00724ACE">
      <w:pPr>
        <w:pBdr>
          <w:top w:val="nil"/>
          <w:left w:val="nil"/>
          <w:bottom w:val="nil"/>
          <w:right w:val="nil"/>
          <w:between w:val="nil"/>
        </w:pBdr>
        <w:rPr>
          <w:rFonts w:ascii="Google Sans Text" w:eastAsia="Google Sans Text" w:hAnsi="Google Sans Text"/>
          <w:szCs w:val="24"/>
        </w:rPr>
      </w:pPr>
      <w:r w:rsidRPr="004A75B4">
        <w:rPr>
          <w:b/>
          <w:bCs/>
        </w:rPr>
        <w:lastRenderedPageBreak/>
        <w:t>Interesi i përbërë:</w:t>
      </w:r>
      <w:r w:rsidR="004A75B4" w:rsidRPr="004A75B4">
        <w:t xml:space="preserve"> </w:t>
      </w:r>
      <w:r w:rsidRPr="004A75B4">
        <w:t>Interesi i përbërë llogaritet jo vetëm mbi principalin fillestar, por edhe mbi interesin e akumuluar nga periudhat e mëparshme.</w:t>
      </w:r>
      <w:r w:rsidRPr="004A75B4">
        <w:rPr>
          <w:rFonts w:eastAsia="Google Sans Text" w:cs="Times New Roman"/>
          <w:color w:val="575B5F"/>
          <w:szCs w:val="24"/>
          <w:vertAlign w:val="superscript"/>
        </w:rPr>
        <w:t>1</w:t>
      </w:r>
      <w:r w:rsidR="004A75B4">
        <w:rPr>
          <w:rFonts w:ascii="Google Sans Text" w:eastAsia="Google Sans Text" w:hAnsi="Google Sans Text"/>
          <w:szCs w:val="24"/>
        </w:rPr>
        <w:t xml:space="preserve"> </w:t>
      </w:r>
      <w:r w:rsidR="004A75B4" w:rsidRPr="004A75B4">
        <w:t>K</w:t>
      </w:r>
      <w:r w:rsidRPr="004A75B4">
        <w:t>y fenomen shpesh përshkruhet si "interes mbi interes". Ai bën që shuma totale e detyruar (ose, në rastin e kursimeve, shuma totale e akumuluar) të rritet me një ritëm përshpejtues me kalimin e kohës.</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F</w:t>
      </w:r>
      <w:r w:rsidRPr="004A75B4">
        <w:t>rekuenca me të cilën llogaritet interesi i përbërë - qoftë çdo vit, çdo gjashtë muaj, çdo muaj apo edhe çdo ditë - luan një rol kritik. Një llogaritje më e shpeshtë e interesit të përbërë rezulton në një shumë totale më të lartë të interesit të paguar nga huamarrësi (ose të fituar nga kursimtari).</w:t>
      </w:r>
      <w:r w:rsidRPr="004A75B4">
        <w:rPr>
          <w:rFonts w:eastAsia="Google Sans Text" w:cs="Times New Roman"/>
          <w:color w:val="575B5F"/>
          <w:szCs w:val="24"/>
          <w:vertAlign w:val="superscript"/>
        </w:rPr>
        <w:t>4</w:t>
      </w:r>
      <w:r w:rsidR="004A75B4">
        <w:rPr>
          <w:rFonts w:ascii="Google Sans Text" w:eastAsia="Google Sans Text" w:hAnsi="Google Sans Text"/>
          <w:szCs w:val="24"/>
        </w:rPr>
        <w:t xml:space="preserve"> </w:t>
      </w:r>
      <w:r w:rsidR="004A75B4" w:rsidRPr="004A75B4">
        <w:t>D</w:t>
      </w:r>
      <w:r w:rsidRPr="004A75B4">
        <w:t>uke përdorur shembullin e mëparshëm, një kredi prej 10,000 dollarësh me interes të përbërë vjetor prej 5% për tre vjet do të rezultonte në një interes total prej 1,576.25 dollarësh, që është më i lartë se 1,500 dollarët e llogaritur duke përdorur interesin e thjeshtë.</w:t>
      </w:r>
      <w:r w:rsidRPr="004A75B4">
        <w:rPr>
          <w:rFonts w:eastAsia="Google Sans Text" w:cs="Times New Roman"/>
          <w:color w:val="575B5F"/>
          <w:szCs w:val="24"/>
          <w:vertAlign w:val="superscript"/>
        </w:rPr>
        <w:t>4</w:t>
      </w:r>
      <w:r w:rsidRPr="004A75B4">
        <w:t>.</w:t>
      </w:r>
    </w:p>
    <w:p w:rsidR="00CB14A5" w:rsidRDefault="00CB14A5" w:rsidP="00724ACE">
      <w:pPr>
        <w:pBdr>
          <w:top w:val="nil"/>
          <w:left w:val="nil"/>
          <w:bottom w:val="nil"/>
          <w:right w:val="nil"/>
          <w:between w:val="nil"/>
        </w:pBdr>
        <w:spacing w:after="120"/>
        <w:rPr>
          <w:rFonts w:ascii="Google Sans Text" w:eastAsia="Google Sans Text" w:hAnsi="Google Sans Text"/>
          <w:szCs w:val="24"/>
        </w:rPr>
      </w:pPr>
      <w:r w:rsidRPr="004A75B4">
        <w:t>Dallimi midis interesit të thjeshtë dhe atij të përbërë bëhet veçanërisht i theksuar gjatë afateve më të gjata të kredisë. Interesi i përbërë rrit ndjeshëm koston totale të huamarrjes krahasuar me interesin e thjeshtë me të njëjtën normë nominale.</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K</w:t>
      </w:r>
      <w:r w:rsidRPr="004A75B4">
        <w:t>jo ndodh sepse interesi i përbërë aplikohet në një bazë gjithnjë në rritje (kryegjëja plus interesi i grumbulluar më parë), duke çuar në rritje eksponenciale të borxhit. Interesi i thjeshtë, anasjelltas, përdor gjithmonë kryegjënë statike origjinale si bazë llogaritjeje. Gjatë periudhave të gjata, efekti i "interesit mbi interesin" i natyrshëm në llogaritjen e përbërë krijon një divergjencë të konsiderueshme në shumat totale të detyruara sipas dy metodologjive. Prandaj, të kuptuarit e mekanikës së llogaritjes së përbërë, duke përfshirë frekuencën e saj, është thelbësore për huamarrësit kur krahasojnë ofertat e kredisë, veçanërisht për detyrimet afatgjata siç janë hipotekat.</w:t>
      </w:r>
      <w:r w:rsidRPr="004A75B4">
        <w:rPr>
          <w:rFonts w:eastAsia="Google Sans Text" w:cs="Times New Roman"/>
          <w:color w:val="575B5F"/>
          <w:szCs w:val="24"/>
          <w:vertAlign w:val="superscript"/>
        </w:rPr>
        <w:t>2</w:t>
      </w:r>
      <w:r w:rsidRPr="004A75B4">
        <w:t>.</w:t>
      </w:r>
    </w:p>
    <w:p w:rsidR="00CB14A5" w:rsidRPr="004A75B4" w:rsidRDefault="00CB14A5" w:rsidP="00724ACE">
      <w:pPr>
        <w:widowControl w:val="0"/>
        <w:numPr>
          <w:ilvl w:val="0"/>
          <w:numId w:val="4"/>
        </w:numPr>
        <w:pBdr>
          <w:top w:val="nil"/>
          <w:left w:val="nil"/>
          <w:bottom w:val="nil"/>
          <w:right w:val="nil"/>
          <w:between w:val="nil"/>
        </w:pBdr>
        <w:spacing w:after="120"/>
        <w:jc w:val="left"/>
        <w:rPr>
          <w:b/>
          <w:bCs/>
        </w:rPr>
      </w:pPr>
      <w:r w:rsidRPr="004A75B4">
        <w:rPr>
          <w:b/>
          <w:bCs/>
        </w:rPr>
        <w:t>1.1.4 Norma Vjetore e Përqindjes (</w:t>
      </w:r>
      <w:r w:rsidR="00C56A5E">
        <w:rPr>
          <w:b/>
          <w:bCs/>
        </w:rPr>
        <w:t>NVP</w:t>
      </w:r>
      <w:r w:rsidRPr="004A75B4">
        <w:rPr>
          <w:b/>
          <w:bCs/>
        </w:rPr>
        <w:t>)</w:t>
      </w:r>
    </w:p>
    <w:p w:rsidR="00CB14A5" w:rsidRDefault="00CB14A5" w:rsidP="00724ACE">
      <w:pPr>
        <w:pBdr>
          <w:top w:val="nil"/>
          <w:left w:val="nil"/>
          <w:bottom w:val="nil"/>
          <w:right w:val="nil"/>
          <w:between w:val="nil"/>
        </w:pBdr>
        <w:spacing w:before="240"/>
        <w:rPr>
          <w:rFonts w:ascii="Google Sans Text" w:eastAsia="Google Sans Text" w:hAnsi="Google Sans Text"/>
          <w:szCs w:val="24"/>
        </w:rPr>
      </w:pPr>
      <w:r w:rsidRPr="004A75B4">
        <w:t>Norma Vjetore e Përqindjes (</w:t>
      </w:r>
      <w:r w:rsidR="00C56A5E">
        <w:t>NVP</w:t>
      </w:r>
      <w:r w:rsidRPr="004A75B4">
        <w:t>) përfaqëson normën vjetore të aplikuar për huazimin e parave ose të fituara përmes një investimi, e shprehur si përqindje.</w:t>
      </w:r>
      <w:r w:rsidRPr="004A75B4">
        <w:rPr>
          <w:rFonts w:eastAsia="Google Sans Text" w:cs="Times New Roman"/>
          <w:color w:val="575B5F"/>
          <w:szCs w:val="24"/>
          <w:vertAlign w:val="superscript"/>
        </w:rPr>
        <w:t>1</w:t>
      </w:r>
      <w:r w:rsidR="004A75B4">
        <w:rPr>
          <w:rFonts w:ascii="Google Sans Text" w:eastAsia="Google Sans Text" w:hAnsi="Google Sans Text"/>
          <w:szCs w:val="24"/>
        </w:rPr>
        <w:t xml:space="preserve"> </w:t>
      </w:r>
      <w:r w:rsidR="004A75B4" w:rsidRPr="004A75B4">
        <w:t>A</w:t>
      </w:r>
      <w:r w:rsidRPr="004A75B4">
        <w:t>i përfaqëson koston vjetore të fondeve gjatë afatit të kredisë.</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H</w:t>
      </w:r>
      <w:r w:rsidRPr="004A75B4">
        <w:t>uadhënësit zakonisht japin kuota për normat e interesit për kreditë konsumatore duke përdorur normën vjetore të interesit (</w:t>
      </w:r>
      <w:r w:rsidR="00C56A5E">
        <w:t>NVP</w:t>
      </w:r>
      <w:r w:rsidRPr="004A75B4">
        <w:t>).</w:t>
      </w:r>
      <w:r w:rsidRPr="004A75B4">
        <w:rPr>
          <w:rFonts w:eastAsia="Google Sans Text" w:cs="Times New Roman"/>
          <w:color w:val="575B5F"/>
          <w:szCs w:val="24"/>
          <w:vertAlign w:val="superscript"/>
        </w:rPr>
        <w:t>3</w:t>
      </w:r>
      <w:r w:rsidRPr="004A75B4">
        <w:t>.</w:t>
      </w:r>
    </w:p>
    <w:p w:rsidR="00CB14A5" w:rsidRPr="004A75B4" w:rsidRDefault="00CB14A5" w:rsidP="00724ACE">
      <w:pPr>
        <w:pBdr>
          <w:top w:val="nil"/>
          <w:left w:val="nil"/>
          <w:bottom w:val="nil"/>
          <w:right w:val="nil"/>
          <w:between w:val="nil"/>
        </w:pBdr>
      </w:pPr>
      <w:r w:rsidRPr="004A75B4">
        <w:t xml:space="preserve">Ndërsa termi </w:t>
      </w:r>
      <w:r w:rsidR="00C56A5E">
        <w:t>NVP</w:t>
      </w:r>
      <w:r w:rsidRPr="004A75B4">
        <w:t xml:space="preserve"> ndonjëherë përdoret në mënyrë joformale si sinonim i normës së interesit, përkufizimi i tij formal synon të ofrojë një matje më gjithëpërfshirëse të kostos së kredisë.</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M</w:t>
      </w:r>
      <w:r w:rsidRPr="004A75B4">
        <w:t xml:space="preserve">egjithatë, llogaritja standarde e </w:t>
      </w:r>
      <w:r w:rsidR="00C56A5E">
        <w:t>NVP</w:t>
      </w:r>
      <w:r w:rsidRPr="004A75B4">
        <w:t xml:space="preserve"> shpesh nuk merr parasysh efektet e llogaritjes së interesit të përbërë brenda vitit.</w:t>
      </w:r>
      <w:r w:rsidRPr="004A75B4">
        <w:rPr>
          <w:rFonts w:eastAsia="Google Sans Text" w:cs="Times New Roman"/>
          <w:color w:val="575B5F"/>
          <w:szCs w:val="24"/>
          <w:vertAlign w:val="superscript"/>
        </w:rPr>
        <w:t>3</w:t>
      </w:r>
      <w:r w:rsidR="004A75B4">
        <w:rPr>
          <w:rFonts w:ascii="Google Sans Text" w:eastAsia="Google Sans Text" w:hAnsi="Google Sans Text"/>
          <w:szCs w:val="24"/>
        </w:rPr>
        <w:t xml:space="preserve"> </w:t>
      </w:r>
      <w:r w:rsidR="004A75B4" w:rsidRPr="004A75B4">
        <w:t>P</w:t>
      </w:r>
      <w:r w:rsidRPr="004A75B4">
        <w:t xml:space="preserve">avarësisht kësaj, </w:t>
      </w:r>
      <w:r w:rsidR="00C56A5E">
        <w:t>NVP</w:t>
      </w:r>
      <w:r w:rsidRPr="004A75B4">
        <w:t xml:space="preserve"> </w:t>
      </w:r>
      <w:r w:rsidR="00BE072C">
        <w:t>funksionon</w:t>
      </w:r>
      <w:r w:rsidRPr="004A75B4">
        <w:t xml:space="preserve"> si </w:t>
      </w:r>
      <w:r w:rsidRPr="004A75B4">
        <w:lastRenderedPageBreak/>
        <w:t>metrikë e standardizuar që u paraqitet konsumatorëve, e detyrueshme nga rregulloret në shumë juridiksione, për të lehtësuar krahasimin midis produkteve të ndryshme të kredisë.</w:t>
      </w:r>
      <w:r w:rsidRPr="004A75B4">
        <w:rPr>
          <w:rFonts w:eastAsia="Google Sans Text" w:cs="Times New Roman"/>
          <w:color w:val="575B5F"/>
          <w:szCs w:val="24"/>
          <w:vertAlign w:val="superscript"/>
        </w:rPr>
        <w:t>3</w:t>
      </w:r>
      <w:r w:rsidRPr="004A75B4">
        <w:t>.</w:t>
      </w:r>
    </w:p>
    <w:p w:rsidR="00CB14A5" w:rsidRPr="004A75B4" w:rsidRDefault="00C56A5E" w:rsidP="00724ACE">
      <w:pPr>
        <w:pBdr>
          <w:top w:val="nil"/>
          <w:left w:val="nil"/>
          <w:bottom w:val="nil"/>
          <w:right w:val="nil"/>
          <w:between w:val="nil"/>
        </w:pBdr>
        <w:spacing w:after="120"/>
      </w:pPr>
      <w:r>
        <w:t>NVP</w:t>
      </w:r>
      <w:r w:rsidR="00CB14A5" w:rsidRPr="004A75B4">
        <w:t xml:space="preserve"> është menduar si një mjet i dobishëm për konsumatorët që krahasojnë kostot e kredisë, por kufizimet e saj kërkojnë shqyrtim të kujdesshëm të kushteve themelore të kredisë. Kornizat rregullatore shpesh kërkojnë zbulimin e </w:t>
      </w:r>
      <w:r>
        <w:t>NVP</w:t>
      </w:r>
      <w:r w:rsidR="00CB14A5" w:rsidRPr="004A75B4">
        <w:t xml:space="preserve"> për të vendosur një pikë referimi të përbashkët për krahasim. Megjithatë, metodologjia specifike e llogaritjes ndonjëherë mund të përjashtojë tarifa të caktuara (siç janë gjobat për pagesa të vonuara) dhe mund të mos pasqyrojë plotësisht ndikimin e normave të interesit të ndryshueshme ose frekuencën e llogaritjes së interesit të përbërë. Si pasojë, ndërsa </w:t>
      </w:r>
      <w:r>
        <w:t>NVP</w:t>
      </w:r>
      <w:r w:rsidR="00CB14A5" w:rsidRPr="004A75B4">
        <w:t xml:space="preserve"> ofron një pikënisje të vlefshme për krahasim, mbështetja vetëm në këtë shifër pa një kuptim të plotë të llojit të normës së interesit të lidhur (fikse ose të ndryshueshme), orarit të llogaritjes së përbërë dhe strukturës së plotë të tarifave mund të jetë potencialisht mashtruese për huamarrësit.</w:t>
      </w:r>
      <w:r w:rsidR="00CB14A5" w:rsidRPr="004A75B4">
        <w:rPr>
          <w:rFonts w:eastAsia="Google Sans Text" w:cs="Times New Roman"/>
          <w:color w:val="575B5F"/>
          <w:szCs w:val="24"/>
          <w:vertAlign w:val="superscript"/>
        </w:rPr>
        <w:t>3</w:t>
      </w:r>
      <w:r w:rsidR="00CB14A5" w:rsidRPr="004A75B4">
        <w:t>.</w:t>
      </w:r>
    </w:p>
    <w:p w:rsidR="00CB14A5" w:rsidRPr="004A75B4" w:rsidRDefault="00CB14A5" w:rsidP="00724ACE">
      <w:pPr>
        <w:widowControl w:val="0"/>
        <w:numPr>
          <w:ilvl w:val="0"/>
          <w:numId w:val="5"/>
        </w:numPr>
        <w:pBdr>
          <w:top w:val="nil"/>
          <w:left w:val="nil"/>
          <w:bottom w:val="nil"/>
          <w:right w:val="nil"/>
          <w:between w:val="nil"/>
        </w:pBdr>
        <w:spacing w:after="120"/>
        <w:jc w:val="left"/>
        <w:rPr>
          <w:b/>
          <w:bCs/>
        </w:rPr>
      </w:pPr>
      <w:r w:rsidRPr="004A75B4">
        <w:rPr>
          <w:b/>
          <w:bCs/>
        </w:rPr>
        <w:t>1.1.5 Afati i Kredisë</w:t>
      </w:r>
    </w:p>
    <w:p w:rsidR="00CB14A5" w:rsidRPr="005D05F6" w:rsidRDefault="00CB14A5" w:rsidP="00724ACE">
      <w:pPr>
        <w:pBdr>
          <w:top w:val="nil"/>
          <w:left w:val="nil"/>
          <w:bottom w:val="nil"/>
          <w:right w:val="nil"/>
          <w:between w:val="nil"/>
        </w:pBdr>
        <w:spacing w:before="240"/>
      </w:pPr>
      <w:r w:rsidRPr="005D05F6">
        <w:t>Afati i kredisë është periudha e caktuar me kontratë gjatë së cilës huamarrësi është i detyruar ta shlyejë kredinë plotësisht.</w:t>
      </w:r>
      <w:r w:rsidRPr="005D05F6">
        <w:rPr>
          <w:rFonts w:eastAsia="Google Sans Text" w:cs="Times New Roman"/>
          <w:color w:val="575B5F"/>
          <w:szCs w:val="24"/>
          <w:vertAlign w:val="superscript"/>
        </w:rPr>
        <w:t>1</w:t>
      </w:r>
      <w:r w:rsidR="005D05F6" w:rsidRPr="005D05F6">
        <w:t xml:space="preserve"> K</w:t>
      </w:r>
      <w:r w:rsidRPr="005D05F6">
        <w:t>ohëzgjatja e afateve të kredisë ndryshon ndjeshëm në varësi të llojit të kredisë. Për shembull, kreditë e shpejta zakonisht kanë afate shumë të shkurtra, shpesh të lidhura me ciklin e ardhshëm të pagës së huamarrësit, ndërsa hipotekat zakonisht zgjasin për periudha shumë më të gjata, të tilla si 15 ose 30 vjet.</w:t>
      </w:r>
      <w:r w:rsidRPr="005D05F6">
        <w:rPr>
          <w:rFonts w:eastAsia="Google Sans Text" w:cs="Times New Roman"/>
          <w:color w:val="575B5F"/>
          <w:szCs w:val="24"/>
          <w:vertAlign w:val="superscript"/>
        </w:rPr>
        <w:t>7</w:t>
      </w:r>
      <w:r w:rsidR="005D05F6">
        <w:rPr>
          <w:rFonts w:ascii="Google Sans Text" w:eastAsia="Google Sans Text" w:hAnsi="Google Sans Text"/>
          <w:szCs w:val="24"/>
        </w:rPr>
        <w:t xml:space="preserve"> </w:t>
      </w:r>
      <w:r w:rsidR="005D05F6" w:rsidRPr="005D05F6">
        <w:t>K</w:t>
      </w:r>
      <w:r w:rsidRPr="005D05F6">
        <w:t>reditë personale zakonisht bien në mes, shpesh duke filluar nga një deri në shtatë vjet</w:t>
      </w:r>
      <w:r w:rsidRPr="005D05F6">
        <w:rPr>
          <w:rFonts w:eastAsia="Google Sans Text" w:cs="Times New Roman"/>
          <w:color w:val="575B5F"/>
          <w:szCs w:val="24"/>
          <w:vertAlign w:val="superscript"/>
        </w:rPr>
        <w:t>7</w:t>
      </w:r>
      <w:r w:rsidRPr="005D05F6">
        <w:t>.</w:t>
      </w:r>
    </w:p>
    <w:p w:rsidR="00CB14A5" w:rsidRPr="005D05F6" w:rsidRDefault="00CB14A5" w:rsidP="00724ACE">
      <w:pPr>
        <w:pBdr>
          <w:top w:val="nil"/>
          <w:left w:val="nil"/>
          <w:bottom w:val="nil"/>
          <w:right w:val="nil"/>
          <w:between w:val="nil"/>
        </w:pBdr>
        <w:spacing w:after="120"/>
      </w:pPr>
      <w:r w:rsidRPr="005D05F6">
        <w:t>Kohëzgjatja e afatit të kredisë ka një ndikim të rëndësishëm si në detyrimet mujore të pagesës së huamarrësit ashtu edhe në shumën totale të interesit të paguar gjatë jetëgjatësisë së kredisë.</w:t>
      </w:r>
      <w:r w:rsidRPr="005D05F6">
        <w:rPr>
          <w:rFonts w:eastAsia="Google Sans Text" w:cs="Times New Roman"/>
          <w:color w:val="575B5F"/>
          <w:szCs w:val="24"/>
          <w:vertAlign w:val="superscript"/>
        </w:rPr>
        <w:t>8</w:t>
      </w:r>
      <w:r w:rsidR="005D05F6">
        <w:rPr>
          <w:rFonts w:ascii="Google Sans Text" w:eastAsia="Google Sans Text" w:hAnsi="Google Sans Text"/>
          <w:szCs w:val="24"/>
        </w:rPr>
        <w:t xml:space="preserve"> </w:t>
      </w:r>
      <w:r w:rsidR="005D05F6" w:rsidRPr="005D05F6">
        <w:t>Z</w:t>
      </w:r>
      <w:r w:rsidRPr="005D05F6">
        <w:t>gjedhja e një afati më të gjatë të kredisë në përgjithësi rezulton në pagesa mujore më të ulëta, pasi shlyerja e principalit shpërndahet në një numër më të madh periudhash. Megjithatë, kjo kohëzgjatje e zgjatur do të thotë që interesi grumbullohet për një kohë më të gjatë, duke çuar në një kosto totale interesi dukshëm më të lartë gjatë gjithë afatit të kredisë. Anasjelltas, zgjedhja e një afati më të shkurtër të kredisë kërkon pagesa mujore më të larta për shkak të orarit të përshpejtuar të shlyerjes së principalit. Përfitimi i një afati më të shkurtër është një ulje e interesit të përgjithshëm të paguar, pasi afati kohor gjatë të cilit grumbullohet interesi minimizohet.</w:t>
      </w:r>
      <w:r w:rsidRPr="005D05F6">
        <w:rPr>
          <w:rFonts w:eastAsia="Google Sans Text" w:cs="Times New Roman"/>
          <w:color w:val="575B5F"/>
          <w:szCs w:val="24"/>
          <w:vertAlign w:val="superscript"/>
        </w:rPr>
        <w:t>8</w:t>
      </w:r>
      <w:r w:rsidR="005D05F6">
        <w:rPr>
          <w:rFonts w:ascii="Google Sans Text" w:eastAsia="Google Sans Text" w:hAnsi="Google Sans Text"/>
          <w:szCs w:val="24"/>
        </w:rPr>
        <w:t xml:space="preserve"> </w:t>
      </w:r>
      <w:r w:rsidR="005D05F6" w:rsidRPr="005D05F6">
        <w:t>K</w:t>
      </w:r>
      <w:r w:rsidRPr="005D05F6">
        <w:t xml:space="preserve">y kompromis i natyrshëm midis përballueshmërisë së pagesave mujore dhe kostos totale të </w:t>
      </w:r>
      <w:r w:rsidRPr="005D05F6">
        <w:lastRenderedPageBreak/>
        <w:t>huamarrjes përfaqëson një pikë vendimtare kritike për huamarrësit kur strukturojnë marrëveshjet e tyre të kredisë.</w:t>
      </w:r>
      <w:r w:rsidRPr="005D05F6">
        <w:rPr>
          <w:rFonts w:eastAsia="Google Sans Text" w:cs="Times New Roman"/>
          <w:color w:val="575B5F"/>
          <w:szCs w:val="24"/>
          <w:vertAlign w:val="superscript"/>
        </w:rPr>
        <w:t>8</w:t>
      </w:r>
      <w:r w:rsidRPr="005D05F6">
        <w:t>.</w:t>
      </w:r>
    </w:p>
    <w:p w:rsidR="00CB14A5" w:rsidRPr="005D05F6" w:rsidRDefault="00CB14A5" w:rsidP="00724ACE">
      <w:pPr>
        <w:widowControl w:val="0"/>
        <w:numPr>
          <w:ilvl w:val="0"/>
          <w:numId w:val="6"/>
        </w:numPr>
        <w:pBdr>
          <w:top w:val="nil"/>
          <w:left w:val="nil"/>
          <w:bottom w:val="nil"/>
          <w:right w:val="nil"/>
          <w:between w:val="nil"/>
        </w:pBdr>
        <w:spacing w:after="120"/>
        <w:jc w:val="left"/>
      </w:pPr>
      <w:r w:rsidRPr="005D05F6">
        <w:rPr>
          <w:b/>
          <w:bCs/>
        </w:rPr>
        <w:t>1.1.6 Kolateral</w:t>
      </w:r>
      <w:r w:rsidRPr="005D05F6">
        <w:t>i</w:t>
      </w:r>
    </w:p>
    <w:p w:rsidR="00CB14A5" w:rsidRPr="005D05F6" w:rsidRDefault="00CB14A5" w:rsidP="00724ACE">
      <w:pPr>
        <w:pBdr>
          <w:top w:val="nil"/>
          <w:left w:val="nil"/>
          <w:bottom w:val="nil"/>
          <w:right w:val="nil"/>
          <w:between w:val="nil"/>
        </w:pBdr>
        <w:spacing w:before="240"/>
      </w:pPr>
      <w:r w:rsidRPr="005D05F6">
        <w:t>Kolaterali i referohet një pasurie specifike që një huamarrës ia premton një huadhënësi si siguri për një kredi.</w:t>
      </w:r>
      <w:r w:rsidRPr="005D05F6">
        <w:rPr>
          <w:rFonts w:eastAsia="Google Sans Text" w:cs="Times New Roman"/>
          <w:color w:val="575B5F"/>
          <w:szCs w:val="24"/>
          <w:vertAlign w:val="superscript"/>
        </w:rPr>
        <w:t>1</w:t>
      </w:r>
      <w:r w:rsidR="005D05F6">
        <w:rPr>
          <w:rFonts w:ascii="Google Sans Text" w:eastAsia="Google Sans Text" w:hAnsi="Google Sans Text"/>
          <w:szCs w:val="24"/>
        </w:rPr>
        <w:t xml:space="preserve"> </w:t>
      </w:r>
      <w:r w:rsidR="005D05F6" w:rsidRPr="005D05F6">
        <w:t>K</w:t>
      </w:r>
      <w:r w:rsidRPr="005D05F6">
        <w:t>y peng i jep huadhënësit të drejtën për të sekuestruar dhe shitur asetin e kolateralizuar nëse huamarrësi nuk i përmbush detyrimet e tij të shlyerjes, duke i lejuar huadhënësit të rikuperojë humbjet e tij të mundshme.</w:t>
      </w:r>
      <w:r w:rsidRPr="005D05F6">
        <w:rPr>
          <w:rFonts w:eastAsia="Google Sans Text" w:cs="Times New Roman"/>
          <w:color w:val="575B5F"/>
          <w:szCs w:val="24"/>
          <w:vertAlign w:val="superscript"/>
        </w:rPr>
        <w:t>1</w:t>
      </w:r>
      <w:r w:rsidR="005D05F6">
        <w:rPr>
          <w:rFonts w:ascii="Google Sans Text" w:eastAsia="Google Sans Text" w:hAnsi="Google Sans Text"/>
          <w:szCs w:val="24"/>
        </w:rPr>
        <w:t xml:space="preserve"> </w:t>
      </w:r>
      <w:r w:rsidR="005D05F6" w:rsidRPr="005D05F6">
        <w:t>S</w:t>
      </w:r>
      <w:r w:rsidRPr="005D05F6">
        <w:t>hembuj të zakonshëm të kolateralit përfshijnë pasuri të paluajtshme (për hipoteka), automjete (për kredi për makina) ose fonde në një llogari kursimi (për disa kredi personale të siguruara).</w:t>
      </w:r>
      <w:r w:rsidRPr="005D05F6">
        <w:rPr>
          <w:rFonts w:eastAsia="Google Sans Text" w:cs="Times New Roman"/>
          <w:color w:val="575B5F"/>
          <w:szCs w:val="24"/>
          <w:vertAlign w:val="superscript"/>
        </w:rPr>
        <w:t>1</w:t>
      </w:r>
      <w:r w:rsidRPr="005D05F6">
        <w:t>.</w:t>
      </w:r>
    </w:p>
    <w:p w:rsidR="00CB14A5" w:rsidRPr="005D05F6" w:rsidRDefault="00CB14A5" w:rsidP="00724ACE">
      <w:pPr>
        <w:pBdr>
          <w:top w:val="nil"/>
          <w:left w:val="nil"/>
          <w:bottom w:val="nil"/>
          <w:right w:val="nil"/>
          <w:between w:val="nil"/>
        </w:pBdr>
      </w:pPr>
      <w:r w:rsidRPr="005D05F6">
        <w:t>Kreditë që mbështeten nga kolaterali njihen si "kredi të siguruara".</w:t>
      </w:r>
      <w:r w:rsidRPr="005D05F6">
        <w:rPr>
          <w:rFonts w:eastAsia="Google Sans Text" w:cs="Times New Roman"/>
          <w:color w:val="575B5F"/>
          <w:szCs w:val="24"/>
          <w:vertAlign w:val="superscript"/>
        </w:rPr>
        <w:t>1</w:t>
      </w:r>
      <w:r w:rsidR="005D05F6">
        <w:rPr>
          <w:rFonts w:ascii="Google Sans Text" w:eastAsia="Google Sans Text" w:hAnsi="Google Sans Text"/>
          <w:szCs w:val="24"/>
        </w:rPr>
        <w:t xml:space="preserve"> </w:t>
      </w:r>
      <w:r w:rsidR="005D05F6" w:rsidRPr="005D05F6">
        <w:t>A</w:t>
      </w:r>
      <w:r w:rsidRPr="005D05F6">
        <w:t>nasjelltas, kreditë e dhëna pa kërkesën e aseteve të premtuara quhen "kredi të pasigurta". Shembuj të kredive të pasigurta përfshijnë shumicën e kredive personale, kartat e kreditit dhe shumicën e kredive studentore.</w:t>
      </w:r>
      <w:r w:rsidRPr="005D05F6">
        <w:rPr>
          <w:rFonts w:eastAsia="Google Sans Text" w:cs="Times New Roman"/>
          <w:color w:val="575B5F"/>
          <w:szCs w:val="24"/>
          <w:vertAlign w:val="superscript"/>
        </w:rPr>
        <w:t>1</w:t>
      </w:r>
      <w:r w:rsidRPr="005D05F6">
        <w:t>.</w:t>
      </w:r>
    </w:p>
    <w:p w:rsidR="00CB14A5" w:rsidRDefault="00CB14A5" w:rsidP="00724ACE">
      <w:pPr>
        <w:pBdr>
          <w:top w:val="nil"/>
          <w:left w:val="nil"/>
          <w:bottom w:val="nil"/>
          <w:right w:val="nil"/>
          <w:between w:val="nil"/>
        </w:pBdr>
      </w:pPr>
      <w:r w:rsidRPr="005D05F6">
        <w:t>Prania e kolateralit zbut ndjeshëm rrezikun që mbart huadhënësi. Ky rrezik i reduktuar shpesh përkthehet në përfitime të prekshme për huamarrësin, siç është kualifikimi potencialisht më i lehtë për kredinë (veçanërisht për individët me histori krediti jo të përsosur), norma interesi më të ulëta (</w:t>
      </w:r>
      <w:r w:rsidR="00C56A5E">
        <w:t>NVP</w:t>
      </w:r>
      <w:r w:rsidRPr="005D05F6">
        <w:t>) dhe mundësia e marrjes së shumave më të mëdha të kredisë krahasuar me alternativat e pasiguruara.</w:t>
      </w:r>
      <w:r w:rsidRPr="005D05F6">
        <w:rPr>
          <w:rFonts w:eastAsia="Google Sans Text" w:cs="Times New Roman"/>
          <w:color w:val="575B5F"/>
          <w:szCs w:val="24"/>
          <w:vertAlign w:val="superscript"/>
        </w:rPr>
        <w:t>9</w:t>
      </w:r>
      <w:r w:rsidR="005D05F6">
        <w:rPr>
          <w:rFonts w:ascii="Google Sans Text" w:eastAsia="Google Sans Text" w:hAnsi="Google Sans Text"/>
          <w:szCs w:val="24"/>
        </w:rPr>
        <w:t xml:space="preserve"> </w:t>
      </w:r>
      <w:r w:rsidR="005D05F6" w:rsidRPr="005D05F6">
        <w:t>M</w:t>
      </w:r>
      <w:r w:rsidRPr="005D05F6">
        <w:t>egjithatë, përdorimi i kolateralit sjell një rrezik të konsiderueshëm për huamarrësin: humbjen e mundshme të aktivit të lënë peng nëse ata nuk janë në gjendje të përmbushin detyrimet e tyre të shlyerjes.</w:t>
      </w:r>
      <w:r w:rsidRPr="005D05F6">
        <w:rPr>
          <w:rFonts w:eastAsia="Google Sans Text" w:cs="Times New Roman"/>
          <w:color w:val="575B5F"/>
          <w:szCs w:val="24"/>
          <w:vertAlign w:val="superscript"/>
        </w:rPr>
        <w:t>9</w:t>
      </w:r>
      <w:r w:rsidR="005D05F6" w:rsidRPr="005D05F6">
        <w:t xml:space="preserve"> A</w:t>
      </w:r>
      <w:r w:rsidRPr="005D05F6">
        <w:t>ftësia e huadhënësit për të sekuestruar dhe likuiduar kolateralin vepron si një rrjet sigurie financiare për ta. Për huamarrësin, kjo do të thotë që qasja në kushte kredie potencialisht më të favorshme vjen me pasojat e rënda të mundshme të humbjes së pronës së vlefshme si një shtëpi ose makinë në rast mospagese. Kreditë e pasigurta, të cilave u mungon kjo rrjetë sigurie për huadhënësin, e vendosin rrezikun tërësisht në vlerësimin e huadhënësit për mundësinë e huamarrësit për të shlyer, duke çuar në kritere më të rrepta kualifikimi dhe shpesh norma interesi më të larta për të kompensuar rrezikun në rritje.</w:t>
      </w:r>
      <w:r w:rsidRPr="005D05F6">
        <w:rPr>
          <w:rFonts w:eastAsia="Google Sans Text" w:cs="Times New Roman"/>
          <w:color w:val="575B5F"/>
          <w:szCs w:val="24"/>
          <w:vertAlign w:val="superscript"/>
        </w:rPr>
        <w:t>9</w:t>
      </w:r>
      <w:r w:rsidRPr="005D05F6">
        <w:t>.</w:t>
      </w:r>
    </w:p>
    <w:p w:rsidR="005D05F6" w:rsidRDefault="005D05F6" w:rsidP="00724ACE">
      <w:pPr>
        <w:pBdr>
          <w:top w:val="nil"/>
          <w:left w:val="nil"/>
          <w:bottom w:val="nil"/>
          <w:right w:val="nil"/>
          <w:between w:val="nil"/>
        </w:pBdr>
      </w:pPr>
    </w:p>
    <w:p w:rsidR="009B74E1" w:rsidRDefault="009B74E1" w:rsidP="00724ACE">
      <w:pPr>
        <w:pBdr>
          <w:top w:val="nil"/>
          <w:left w:val="nil"/>
          <w:bottom w:val="nil"/>
          <w:right w:val="nil"/>
          <w:between w:val="nil"/>
        </w:pBdr>
      </w:pPr>
    </w:p>
    <w:p w:rsidR="009B74E1" w:rsidRDefault="009B74E1" w:rsidP="00724ACE">
      <w:pPr>
        <w:pBdr>
          <w:top w:val="nil"/>
          <w:left w:val="nil"/>
          <w:bottom w:val="nil"/>
          <w:right w:val="nil"/>
          <w:between w:val="nil"/>
        </w:pBdr>
      </w:pPr>
    </w:p>
    <w:p w:rsidR="005D05F6" w:rsidRDefault="005D05F6" w:rsidP="003838A9">
      <w:pPr>
        <w:pStyle w:val="Heading2"/>
      </w:pPr>
      <w:bookmarkStart w:id="9" w:name="_Toc198558470"/>
      <w:r w:rsidRPr="005D05F6">
        <w:lastRenderedPageBreak/>
        <w:t xml:space="preserve">Seksioni 1.2: </w:t>
      </w:r>
      <w:r w:rsidR="006E0EA1" w:rsidRPr="006E0EA1">
        <w:t>Llojet e Kredive dhe Diferencimi i Tyre</w:t>
      </w:r>
      <w:bookmarkEnd w:id="9"/>
    </w:p>
    <w:p w:rsidR="005D05F6" w:rsidRPr="005D05F6" w:rsidRDefault="005D05F6" w:rsidP="00724ACE">
      <w:pPr>
        <w:widowControl w:val="0"/>
        <w:numPr>
          <w:ilvl w:val="0"/>
          <w:numId w:val="9"/>
        </w:numPr>
        <w:pBdr>
          <w:top w:val="nil"/>
          <w:left w:val="nil"/>
          <w:bottom w:val="nil"/>
          <w:right w:val="nil"/>
          <w:between w:val="nil"/>
        </w:pBdr>
        <w:spacing w:after="120"/>
        <w:jc w:val="left"/>
        <w:rPr>
          <w:b/>
          <w:bCs/>
        </w:rPr>
      </w:pPr>
      <w:r w:rsidRPr="005D05F6">
        <w:rPr>
          <w:b/>
          <w:bCs/>
        </w:rPr>
        <w:t>1.2.1 Kreditë e siguruara kundrejt atyre të pasiguruara</w:t>
      </w:r>
    </w:p>
    <w:p w:rsidR="005D05F6" w:rsidRPr="005D05F6" w:rsidRDefault="005D05F6" w:rsidP="00724ACE">
      <w:pPr>
        <w:pBdr>
          <w:top w:val="nil"/>
          <w:left w:val="nil"/>
          <w:bottom w:val="nil"/>
          <w:right w:val="nil"/>
          <w:between w:val="nil"/>
        </w:pBdr>
        <w:spacing w:before="240"/>
      </w:pPr>
      <w:r w:rsidRPr="005D05F6">
        <w:t>Dallimi themelor midis kredive të siguruara dhe të pasiguruara qëndron në kërkesën për kolateral.</w:t>
      </w:r>
      <w:r w:rsidRPr="005D05F6">
        <w:rPr>
          <w:rFonts w:eastAsia="Google Sans Text" w:cs="Times New Roman"/>
          <w:color w:val="575B5F"/>
          <w:szCs w:val="24"/>
          <w:vertAlign w:val="superscript"/>
        </w:rPr>
        <w:t>9</w:t>
      </w:r>
      <w:r w:rsidRPr="005D05F6">
        <w:t>.</w:t>
      </w:r>
    </w:p>
    <w:p w:rsidR="005D05F6" w:rsidRPr="005D05F6" w:rsidRDefault="005D05F6" w:rsidP="00724ACE">
      <w:pPr>
        <w:pBdr>
          <w:top w:val="nil"/>
          <w:left w:val="nil"/>
          <w:bottom w:val="nil"/>
          <w:right w:val="nil"/>
          <w:between w:val="nil"/>
        </w:pBdr>
      </w:pPr>
      <w:r w:rsidRPr="005D05F6">
        <w:rPr>
          <w:b/>
          <w:bCs/>
        </w:rPr>
        <w:t>Kredi të Siguruara</w:t>
      </w:r>
      <w:r w:rsidRPr="005D05F6">
        <w:t xml:space="preserve"> e bëjnë të domosdoshme që huamarrësi të lërë peng një aset specifik (kolateral) te huadhënësi si siguri për borxhin.</w:t>
      </w:r>
      <w:r w:rsidRPr="005D05F6">
        <w:rPr>
          <w:rFonts w:eastAsia="Google Sans Text" w:cs="Times New Roman"/>
          <w:color w:val="575B5F"/>
          <w:szCs w:val="24"/>
          <w:vertAlign w:val="superscript"/>
        </w:rPr>
        <w:t>1</w:t>
      </w:r>
      <w:r w:rsidRPr="005D05F6">
        <w:t xml:space="preserve"> Ky kolateral, siç janë pasuritë e paluajtshme për një hipotekë ose një automjet për një kredi automobilistike, mund të sekuestrohet nga huadhënësi nëse huamarrësi nuk i kryen pagesat.</w:t>
      </w:r>
      <w:r w:rsidRPr="005D05F6">
        <w:rPr>
          <w:rFonts w:eastAsia="Google Sans Text" w:cs="Times New Roman"/>
          <w:color w:val="575B5F"/>
          <w:szCs w:val="24"/>
          <w:vertAlign w:val="superscript"/>
        </w:rPr>
        <w:t>1</w:t>
      </w:r>
      <w:r w:rsidRPr="005D05F6">
        <w:t xml:space="preserve"> Meqenëse kolaterali zvogëlon humbjet e mundshme të huadhënësit, kreditë e siguruara në përgjithësi paraqesin më pak rrezik për huadhënësin. Kjo shpesh rezulton në avantazhe për huamarrësin, duke përfshirë Norma Përqindjeje Vjetore (</w:t>
      </w:r>
      <w:r w:rsidR="00C56A5E">
        <w:t>NVP</w:t>
      </w:r>
      <w:r w:rsidRPr="005D05F6">
        <w:t>) potencialisht më të ulëta, mundësinë e kualifikimit për shuma më të larta kredie dhe standarde kualifikimi disi më të lehta, veçanërisht për individët me rezultate më të ulëta krediti.</w:t>
      </w:r>
      <w:r w:rsidRPr="005D05F6">
        <w:rPr>
          <w:rFonts w:eastAsia="Google Sans Text" w:cs="Times New Roman"/>
          <w:color w:val="575B5F"/>
          <w:szCs w:val="24"/>
          <w:vertAlign w:val="superscript"/>
        </w:rPr>
        <w:t>9</w:t>
      </w:r>
      <w:r w:rsidRPr="005D05F6">
        <w:t xml:space="preserve"> Megjithatë, disavantazhi kryesor për huamarrësin është rreziku i konsiderueshëm i humbjes së aktivit të premtuar në rast të mospërmbushjes së detyrimeve.</w:t>
      </w:r>
      <w:r w:rsidRPr="005D05F6">
        <w:rPr>
          <w:rFonts w:eastAsia="Google Sans Text" w:cs="Times New Roman"/>
          <w:color w:val="575B5F"/>
          <w:szCs w:val="24"/>
          <w:vertAlign w:val="superscript"/>
        </w:rPr>
        <w:t>9</w:t>
      </w:r>
      <w:r w:rsidRPr="005D05F6">
        <w:t xml:space="preserve"> Shembujt përfshijnë hipotekat, kreditë për makina, kartat e kreditit të siguruara, kreditë me peng dhe kreditë personale të siguruara.</w:t>
      </w:r>
      <w:r w:rsidRPr="005D05F6">
        <w:rPr>
          <w:rFonts w:eastAsia="Google Sans Text" w:cs="Times New Roman"/>
          <w:color w:val="575B5F"/>
          <w:szCs w:val="24"/>
          <w:vertAlign w:val="superscript"/>
        </w:rPr>
        <w:t>1</w:t>
      </w:r>
      <w:r w:rsidRPr="005D05F6">
        <w:t>.</w:t>
      </w:r>
    </w:p>
    <w:p w:rsidR="005D05F6" w:rsidRPr="001B1698" w:rsidRDefault="005D05F6" w:rsidP="00724ACE">
      <w:pPr>
        <w:pBdr>
          <w:top w:val="nil"/>
          <w:left w:val="nil"/>
          <w:bottom w:val="nil"/>
          <w:right w:val="nil"/>
          <w:between w:val="nil"/>
        </w:pBdr>
      </w:pPr>
      <w:r w:rsidRPr="001B1698">
        <w:rPr>
          <w:b/>
          <w:bCs/>
        </w:rPr>
        <w:t>Kredi të pasigurta</w:t>
      </w:r>
      <w:r w:rsidRPr="001B1698">
        <w:t>, në të kundërt, nuk kërkojnë asnjë kolateral</w:t>
      </w:r>
      <w:r w:rsidRPr="001B1698">
        <w:rPr>
          <w:rFonts w:eastAsia="Google Sans Text" w:cs="Times New Roman"/>
          <w:color w:val="575B5F"/>
          <w:szCs w:val="24"/>
          <w:vertAlign w:val="superscript"/>
        </w:rPr>
        <w:t>1</w:t>
      </w:r>
      <w:r w:rsidR="001B1698" w:rsidRPr="001B1698">
        <w:t xml:space="preserve"> V</w:t>
      </w:r>
      <w:r w:rsidRPr="001B1698">
        <w:t>endimi i huadhënësit për të miratuar një kredi të pasiguruar bazohet tërësisht në një vlerësim të aftësisë kreditore të huamarrësit. Ky vlerësim zakonisht përfshin shqyrtimin e pikëve të kreditit të huamarrësit, historikut të kreditit, nivelit të të ardhurave dhe detyrimeve ekzistuese të borxhit (shpesh të matura nga raporti borxh-të ardhura).</w:t>
      </w:r>
      <w:r w:rsidRPr="001B1698">
        <w:rPr>
          <w:rFonts w:eastAsia="Google Sans Text" w:cs="Times New Roman"/>
          <w:color w:val="575B5F"/>
          <w:szCs w:val="24"/>
          <w:vertAlign w:val="superscript"/>
        </w:rPr>
        <w:t>9</w:t>
      </w:r>
      <w:r w:rsidR="001B1698" w:rsidRPr="001B1698">
        <w:t xml:space="preserve"> M</w:t>
      </w:r>
      <w:r w:rsidRPr="001B1698">
        <w:t>eqenëse nuk ka kolateral për t'u rikuperuar në rast mospagese, kreditë e pasiguruara përfaqësojnë një rrezik më të lartë për huadhënësit. Si pasojë, ato shpesh vijnë me norma vjetore të interesit (zakonisht duke filluar nga 6% në 36%) dhe kërkesa më të rrepta kualifikimi.</w:t>
      </w:r>
      <w:r w:rsidRPr="001B1698">
        <w:rPr>
          <w:rFonts w:eastAsia="Google Sans Text" w:cs="Times New Roman"/>
          <w:color w:val="575B5F"/>
          <w:szCs w:val="24"/>
          <w:vertAlign w:val="superscript"/>
        </w:rPr>
        <w:t>9</w:t>
      </w:r>
      <w:r w:rsidR="001B1698" w:rsidRPr="001B1698">
        <w:t xml:space="preserve"> H</w:t>
      </w:r>
      <w:r w:rsidRPr="001B1698">
        <w:t>uamarrësit zakonisht kanë nevojë për rezultate krediti të mira deri të shkëlqyera për të siguruar normat dhe kushtet më të favorshme.</w:t>
      </w:r>
      <w:r w:rsidRPr="001B1698">
        <w:rPr>
          <w:rFonts w:eastAsia="Google Sans Text" w:cs="Times New Roman"/>
          <w:color w:val="575B5F"/>
          <w:szCs w:val="24"/>
          <w:vertAlign w:val="superscript"/>
        </w:rPr>
        <w:t>9</w:t>
      </w:r>
      <w:r w:rsidR="001B1698" w:rsidRPr="001B1698">
        <w:t xml:space="preserve"> N</w:t>
      </w:r>
      <w:r w:rsidRPr="001B1698">
        <w:t>dërsa huamarrësi nuk rrezikon sekuestrimin e drejtpërdrejtë të një pasurie specifike në rast mospagese, mosshlyerja e një kredie të pasiguruar mbart pasoja të rënda, duke përfshirë dëmtime të konsiderueshme në rezultatin e kreditit të tyre, përpjekje agresive për mbledhjen e detyrimeve dhe veprime të mundshme ligjore që çojnë në sekuestrimin e pagës ose pengjet e pronës.</w:t>
      </w:r>
      <w:r w:rsidRPr="001B1698">
        <w:rPr>
          <w:rFonts w:eastAsia="Google Sans Text" w:cs="Times New Roman"/>
          <w:color w:val="575B5F"/>
          <w:szCs w:val="24"/>
          <w:vertAlign w:val="superscript"/>
        </w:rPr>
        <w:t>9</w:t>
      </w:r>
      <w:r w:rsidR="001B1698" w:rsidRPr="001B1698">
        <w:t xml:space="preserve"> S</w:t>
      </w:r>
      <w:r w:rsidRPr="001B1698">
        <w:t xml:space="preserve">hembuj të zakonshëm të kredive të </w:t>
      </w:r>
      <w:r w:rsidRPr="001B1698">
        <w:lastRenderedPageBreak/>
        <w:t>pasigurta përfshijnë shumicën e kredive personale, kartat e kreditit, shumicën e kredive federale për studentë dhe kreditë e shpejta.</w:t>
      </w:r>
      <w:r w:rsidRPr="001B1698">
        <w:rPr>
          <w:rFonts w:eastAsia="Google Sans Text" w:cs="Times New Roman"/>
          <w:color w:val="575B5F"/>
          <w:szCs w:val="24"/>
          <w:vertAlign w:val="superscript"/>
        </w:rPr>
        <w:t>1</w:t>
      </w:r>
      <w:r w:rsidRPr="001B1698">
        <w:t>.</w:t>
      </w:r>
    </w:p>
    <w:p w:rsidR="005D05F6" w:rsidRPr="001B1698" w:rsidRDefault="005D05F6" w:rsidP="00724ACE">
      <w:pPr>
        <w:pBdr>
          <w:top w:val="nil"/>
          <w:left w:val="nil"/>
          <w:bottom w:val="nil"/>
          <w:right w:val="nil"/>
          <w:between w:val="nil"/>
        </w:pBdr>
        <w:spacing w:after="120"/>
      </w:pPr>
      <w:r w:rsidRPr="001B1698">
        <w:t>Zgjedhja midis këtyre dy llojeve të kredive përfshin një kompromis kritik për huamarrësin. Kreditë e siguruara shfrytëzojnë vlerën e një aseti për ta bërë kredinë më të arritshme dhe më pak të kushtueshme, gjë që mund të jetë veçanërisht e dobishme për ata me profile më të dobëta krediti. Megjithatë, kjo aksesueshmëri balancohet nga rreziku i humbjes së pronës së lënë peng.</w:t>
      </w:r>
      <w:r w:rsidRPr="001B1698">
        <w:rPr>
          <w:rFonts w:eastAsia="Google Sans Text" w:cs="Times New Roman"/>
          <w:color w:val="575B5F"/>
          <w:szCs w:val="24"/>
          <w:vertAlign w:val="superscript"/>
        </w:rPr>
        <w:t>9</w:t>
      </w:r>
      <w:r w:rsidR="001B1698" w:rsidRPr="001B1698">
        <w:t xml:space="preserve"> K</w:t>
      </w:r>
      <w:r w:rsidRPr="001B1698">
        <w:t>reditë e pasigurta ofrojnë mbrojtje kundër sekuestrimit të drejtpërdrejtë të aseteve, por i kushtojnë më shumë rëndësi historisë së kreditit dhe stabilitetit financiar të huamarrësit, duke rezultuar shpesh në kosto më të larta huamarrjeje dhe procese më të rrepta miratimi.</w:t>
      </w:r>
      <w:r w:rsidRPr="001B1698">
        <w:rPr>
          <w:rFonts w:eastAsia="Google Sans Text" w:cs="Times New Roman"/>
          <w:color w:val="575B5F"/>
          <w:szCs w:val="24"/>
          <w:vertAlign w:val="superscript"/>
        </w:rPr>
        <w:t>9</w:t>
      </w:r>
      <w:r w:rsidR="001B1698" w:rsidRPr="001B1698">
        <w:t xml:space="preserve"> S</w:t>
      </w:r>
      <w:r w:rsidRPr="001B1698">
        <w:t>ituata individuale e kredisë së një huamarrësi, stabiliteti financiar dhe toleranca ndaj riskut janë thelbësore në përcaktimin se cili lloj kredie është më i përshtatshëm për nevojat e tyre.</w:t>
      </w:r>
      <w:r w:rsidRPr="001B1698">
        <w:rPr>
          <w:rFonts w:eastAsia="Google Sans Text" w:cs="Times New Roman"/>
          <w:color w:val="575B5F"/>
          <w:szCs w:val="24"/>
          <w:vertAlign w:val="superscript"/>
        </w:rPr>
        <w:t>9</w:t>
      </w:r>
      <w:r w:rsidRPr="001B1698">
        <w:t>.</w:t>
      </w:r>
    </w:p>
    <w:p w:rsidR="005D05F6" w:rsidRPr="001B1698" w:rsidRDefault="005D05F6" w:rsidP="00724ACE">
      <w:pPr>
        <w:widowControl w:val="0"/>
        <w:numPr>
          <w:ilvl w:val="0"/>
          <w:numId w:val="10"/>
        </w:numPr>
        <w:pBdr>
          <w:top w:val="nil"/>
          <w:left w:val="nil"/>
          <w:bottom w:val="nil"/>
          <w:right w:val="nil"/>
          <w:between w:val="nil"/>
        </w:pBdr>
        <w:spacing w:after="120"/>
        <w:jc w:val="left"/>
        <w:rPr>
          <w:b/>
          <w:bCs/>
        </w:rPr>
      </w:pPr>
      <w:r w:rsidRPr="001B1698">
        <w:rPr>
          <w:b/>
          <w:bCs/>
        </w:rPr>
        <w:t>1.2.2 Llojet specifike të kredive (Qëllimi, Karakteristikat, Ofruesit)</w:t>
      </w:r>
    </w:p>
    <w:p w:rsidR="005D05F6" w:rsidRDefault="005D05F6" w:rsidP="00724ACE">
      <w:r>
        <w:t>Tregu i kredive përfshin produkte të ndryshme të dizajnuara për nevoja specifike, secila me karakteristika të dallueshme dhe ofrues tipikë.</w:t>
      </w:r>
    </w:p>
    <w:p w:rsidR="005D05F6" w:rsidRPr="001B1698" w:rsidRDefault="005D05F6" w:rsidP="00724ACE">
      <w:pPr>
        <w:widowControl w:val="0"/>
        <w:numPr>
          <w:ilvl w:val="0"/>
          <w:numId w:val="11"/>
        </w:numPr>
        <w:pBdr>
          <w:top w:val="nil"/>
          <w:left w:val="nil"/>
          <w:bottom w:val="nil"/>
          <w:right w:val="nil"/>
          <w:between w:val="nil"/>
        </w:pBdr>
        <w:spacing w:after="0"/>
        <w:jc w:val="left"/>
        <w:rPr>
          <w:b/>
          <w:bCs/>
        </w:rPr>
      </w:pPr>
      <w:r w:rsidRPr="001B1698">
        <w:rPr>
          <w:b/>
          <w:bCs/>
        </w:rPr>
        <w:t>Kredi Personale:</w:t>
      </w:r>
    </w:p>
    <w:p w:rsidR="005D05F6" w:rsidRPr="001B1698" w:rsidRDefault="005D05F6" w:rsidP="00724ACE">
      <w:pPr>
        <w:widowControl w:val="0"/>
        <w:numPr>
          <w:ilvl w:val="1"/>
          <w:numId w:val="12"/>
        </w:numPr>
        <w:pBdr>
          <w:top w:val="nil"/>
          <w:left w:val="nil"/>
          <w:bottom w:val="nil"/>
          <w:right w:val="nil"/>
          <w:between w:val="nil"/>
        </w:pBdr>
        <w:spacing w:after="0"/>
        <w:jc w:val="left"/>
        <w:rPr>
          <w:i/>
          <w:iCs/>
        </w:rPr>
      </w:pPr>
      <w:r w:rsidRPr="001B1698">
        <w:rPr>
          <w:i/>
          <w:iCs/>
        </w:rPr>
        <w:t>Qëllimi: Kreditë personale ofrojnë fleksibilitet të konsiderueshëm dhe përdoren zakonisht për një gamë të gjerë qëllimesh, duke përfshirë konsolidimin e borxhit me interesa më të larta (si kartat e kreditit), financimin e projekteve të përmirësimit të shtëpisë, mbulimin e shpenzimeve të dasmës, financimin e pushimeve ose udhëtimeve, menaxhimin e emergjencave të p</w:t>
      </w:r>
      <w:r w:rsidR="0014475F">
        <w:rPr>
          <w:i/>
          <w:iCs/>
        </w:rPr>
        <w:t>apr</w:t>
      </w:r>
      <w:r w:rsidRPr="001B1698">
        <w:rPr>
          <w:i/>
          <w:iCs/>
        </w:rPr>
        <w:t>itura ose kryerjen e blerjeve të mëdha një herëshe.</w:t>
      </w:r>
      <w:r w:rsidRPr="001B1698">
        <w:rPr>
          <w:rFonts w:eastAsia="Google Sans Text" w:cs="Times New Roman"/>
          <w:color w:val="575B5F"/>
          <w:szCs w:val="24"/>
          <w:vertAlign w:val="superscript"/>
        </w:rPr>
        <w:t>7</w:t>
      </w:r>
      <w:r w:rsidRPr="001B1698">
        <w:rPr>
          <w:i/>
          <w:iCs/>
        </w:rPr>
        <w:t>.</w:t>
      </w:r>
    </w:p>
    <w:p w:rsidR="005D05F6" w:rsidRPr="00DF6388" w:rsidRDefault="005D05F6" w:rsidP="00724ACE">
      <w:pPr>
        <w:widowControl w:val="0"/>
        <w:numPr>
          <w:ilvl w:val="1"/>
          <w:numId w:val="12"/>
        </w:numPr>
        <w:pBdr>
          <w:top w:val="nil"/>
          <w:left w:val="nil"/>
          <w:bottom w:val="nil"/>
          <w:right w:val="nil"/>
          <w:between w:val="nil"/>
        </w:pBdr>
        <w:spacing w:after="0"/>
        <w:jc w:val="left"/>
        <w:rPr>
          <w:i/>
          <w:iCs/>
        </w:rPr>
      </w:pPr>
      <w:r w:rsidRPr="00DF6388">
        <w:rPr>
          <w:i/>
          <w:iCs/>
        </w:rPr>
        <w:t>Karakteristikat: Shumica e kredive personale janë të pasigurta, që do të thotë se nuk kërkojnë kolateral.</w:t>
      </w:r>
      <w:r w:rsidRPr="00DF6388">
        <w:rPr>
          <w:rFonts w:eastAsia="Google Sans Text" w:cs="Times New Roman"/>
          <w:i/>
          <w:iCs/>
          <w:color w:val="575B5F"/>
          <w:szCs w:val="24"/>
          <w:vertAlign w:val="superscript"/>
        </w:rPr>
        <w:t>9</w:t>
      </w:r>
      <w:r w:rsidR="001B1698" w:rsidRPr="00DF6388">
        <w:rPr>
          <w:i/>
          <w:iCs/>
        </w:rPr>
        <w:t xml:space="preserve"> M</w:t>
      </w:r>
      <w:r w:rsidRPr="00DF6388">
        <w:rPr>
          <w:i/>
          <w:iCs/>
        </w:rPr>
        <w:t>egjithatë, opsionet e siguruara, të mbështetura nga asete si llogari kursimi ose automjete, janë gjithashtu të disponueshme dhe mund të ofrojnë kushte më të mira për disa huamarrës.</w:t>
      </w:r>
      <w:r w:rsidRPr="00DF6388">
        <w:rPr>
          <w:rFonts w:eastAsia="Google Sans Text" w:cs="Times New Roman"/>
          <w:i/>
          <w:iCs/>
          <w:color w:val="575B5F"/>
          <w:szCs w:val="24"/>
          <w:vertAlign w:val="superscript"/>
        </w:rPr>
        <w:t>9</w:t>
      </w:r>
      <w:r w:rsidR="001B1698" w:rsidRPr="00DF6388">
        <w:rPr>
          <w:i/>
          <w:iCs/>
        </w:rPr>
        <w:t xml:space="preserve"> F</w:t>
      </w:r>
      <w:r w:rsidRPr="00DF6388">
        <w:rPr>
          <w:i/>
          <w:iCs/>
        </w:rPr>
        <w:t>ondet zakonisht shpërndahen si një shumë e plotë</w:t>
      </w:r>
      <w:r w:rsidRPr="00DF6388">
        <w:rPr>
          <w:rFonts w:eastAsia="Google Sans Text" w:cs="Times New Roman"/>
          <w:i/>
          <w:iCs/>
          <w:color w:val="575B5F"/>
          <w:szCs w:val="24"/>
          <w:vertAlign w:val="superscript"/>
        </w:rPr>
        <w:t>10</w:t>
      </w:r>
      <w:r w:rsidR="001B1698" w:rsidRPr="00DF6388">
        <w:rPr>
          <w:i/>
          <w:iCs/>
        </w:rPr>
        <w:t xml:space="preserve"> S</w:t>
      </w:r>
      <w:r w:rsidRPr="00DF6388">
        <w:rPr>
          <w:i/>
          <w:iCs/>
        </w:rPr>
        <w:t>hlyerja bëhet nëpërmjet kësteve fikse mujore gjatë një periudhe të paracaktuar, zakonisht që varion nga një deri në shtatë vjet (12 deri në 84 muaj).</w:t>
      </w:r>
      <w:r w:rsidRPr="00DF6388">
        <w:rPr>
          <w:rFonts w:eastAsia="Google Sans Text" w:cs="Times New Roman"/>
          <w:i/>
          <w:iCs/>
          <w:color w:val="575B5F"/>
          <w:szCs w:val="24"/>
          <w:vertAlign w:val="superscript"/>
        </w:rPr>
        <w:t>7</w:t>
      </w:r>
      <w:r w:rsidR="001B1698" w:rsidRPr="00DF6388">
        <w:rPr>
          <w:i/>
          <w:iCs/>
        </w:rPr>
        <w:t xml:space="preserve"> N</w:t>
      </w:r>
      <w:r w:rsidRPr="00DF6388">
        <w:rPr>
          <w:i/>
          <w:iCs/>
        </w:rPr>
        <w:t>ormat Vjetore të Përqindjes (NPV) ndryshojnë shumë, përgjithësisht midis 6% dhe 36%, në varësi të aftësisë kreditore të huamarrësit; huamarrësit me kredi të shkëlqyer marrin normat më të ulëta.</w:t>
      </w:r>
      <w:r w:rsidRPr="00DF6388">
        <w:rPr>
          <w:rFonts w:eastAsia="Google Sans Text" w:cs="Times New Roman"/>
          <w:i/>
          <w:iCs/>
          <w:color w:val="575B5F"/>
          <w:szCs w:val="24"/>
          <w:vertAlign w:val="superscript"/>
        </w:rPr>
        <w:t>7</w:t>
      </w:r>
      <w:r w:rsidR="001B1698" w:rsidRPr="00DF6388">
        <w:rPr>
          <w:i/>
          <w:iCs/>
        </w:rPr>
        <w:t xml:space="preserve"> S</w:t>
      </w:r>
      <w:r w:rsidRPr="00DF6388">
        <w:rPr>
          <w:i/>
          <w:iCs/>
        </w:rPr>
        <w:t xml:space="preserve">humat e kredisë mund të variojnë nga afërsisht 1,000 deri në </w:t>
      </w:r>
      <w:r w:rsidRPr="00DF6388">
        <w:rPr>
          <w:i/>
          <w:iCs/>
        </w:rPr>
        <w:lastRenderedPageBreak/>
        <w:t>100,000 dollarë ose më shumë.</w:t>
      </w:r>
      <w:r w:rsidRPr="00DF6388">
        <w:rPr>
          <w:rFonts w:eastAsia="Google Sans Text" w:cs="Times New Roman"/>
          <w:i/>
          <w:iCs/>
          <w:color w:val="575B5F"/>
          <w:szCs w:val="24"/>
          <w:vertAlign w:val="superscript"/>
        </w:rPr>
        <w:t>7</w:t>
      </w:r>
      <w:r w:rsidRPr="00DF6388">
        <w:rPr>
          <w:i/>
          <w:iCs/>
        </w:rPr>
        <w:t>.</w:t>
      </w:r>
    </w:p>
    <w:p w:rsidR="005D05F6" w:rsidRPr="00623AAB" w:rsidRDefault="005D05F6" w:rsidP="00724ACE">
      <w:pPr>
        <w:widowControl w:val="0"/>
        <w:numPr>
          <w:ilvl w:val="1"/>
          <w:numId w:val="12"/>
        </w:numPr>
        <w:pBdr>
          <w:top w:val="nil"/>
          <w:left w:val="nil"/>
          <w:bottom w:val="nil"/>
          <w:right w:val="nil"/>
          <w:between w:val="nil"/>
        </w:pBdr>
        <w:spacing w:after="0"/>
        <w:jc w:val="left"/>
      </w:pPr>
      <w:r w:rsidRPr="00623AAB">
        <w:rPr>
          <w:i/>
          <w:iCs/>
        </w:rPr>
        <w:t>Ofruesit: Kreditë personale ofrohen nga një grup i larmishëm huadhënësish, duke përfshirë bankat tradicionale, unionet e kreditit, huadhënësit vetëm online (shpesh të referuara si kompani FinTech) dhe institucione të tjera financiare jobankare.</w:t>
      </w:r>
      <w:r w:rsidRPr="00623AAB">
        <w:rPr>
          <w:rFonts w:eastAsia="Google Sans Text" w:cs="Times New Roman"/>
          <w:color w:val="575B5F"/>
          <w:szCs w:val="24"/>
          <w:vertAlign w:val="superscript"/>
        </w:rPr>
        <w:t>9</w:t>
      </w:r>
      <w:r w:rsidRPr="00623AAB">
        <w:t>.</w:t>
      </w:r>
    </w:p>
    <w:p w:rsidR="005D05F6" w:rsidRPr="00623AAB" w:rsidRDefault="005D05F6" w:rsidP="00724ACE">
      <w:pPr>
        <w:widowControl w:val="0"/>
        <w:numPr>
          <w:ilvl w:val="0"/>
          <w:numId w:val="11"/>
        </w:numPr>
        <w:pBdr>
          <w:top w:val="nil"/>
          <w:left w:val="nil"/>
          <w:bottom w:val="nil"/>
          <w:right w:val="nil"/>
          <w:between w:val="nil"/>
        </w:pBdr>
        <w:spacing w:after="0"/>
        <w:jc w:val="left"/>
        <w:rPr>
          <w:b/>
          <w:bCs/>
        </w:rPr>
      </w:pPr>
      <w:r w:rsidRPr="00623AAB">
        <w:rPr>
          <w:b/>
          <w:bCs/>
        </w:rPr>
        <w:t>Hipotekat (Kreditë për Shtëpi):</w:t>
      </w:r>
    </w:p>
    <w:p w:rsidR="005D05F6" w:rsidRPr="00623AAB" w:rsidRDefault="005D05F6" w:rsidP="00724ACE">
      <w:pPr>
        <w:widowControl w:val="0"/>
        <w:numPr>
          <w:ilvl w:val="1"/>
          <w:numId w:val="13"/>
        </w:numPr>
        <w:pBdr>
          <w:top w:val="nil"/>
          <w:left w:val="nil"/>
          <w:bottom w:val="nil"/>
          <w:right w:val="nil"/>
          <w:between w:val="nil"/>
        </w:pBdr>
        <w:spacing w:after="0"/>
        <w:jc w:val="left"/>
      </w:pPr>
      <w:r w:rsidRPr="00623AAB">
        <w:rPr>
          <w:i/>
          <w:iCs/>
        </w:rPr>
        <w:t>Qëllimi: Kreditë hipotekare janë hartuar posaçërisht për të financuar blerjen e pasurive të paluajtshme, kryesisht shtëpi banimi.</w:t>
      </w:r>
      <w:r w:rsidRPr="00623AAB">
        <w:rPr>
          <w:rFonts w:eastAsia="Google Sans Text" w:cs="Times New Roman"/>
          <w:color w:val="575B5F"/>
          <w:szCs w:val="24"/>
          <w:vertAlign w:val="superscript"/>
        </w:rPr>
        <w:t>8</w:t>
      </w:r>
      <w:r w:rsidRPr="00623AAB">
        <w:t>.</w:t>
      </w:r>
    </w:p>
    <w:p w:rsidR="005D05F6" w:rsidRPr="006B7C25" w:rsidRDefault="005D05F6" w:rsidP="00724ACE">
      <w:pPr>
        <w:widowControl w:val="0"/>
        <w:numPr>
          <w:ilvl w:val="1"/>
          <w:numId w:val="13"/>
        </w:numPr>
        <w:pBdr>
          <w:top w:val="nil"/>
          <w:left w:val="nil"/>
          <w:bottom w:val="nil"/>
          <w:right w:val="nil"/>
          <w:between w:val="nil"/>
        </w:pBdr>
        <w:spacing w:after="0"/>
        <w:jc w:val="left"/>
      </w:pPr>
      <w:r w:rsidRPr="00623AAB">
        <w:rPr>
          <w:i/>
          <w:iCs/>
        </w:rPr>
        <w:t xml:space="preserve">Karakteristikat: Kreditë hipotekare janë kredi të siguruara, ku prona e blerë </w:t>
      </w:r>
      <w:r w:rsidR="00BE072C">
        <w:rPr>
          <w:i/>
          <w:iCs/>
        </w:rPr>
        <w:t>vepron</w:t>
      </w:r>
      <w:r w:rsidRPr="00623AAB">
        <w:rPr>
          <w:i/>
          <w:iCs/>
        </w:rPr>
        <w:t xml:space="preserve"> si kolateral për huadhënësin.</w:t>
      </w:r>
      <w:r w:rsidRPr="00623AAB">
        <w:rPr>
          <w:rFonts w:eastAsia="Google Sans Text" w:cs="Times New Roman"/>
          <w:i/>
          <w:iCs/>
          <w:color w:val="575B5F"/>
          <w:szCs w:val="24"/>
          <w:vertAlign w:val="superscript"/>
        </w:rPr>
        <w:t>1</w:t>
      </w:r>
      <w:r w:rsidR="00623AAB" w:rsidRPr="00623AAB">
        <w:rPr>
          <w:i/>
          <w:iCs/>
        </w:rPr>
        <w:t xml:space="preserve"> </w:t>
      </w:r>
      <w:r w:rsidR="00623AAB" w:rsidRPr="006B7C25">
        <w:t>A</w:t>
      </w:r>
      <w:r w:rsidRPr="006B7C25">
        <w:t>to karakterizohen nga afate të gjata shlyerjeje, zakonisht 15 ose 30 vjet.</w:t>
      </w:r>
      <w:r w:rsidRPr="00623AAB">
        <w:rPr>
          <w:rFonts w:eastAsia="Google Sans Text" w:cs="Times New Roman"/>
          <w:color w:val="575B5F"/>
          <w:szCs w:val="24"/>
          <w:vertAlign w:val="superscript"/>
        </w:rPr>
        <w:t>8</w:t>
      </w:r>
      <w:r w:rsidR="00623AAB" w:rsidRPr="006B7C25">
        <w:t xml:space="preserve"> N</w:t>
      </w:r>
      <w:r w:rsidRPr="006B7C25">
        <w:t>ormat e interesit mund të jenë ose fikse për të gjithë afatin e kredisë, duke siguruar stabilitet pagese, ose të rregullueshme (ARM), ku norma mund të luhatet pas një periudhe fillestare fikse.</w:t>
      </w:r>
      <w:r w:rsidRPr="00623AAB">
        <w:rPr>
          <w:rFonts w:eastAsia="Google Sans Text" w:cs="Times New Roman"/>
          <w:color w:val="575B5F"/>
          <w:szCs w:val="24"/>
          <w:vertAlign w:val="superscript"/>
        </w:rPr>
        <w:t>8</w:t>
      </w:r>
      <w:r w:rsidR="00623AAB" w:rsidRPr="00623AAB">
        <w:t xml:space="preserve"> </w:t>
      </w:r>
      <w:r w:rsidR="00623AAB" w:rsidRPr="006B7C25">
        <w:t>K</w:t>
      </w:r>
      <w:r w:rsidRPr="006B7C25">
        <w:t>reditë hipotekare zakonisht kërkojnë një pagesë fillestare nga huamarrësi, përfshijnë kosto të ndryshme mbylljeje dhe shpesh kërkojnë sigurim privat hipotekor (PMI) nëse pagesa fillestare është më pak se 20% e vlerës së pronës.</w:t>
      </w:r>
      <w:r w:rsidRPr="00623AAB">
        <w:rPr>
          <w:rFonts w:eastAsia="Google Sans Text" w:cs="Times New Roman"/>
          <w:color w:val="575B5F"/>
          <w:szCs w:val="24"/>
          <w:vertAlign w:val="superscript"/>
        </w:rPr>
        <w:t>8</w:t>
      </w:r>
      <w:r w:rsidR="00623AAB" w:rsidRPr="00623AAB">
        <w:t xml:space="preserve"> </w:t>
      </w:r>
      <w:r w:rsidR="00623AAB" w:rsidRPr="006B7C25">
        <w:t>E</w:t>
      </w:r>
      <w:r w:rsidRPr="006B7C25">
        <w:t>kzistojnë programe të ndryshme hipotekare, duke përfshirë kreditë konvencionale (shpesh kërkojnë kredi më të fortë), kreditë FHA (të siguruara nga Administrata Federale e Strehimit, me pagesa të ulëta fillestare dhe kërkesa më fleksibile krediti), kreditë VA (të garantuara nga Departamenti i Çështjeve të Veteranëve për veteranët dhe ushtarakët e përshtatshëm) dhe kreditë USDA (për pronat rurale të përshtatshme).</w:t>
      </w:r>
      <w:r w:rsidRPr="00623AAB">
        <w:rPr>
          <w:rFonts w:eastAsia="Google Sans Text" w:cs="Times New Roman"/>
          <w:color w:val="575B5F"/>
          <w:szCs w:val="24"/>
          <w:vertAlign w:val="superscript"/>
        </w:rPr>
        <w:t>8</w:t>
      </w:r>
      <w:r w:rsidRPr="006B7C25">
        <w:t>.</w:t>
      </w:r>
    </w:p>
    <w:p w:rsidR="005D05F6" w:rsidRPr="00623AAB" w:rsidRDefault="005D05F6" w:rsidP="00724ACE">
      <w:pPr>
        <w:widowControl w:val="0"/>
        <w:numPr>
          <w:ilvl w:val="1"/>
          <w:numId w:val="13"/>
        </w:numPr>
        <w:pBdr>
          <w:top w:val="nil"/>
          <w:left w:val="nil"/>
          <w:bottom w:val="nil"/>
          <w:right w:val="nil"/>
          <w:between w:val="nil"/>
        </w:pBdr>
        <w:spacing w:after="0"/>
        <w:jc w:val="left"/>
        <w:rPr>
          <w:i/>
          <w:iCs/>
        </w:rPr>
      </w:pPr>
      <w:r w:rsidRPr="00623AAB">
        <w:rPr>
          <w:i/>
          <w:iCs/>
        </w:rPr>
        <w:t>Ofruesit: Kreditë hipotekare ofrohen kryesisht nga bankat, unionet e kreditit, kompanitë e specializuara të hipotekave dhe, gjithnjë e më shumë, nga huadhënësit online.</w:t>
      </w:r>
    </w:p>
    <w:p w:rsidR="005D05F6" w:rsidRPr="00623AAB" w:rsidRDefault="005D05F6" w:rsidP="00724ACE">
      <w:pPr>
        <w:widowControl w:val="0"/>
        <w:numPr>
          <w:ilvl w:val="0"/>
          <w:numId w:val="11"/>
        </w:numPr>
        <w:pBdr>
          <w:top w:val="nil"/>
          <w:left w:val="nil"/>
          <w:bottom w:val="nil"/>
          <w:right w:val="nil"/>
          <w:between w:val="nil"/>
        </w:pBdr>
        <w:spacing w:after="0"/>
        <w:jc w:val="left"/>
        <w:rPr>
          <w:b/>
          <w:bCs/>
        </w:rPr>
      </w:pPr>
      <w:r w:rsidRPr="00623AAB">
        <w:rPr>
          <w:b/>
          <w:bCs/>
        </w:rPr>
        <w:t>Kredi për makina:</w:t>
      </w:r>
    </w:p>
    <w:p w:rsidR="005D05F6" w:rsidRPr="00623AAB" w:rsidRDefault="005D05F6" w:rsidP="00724ACE">
      <w:pPr>
        <w:widowControl w:val="0"/>
        <w:numPr>
          <w:ilvl w:val="1"/>
          <w:numId w:val="14"/>
        </w:numPr>
        <w:pBdr>
          <w:top w:val="nil"/>
          <w:left w:val="nil"/>
          <w:bottom w:val="nil"/>
          <w:right w:val="nil"/>
          <w:between w:val="nil"/>
        </w:pBdr>
        <w:spacing w:after="0"/>
        <w:jc w:val="left"/>
        <w:rPr>
          <w:i/>
          <w:iCs/>
        </w:rPr>
      </w:pPr>
      <w:r w:rsidRPr="00623AAB">
        <w:rPr>
          <w:i/>
          <w:iCs/>
        </w:rPr>
        <w:t>Qëllimi: Kreditë për automjete përdoren për të financuar blerjen e automjeteve të reja ose të përdorura, duke përfshirë makina, kamionë dhe motoçikleta.</w:t>
      </w:r>
      <w:r w:rsidRPr="00623AAB">
        <w:rPr>
          <w:rFonts w:eastAsia="Google Sans Text" w:cs="Times New Roman"/>
          <w:color w:val="575B5F"/>
          <w:szCs w:val="24"/>
          <w:vertAlign w:val="superscript"/>
        </w:rPr>
        <w:t>7</w:t>
      </w:r>
      <w:r w:rsidRPr="00623AAB">
        <w:rPr>
          <w:i/>
          <w:iCs/>
        </w:rPr>
        <w:t>.</w:t>
      </w:r>
    </w:p>
    <w:p w:rsidR="005D05F6" w:rsidRPr="006B7C25" w:rsidRDefault="005D05F6" w:rsidP="00724ACE">
      <w:pPr>
        <w:widowControl w:val="0"/>
        <w:numPr>
          <w:ilvl w:val="1"/>
          <w:numId w:val="14"/>
        </w:numPr>
        <w:pBdr>
          <w:top w:val="nil"/>
          <w:left w:val="nil"/>
          <w:bottom w:val="nil"/>
          <w:right w:val="nil"/>
          <w:between w:val="nil"/>
        </w:pBdr>
        <w:spacing w:after="0"/>
        <w:jc w:val="left"/>
      </w:pPr>
      <w:r w:rsidRPr="00623AAB">
        <w:rPr>
          <w:i/>
          <w:iCs/>
        </w:rPr>
        <w:t xml:space="preserve">Karakteristikat: Këto janë kredi të siguruara, me vetë mjetin e financuar që </w:t>
      </w:r>
      <w:r w:rsidR="00BE072C">
        <w:rPr>
          <w:i/>
          <w:iCs/>
        </w:rPr>
        <w:t>funksionon</w:t>
      </w:r>
      <w:r w:rsidRPr="00623AAB">
        <w:rPr>
          <w:i/>
          <w:iCs/>
        </w:rPr>
        <w:t xml:space="preserve"> si kolateral</w:t>
      </w:r>
      <w:r w:rsidRPr="00623AAB">
        <w:rPr>
          <w:rFonts w:eastAsia="Google Sans Text" w:cs="Times New Roman"/>
          <w:color w:val="575B5F"/>
          <w:szCs w:val="24"/>
          <w:vertAlign w:val="superscript"/>
        </w:rPr>
        <w:t>1</w:t>
      </w:r>
      <w:r w:rsidR="00623AAB" w:rsidRPr="006B7C25">
        <w:t xml:space="preserve"> S</w:t>
      </w:r>
      <w:r w:rsidRPr="006B7C25">
        <w:t>hlyerja strukturohet nëpërmjet pagesave fikse mujore gjatë një afati të përcaktuar, zakonisht nga 36 deri në 84 muaj (3 deri në 7 vjet). Normat e interesit ndikohen nga vlerësimi i kredisë së huamarrësit, kohëzgjatja e afatit të kredisë dhe nëse automjeti është i ri apo i përdorur.</w:t>
      </w:r>
    </w:p>
    <w:p w:rsidR="005D05F6" w:rsidRPr="006B7C25" w:rsidRDefault="005D05F6" w:rsidP="00724ACE">
      <w:pPr>
        <w:widowControl w:val="0"/>
        <w:numPr>
          <w:ilvl w:val="1"/>
          <w:numId w:val="14"/>
        </w:numPr>
        <w:pBdr>
          <w:top w:val="nil"/>
          <w:left w:val="nil"/>
          <w:bottom w:val="nil"/>
          <w:right w:val="nil"/>
          <w:between w:val="nil"/>
        </w:pBdr>
        <w:spacing w:after="0"/>
        <w:jc w:val="left"/>
      </w:pPr>
      <w:r w:rsidRPr="00623AAB">
        <w:rPr>
          <w:i/>
          <w:iCs/>
        </w:rPr>
        <w:t xml:space="preserve">Ofruesit: Kreditë për makina janë të disponueshme nëpërmjet bankave, </w:t>
      </w:r>
      <w:r w:rsidRPr="00623AAB">
        <w:rPr>
          <w:i/>
          <w:iCs/>
        </w:rPr>
        <w:lastRenderedPageBreak/>
        <w:t>unioneve të kreditit, kompanive financiare të lidhura me prodhuesit e automobilave (kompani financiare të robëruara) dhe direkt nëpërmjet shitësve të makinave, të cilat shpesh bashkëpunojnë me huadhënës të ndryshëm.</w:t>
      </w:r>
      <w:r w:rsidRPr="00623AAB">
        <w:rPr>
          <w:rFonts w:eastAsia="Google Sans Text" w:cs="Times New Roman"/>
          <w:color w:val="575B5F"/>
          <w:szCs w:val="24"/>
          <w:vertAlign w:val="superscript"/>
        </w:rPr>
        <w:t>7</w:t>
      </w:r>
      <w:r w:rsidR="00623AAB" w:rsidRPr="00623AAB">
        <w:rPr>
          <w:i/>
          <w:iCs/>
        </w:rPr>
        <w:t xml:space="preserve"> </w:t>
      </w:r>
      <w:r w:rsidR="00623AAB" w:rsidRPr="006B7C25">
        <w:t>H</w:t>
      </w:r>
      <w:r w:rsidRPr="006B7C25">
        <w:t>uadhënësit online ofrojnë gjithashtu financim për makina.</w:t>
      </w:r>
    </w:p>
    <w:p w:rsidR="005D05F6" w:rsidRPr="006B7C25" w:rsidRDefault="005D05F6" w:rsidP="00724ACE">
      <w:pPr>
        <w:widowControl w:val="0"/>
        <w:numPr>
          <w:ilvl w:val="0"/>
          <w:numId w:val="11"/>
        </w:numPr>
        <w:pBdr>
          <w:top w:val="nil"/>
          <w:left w:val="nil"/>
          <w:bottom w:val="nil"/>
          <w:right w:val="nil"/>
          <w:between w:val="nil"/>
        </w:pBdr>
        <w:spacing w:after="0"/>
        <w:jc w:val="left"/>
        <w:rPr>
          <w:b/>
          <w:bCs/>
        </w:rPr>
      </w:pPr>
      <w:r w:rsidRPr="006B7C25">
        <w:rPr>
          <w:b/>
          <w:bCs/>
        </w:rPr>
        <w:t>Kreditë Studentore:</w:t>
      </w:r>
    </w:p>
    <w:p w:rsidR="005D05F6" w:rsidRPr="006B7C25" w:rsidRDefault="005D05F6" w:rsidP="00724ACE">
      <w:pPr>
        <w:widowControl w:val="0"/>
        <w:numPr>
          <w:ilvl w:val="1"/>
          <w:numId w:val="15"/>
        </w:numPr>
        <w:pBdr>
          <w:top w:val="nil"/>
          <w:left w:val="nil"/>
          <w:bottom w:val="nil"/>
          <w:right w:val="nil"/>
          <w:between w:val="nil"/>
        </w:pBdr>
        <w:spacing w:after="0"/>
        <w:jc w:val="left"/>
        <w:rPr>
          <w:i/>
          <w:iCs/>
        </w:rPr>
      </w:pPr>
      <w:r w:rsidRPr="006B7C25">
        <w:rPr>
          <w:i/>
          <w:iCs/>
        </w:rPr>
        <w:t>Qëllimi: Kreditë studentore kanë për qëllim mbulimin e kostove që lidhen me arsimin pasuniversitar. Shpenzimet e pranueshme zakonisht përfshijnë tarifat e shkollimit, akomodimin dhe ushqimin (brenda ose jashtë kampusit), tekstet shkollore, furnizimet, transportin, kompjuterët e nevojshëm për shkollën dhe ndonjëherë kosto të tjera të lidhura, si programet e studimit jashtë vendit ose tarifat e licencimit profesional.</w:t>
      </w:r>
      <w:r w:rsidRPr="006B7C25">
        <w:rPr>
          <w:rFonts w:eastAsia="Google Sans Text" w:cs="Times New Roman"/>
          <w:color w:val="575B5F"/>
          <w:szCs w:val="24"/>
          <w:vertAlign w:val="superscript"/>
        </w:rPr>
        <w:t>21</w:t>
      </w:r>
      <w:r w:rsidRPr="006B7C25">
        <w:rPr>
          <w:i/>
          <w:iCs/>
        </w:rPr>
        <w:t>.</w:t>
      </w:r>
    </w:p>
    <w:p w:rsidR="005D05F6" w:rsidRPr="006B7C25" w:rsidRDefault="005D05F6" w:rsidP="001E4A2F">
      <w:pPr>
        <w:widowControl w:val="0"/>
        <w:numPr>
          <w:ilvl w:val="1"/>
          <w:numId w:val="15"/>
        </w:numPr>
        <w:pBdr>
          <w:top w:val="nil"/>
          <w:left w:val="nil"/>
          <w:bottom w:val="nil"/>
          <w:right w:val="nil"/>
          <w:between w:val="nil"/>
        </w:pBdr>
        <w:spacing w:after="0"/>
        <w:jc w:val="left"/>
      </w:pPr>
      <w:r w:rsidRPr="006B7C25">
        <w:rPr>
          <w:i/>
          <w:iCs/>
        </w:rPr>
        <w:t>Karakteristikat: Kreditë studentore kategorizohen gjerësisht në kredi Federale dhe Private. Kreditë federale, të ofruara nga Departamenti i Arsimit i SHBA-së, janë shpesh opsioni i parë që merret në konsideratë për shkak të mbrojtjes së tyre ndaj huamarrësve. Këto përfshijnë opsione si planet e ripagimit të bazuara në të ardhura (rregullimi i pagesave bazuar në të ardhura), shtyrja (shtyrja e pagesave) dhe pezullimi (ulja ose ndërprerja e përkohshme e pagesave).</w:t>
      </w:r>
      <w:r w:rsidRPr="006B7C25">
        <w:rPr>
          <w:rFonts w:eastAsia="Google Sans Text" w:cs="Times New Roman"/>
          <w:color w:val="575B5F"/>
          <w:szCs w:val="24"/>
          <w:vertAlign w:val="superscript"/>
        </w:rPr>
        <w:t>21</w:t>
      </w:r>
      <w:r w:rsidR="006B7C25" w:rsidRPr="006B7C25">
        <w:t xml:space="preserve"> S</w:t>
      </w:r>
      <w:r w:rsidRPr="006B7C25">
        <w:t>humica e kredive federale (të subvencionuara direkte dhe të pasubvencionuara) nuk kërkojnë një kontroll krediti ose një bashkë-nënshkrues.</w:t>
      </w:r>
      <w:r w:rsidRPr="006B7C25">
        <w:rPr>
          <w:rFonts w:eastAsia="Google Sans Text" w:cs="Times New Roman"/>
          <w:color w:val="575B5F"/>
          <w:szCs w:val="24"/>
          <w:vertAlign w:val="superscript"/>
        </w:rPr>
        <w:t>21</w:t>
      </w:r>
      <w:r w:rsidR="006B7C25" w:rsidRPr="006B7C25">
        <w:t xml:space="preserve"> K</w:t>
      </w:r>
      <w:r w:rsidRPr="006B7C25">
        <w:t>reditë e subvencionuara direkte bazohen në nevojë, ku qeveria paguan interesa ndërsa studenti është në shkollë.</w:t>
      </w:r>
      <w:r w:rsidRPr="006B7C25">
        <w:rPr>
          <w:rFonts w:eastAsia="Google Sans Text" w:cs="Times New Roman"/>
          <w:color w:val="575B5F"/>
          <w:szCs w:val="24"/>
          <w:vertAlign w:val="superscript"/>
        </w:rPr>
        <w:t>21</w:t>
      </w:r>
      <w:r w:rsidR="006B7C25" w:rsidRPr="006B7C25">
        <w:t xml:space="preserve"> K</w:t>
      </w:r>
      <w:r w:rsidRPr="006B7C25">
        <w:t>reditë direkte të pasubvencionuara nuk bazohen në nevojë dhe interesi grumbullohet gjatë shkollimit.</w:t>
      </w:r>
      <w:r w:rsidRPr="006B7C25">
        <w:rPr>
          <w:rFonts w:eastAsia="Google Sans Text" w:cs="Times New Roman"/>
          <w:color w:val="575B5F"/>
          <w:szCs w:val="24"/>
          <w:vertAlign w:val="superscript"/>
        </w:rPr>
        <w:t>21</w:t>
      </w:r>
      <w:r w:rsidR="006B7C25" w:rsidRPr="006B7C25">
        <w:t xml:space="preserve"> K</w:t>
      </w:r>
      <w:r w:rsidRPr="006B7C25">
        <w:t>reditë PLUS janë në dispozicion të prindërve dhe studentëve të diplomuar, por kërkojnë një kontroll krediti.</w:t>
      </w:r>
      <w:r w:rsidRPr="006B7C25">
        <w:rPr>
          <w:rFonts w:eastAsia="Google Sans Text" w:cs="Times New Roman"/>
          <w:color w:val="575B5F"/>
          <w:szCs w:val="24"/>
          <w:vertAlign w:val="superscript"/>
        </w:rPr>
        <w:t>21</w:t>
      </w:r>
      <w:r w:rsidR="006B7C25" w:rsidRPr="006B7C25">
        <w:t xml:space="preserve"> K</w:t>
      </w:r>
      <w:r w:rsidRPr="006B7C25">
        <w:t>reditë private ofrohen nga institucionet financiare dhe bazohen në kredi.</w:t>
      </w:r>
      <w:r w:rsidRPr="006B7C25">
        <w:rPr>
          <w:rFonts w:eastAsia="Google Sans Text" w:cs="Times New Roman"/>
          <w:color w:val="575B5F"/>
          <w:szCs w:val="24"/>
          <w:vertAlign w:val="superscript"/>
        </w:rPr>
        <w:t>21</w:t>
      </w:r>
      <w:r w:rsidR="006B7C25" w:rsidRPr="006B7C25">
        <w:t xml:space="preserve"> A</w:t>
      </w:r>
      <w:r w:rsidRPr="006B7C25">
        <w:t>ta shpesh kërkojnë një bashkënënshkrues të besueshëm, veçanërisht për studentët universitarë që nuk kanë historinë e tyre të kreditit.</w:t>
      </w:r>
      <w:r w:rsidRPr="006B7C25">
        <w:rPr>
          <w:rFonts w:eastAsia="Google Sans Text" w:cs="Times New Roman"/>
          <w:color w:val="575B5F"/>
          <w:szCs w:val="24"/>
          <w:vertAlign w:val="superscript"/>
        </w:rPr>
        <w:t>21</w:t>
      </w:r>
      <w:r w:rsidR="006B7C25" w:rsidRPr="006B7C25">
        <w:t xml:space="preserve"> K</w:t>
      </w:r>
      <w:r w:rsidRPr="006B7C25">
        <w:t>reditë private ofrojnë zgjedhje midis normave fikse dhe variabile të interesit, por në përgjithësi ofrojnë më pak mbrojtje për huamarrësit dhe fleksibilitet në shlyerje krahasuar me kreditë federale.</w:t>
      </w:r>
      <w:r w:rsidRPr="006B7C25">
        <w:rPr>
          <w:rFonts w:eastAsia="Google Sans Text" w:cs="Times New Roman"/>
          <w:color w:val="575B5F"/>
          <w:szCs w:val="24"/>
          <w:vertAlign w:val="superscript"/>
        </w:rPr>
        <w:t>21</w:t>
      </w:r>
      <w:r w:rsidR="006B7C25" w:rsidRPr="006B7C25">
        <w:t xml:space="preserve"> S</w:t>
      </w:r>
      <w:r w:rsidRPr="006B7C25">
        <w:t>hlyerja për të dyja llojet zakonisht fillon pas një periudhe mirësjelljeje pas diplomimit ose largimit nga shkolla.</w:t>
      </w:r>
      <w:r w:rsidRPr="006B7C25">
        <w:rPr>
          <w:rFonts w:eastAsia="Google Sans Text" w:cs="Times New Roman"/>
          <w:color w:val="575B5F"/>
          <w:szCs w:val="24"/>
          <w:vertAlign w:val="superscript"/>
        </w:rPr>
        <w:t>21</w:t>
      </w:r>
      <w:r w:rsidRPr="006B7C25">
        <w:t>.</w:t>
      </w:r>
    </w:p>
    <w:p w:rsidR="005D05F6" w:rsidRPr="006B7C25" w:rsidRDefault="005D05F6" w:rsidP="001E4A2F">
      <w:pPr>
        <w:widowControl w:val="0"/>
        <w:numPr>
          <w:ilvl w:val="1"/>
          <w:numId w:val="15"/>
        </w:numPr>
        <w:pBdr>
          <w:top w:val="nil"/>
          <w:left w:val="nil"/>
          <w:bottom w:val="nil"/>
          <w:right w:val="nil"/>
          <w:between w:val="nil"/>
        </w:pBdr>
        <w:spacing w:after="0"/>
        <w:jc w:val="left"/>
      </w:pPr>
      <w:r w:rsidRPr="006B7C25">
        <w:rPr>
          <w:i/>
          <w:iCs/>
        </w:rPr>
        <w:t>Ofruesit: Kreditë federale janë të krijuara nga Departamenti i Arsimit i SHBA-së</w:t>
      </w:r>
      <w:r w:rsidRPr="006B7C25">
        <w:rPr>
          <w:rFonts w:eastAsia="Google Sans Text" w:cs="Times New Roman"/>
          <w:color w:val="575B5F"/>
          <w:szCs w:val="24"/>
          <w:vertAlign w:val="superscript"/>
        </w:rPr>
        <w:t>21</w:t>
      </w:r>
      <w:r w:rsidR="006B7C25" w:rsidRPr="006B7C25">
        <w:t xml:space="preserve"> K</w:t>
      </w:r>
      <w:r w:rsidRPr="006B7C25">
        <w:t>reditë private ofrohen nga bankat, unionet e kreditit dhe kompanitë e specializuara të financimit të arsimit, siç është Sallie Mae.</w:t>
      </w:r>
      <w:r w:rsidRPr="006B7C25">
        <w:rPr>
          <w:rFonts w:eastAsia="Google Sans Text" w:cs="Times New Roman"/>
          <w:color w:val="575B5F"/>
          <w:szCs w:val="24"/>
          <w:vertAlign w:val="superscript"/>
        </w:rPr>
        <w:t>21</w:t>
      </w:r>
      <w:r w:rsidRPr="006B7C25">
        <w:t>.</w:t>
      </w:r>
    </w:p>
    <w:p w:rsidR="005D05F6" w:rsidRPr="006B7C25" w:rsidRDefault="005D05F6" w:rsidP="001E4A2F">
      <w:pPr>
        <w:widowControl w:val="0"/>
        <w:numPr>
          <w:ilvl w:val="0"/>
          <w:numId w:val="11"/>
        </w:numPr>
        <w:pBdr>
          <w:top w:val="nil"/>
          <w:left w:val="nil"/>
          <w:bottom w:val="nil"/>
          <w:right w:val="nil"/>
          <w:between w:val="nil"/>
        </w:pBdr>
        <w:spacing w:after="0"/>
        <w:jc w:val="left"/>
        <w:rPr>
          <w:b/>
          <w:bCs/>
        </w:rPr>
      </w:pPr>
      <w:r w:rsidRPr="006B7C25">
        <w:rPr>
          <w:b/>
          <w:bCs/>
        </w:rPr>
        <w:lastRenderedPageBreak/>
        <w:t>Kreditë e Biznesit:</w:t>
      </w:r>
    </w:p>
    <w:p w:rsidR="005D05F6" w:rsidRPr="006B7C25" w:rsidRDefault="005D05F6" w:rsidP="001E4A2F">
      <w:pPr>
        <w:widowControl w:val="0"/>
        <w:numPr>
          <w:ilvl w:val="1"/>
          <w:numId w:val="16"/>
        </w:numPr>
        <w:pBdr>
          <w:top w:val="nil"/>
          <w:left w:val="nil"/>
          <w:bottom w:val="nil"/>
          <w:right w:val="nil"/>
          <w:between w:val="nil"/>
        </w:pBdr>
        <w:spacing w:after="0"/>
        <w:jc w:val="left"/>
      </w:pPr>
      <w:r w:rsidRPr="006B7C25">
        <w:rPr>
          <w:i/>
          <w:iCs/>
        </w:rPr>
        <w:t>Qëllimi: Kreditë e biznesit ofrojnë kapital për një gamë të gjerë nevojash tregtare, të tilla si kostot fillestare të fillimit, zgjerimi i biznesit, menaxhimi i shpenzimeve të përditshme operative (kapitali punues), blerja e pajisjeve ose makinerive, blerja ose rinovimi i pasurive të patundshme tregtare, financimi i inventarit ose rifinancimi i borxhit ekzistues të biznesit.</w:t>
      </w:r>
      <w:r w:rsidRPr="006B7C25">
        <w:rPr>
          <w:rFonts w:eastAsia="Google Sans Text" w:cs="Times New Roman"/>
          <w:color w:val="575B5F"/>
          <w:szCs w:val="24"/>
          <w:vertAlign w:val="superscript"/>
        </w:rPr>
        <w:t>31</w:t>
      </w:r>
      <w:r w:rsidRPr="006B7C25">
        <w:t>.</w:t>
      </w:r>
    </w:p>
    <w:p w:rsidR="005D05F6" w:rsidRPr="006B7C25" w:rsidRDefault="005D05F6" w:rsidP="001E4A2F">
      <w:pPr>
        <w:widowControl w:val="0"/>
        <w:numPr>
          <w:ilvl w:val="1"/>
          <w:numId w:val="16"/>
        </w:numPr>
        <w:pBdr>
          <w:top w:val="nil"/>
          <w:left w:val="nil"/>
          <w:bottom w:val="nil"/>
          <w:right w:val="nil"/>
          <w:between w:val="nil"/>
        </w:pBdr>
        <w:spacing w:after="0"/>
        <w:jc w:val="left"/>
      </w:pPr>
      <w:r w:rsidRPr="006B7C25">
        <w:rPr>
          <w:i/>
          <w:iCs/>
        </w:rPr>
        <w:t>Karakteristikat: Kreditë e biznesit mund të jenë ose të siguruara (të mbështetura nga asete biznesi si pasuri të paluajtshme, pajisje ose llogari të arkëtueshme) ose të pasiguruara. Ekzistojnë struktura të ndryshme kredie, duke përfshirë kreditë me afat të caktuar dhe linjat rrotulluese të kredisë.</w:t>
      </w:r>
      <w:r w:rsidRPr="006B7C25">
        <w:rPr>
          <w:rFonts w:eastAsia="Google Sans Text" w:cs="Times New Roman"/>
          <w:color w:val="575B5F"/>
          <w:szCs w:val="24"/>
          <w:vertAlign w:val="superscript"/>
        </w:rPr>
        <w:t>33</w:t>
      </w:r>
      <w:r w:rsidR="006B7C25" w:rsidRPr="006B7C25">
        <w:t xml:space="preserve"> N</w:t>
      </w:r>
      <w:r w:rsidRPr="006B7C25">
        <w:t>jë kategori e rëndësishme përfshin kreditë e garantuara nga Administrata Amerikane e Bizneseve të Vogla (SBA). Programet e kredive SBA (si programet 7(a), 504 dhe Mikrokreditë) nuk ofrojnë fonde direkt (përveç kredive për fatkeqësi), por garantojnë një pjesë të kredisë së dhënë nga një huadhënës i miratuar.</w:t>
      </w:r>
      <w:r w:rsidRPr="006B7C25">
        <w:rPr>
          <w:rFonts w:eastAsia="Google Sans Text" w:cs="Times New Roman"/>
          <w:color w:val="575B5F"/>
          <w:szCs w:val="24"/>
          <w:vertAlign w:val="superscript"/>
        </w:rPr>
        <w:t>31</w:t>
      </w:r>
      <w:r w:rsidR="006B7C25" w:rsidRPr="006B7C25">
        <w:t xml:space="preserve"> K</w:t>
      </w:r>
      <w:r w:rsidRPr="006B7C25">
        <w:t>jo garanci qeveritare zvogëlon rrezikun e huadhënësit, duke çuar shpesh në kushte më të favorshme për bizneset e vogla të pranueshme, siç janë periudhat më të gjata të ripagimit (deri në 10 vjet për kapitalin/pajisjet qarkulluese, 25 vjet për pasuritë e paluajtshme), kërkesa më të ulëta për pagesë fillestare (shpesh 10% për SBA) dhe ndonjëherë kërkesa më fleksibile për kolateral krahasuar me kreditë konvencionale të biznesit.</w:t>
      </w:r>
      <w:r w:rsidRPr="006B7C25">
        <w:rPr>
          <w:rFonts w:eastAsia="Google Sans Text" w:cs="Times New Roman"/>
          <w:color w:val="575B5F"/>
          <w:szCs w:val="24"/>
          <w:vertAlign w:val="superscript"/>
        </w:rPr>
        <w:t>31</w:t>
      </w:r>
      <w:r w:rsidR="006B7C25">
        <w:rPr>
          <w:rFonts w:ascii="Google Sans Text" w:eastAsia="Google Sans Text" w:hAnsi="Google Sans Text"/>
          <w:szCs w:val="24"/>
        </w:rPr>
        <w:t xml:space="preserve"> </w:t>
      </w:r>
      <w:r w:rsidR="006B7C25" w:rsidRPr="006B7C25">
        <w:t>K</w:t>
      </w:r>
      <w:r w:rsidRPr="006B7C25">
        <w:t>ualifikimi për kredi SBA varet nga faktorë si përmbushja e standardeve të madhësisë së biznesit të SBA-së, operimi me fitim në SHBA, demonstrimi i besueshmërisë kreditore dhe aftësisë paguese, investimi i kapitalit të pronarit dhe shterimi i mundshëm i opsioneve të tjera të financimit.</w:t>
      </w:r>
      <w:r w:rsidRPr="006B7C25">
        <w:rPr>
          <w:rFonts w:eastAsia="Google Sans Text" w:cs="Times New Roman"/>
          <w:color w:val="575B5F"/>
          <w:szCs w:val="24"/>
          <w:vertAlign w:val="superscript"/>
        </w:rPr>
        <w:t>31</w:t>
      </w:r>
      <w:r w:rsidR="006B7C25" w:rsidRPr="006B7C25">
        <w:t xml:space="preserve"> K</w:t>
      </w:r>
      <w:r w:rsidRPr="006B7C25">
        <w:t>reditë konvencionale të biznesit nga bankat shpesh kanë kërkesa më të rrepta.</w:t>
      </w:r>
      <w:r w:rsidRPr="006B7C25">
        <w:rPr>
          <w:rFonts w:eastAsia="Google Sans Text" w:cs="Times New Roman"/>
          <w:color w:val="575B5F"/>
          <w:szCs w:val="24"/>
          <w:vertAlign w:val="superscript"/>
        </w:rPr>
        <w:t>33</w:t>
      </w:r>
      <w:r w:rsidRPr="006B7C25">
        <w:t>.</w:t>
      </w:r>
    </w:p>
    <w:p w:rsidR="005D05F6" w:rsidRPr="00724ACE" w:rsidRDefault="005D05F6" w:rsidP="001E4A2F">
      <w:pPr>
        <w:widowControl w:val="0"/>
        <w:numPr>
          <w:ilvl w:val="1"/>
          <w:numId w:val="16"/>
        </w:numPr>
        <w:pBdr>
          <w:top w:val="nil"/>
          <w:left w:val="nil"/>
          <w:bottom w:val="nil"/>
          <w:right w:val="nil"/>
          <w:between w:val="nil"/>
        </w:pBdr>
        <w:spacing w:after="0"/>
        <w:jc w:val="left"/>
      </w:pPr>
      <w:r w:rsidRPr="00724ACE">
        <w:rPr>
          <w:i/>
          <w:iCs/>
        </w:rPr>
        <w:t>Ofruesit: Kreditë e biznesit ofrohen nga bankat komerciale, unionet e kreditit dhe huadhënësit online. Kreditë e garantuara nga SBA ofrohen përmes huadhënësve të miratuar nga SBA (banka, unione krediti). Kreditë SBA 504 përfshijnë si një huadhënës privat ashtu edhe një Kompani Zhvillimi të Çertifikuar (CDC).</w:t>
      </w:r>
      <w:r w:rsidRPr="00724ACE">
        <w:rPr>
          <w:rFonts w:eastAsia="Google Sans Text" w:cs="Times New Roman"/>
          <w:color w:val="575B5F"/>
          <w:szCs w:val="24"/>
          <w:vertAlign w:val="superscript"/>
        </w:rPr>
        <w:t>31</w:t>
      </w:r>
      <w:r w:rsidR="00724ACE" w:rsidRPr="00724ACE">
        <w:t xml:space="preserve"> M</w:t>
      </w:r>
      <w:r w:rsidRPr="00724ACE">
        <w:t>ikrokreditë SBA ofrohen nëpërmjet huadhënësve ndërmjetës të caktuar.</w:t>
      </w:r>
      <w:r w:rsidRPr="00724ACE">
        <w:rPr>
          <w:rFonts w:eastAsia="Google Sans Text" w:cs="Times New Roman"/>
          <w:color w:val="575B5F"/>
          <w:szCs w:val="24"/>
          <w:vertAlign w:val="superscript"/>
        </w:rPr>
        <w:t>31</w:t>
      </w:r>
      <w:r w:rsidRPr="00724ACE">
        <w:t>.</w:t>
      </w:r>
    </w:p>
    <w:p w:rsidR="005D05F6" w:rsidRPr="00724ACE" w:rsidRDefault="005D05F6" w:rsidP="001E4A2F">
      <w:pPr>
        <w:widowControl w:val="0"/>
        <w:numPr>
          <w:ilvl w:val="0"/>
          <w:numId w:val="11"/>
        </w:numPr>
        <w:pBdr>
          <w:top w:val="nil"/>
          <w:left w:val="nil"/>
          <w:bottom w:val="nil"/>
          <w:right w:val="nil"/>
          <w:between w:val="nil"/>
        </w:pBdr>
        <w:spacing w:after="0"/>
        <w:jc w:val="left"/>
        <w:rPr>
          <w:b/>
          <w:bCs/>
        </w:rPr>
      </w:pPr>
      <w:r w:rsidRPr="00724ACE">
        <w:rPr>
          <w:b/>
          <w:bCs/>
        </w:rPr>
        <w:t>Kredi të shpejta:</w:t>
      </w:r>
    </w:p>
    <w:p w:rsidR="005D05F6" w:rsidRPr="00724ACE" w:rsidRDefault="005D05F6" w:rsidP="001E4A2F">
      <w:pPr>
        <w:widowControl w:val="0"/>
        <w:numPr>
          <w:ilvl w:val="1"/>
          <w:numId w:val="17"/>
        </w:numPr>
        <w:pBdr>
          <w:top w:val="nil"/>
          <w:left w:val="nil"/>
          <w:bottom w:val="nil"/>
          <w:right w:val="nil"/>
          <w:between w:val="nil"/>
        </w:pBdr>
        <w:spacing w:after="0"/>
        <w:jc w:val="left"/>
      </w:pPr>
      <w:r w:rsidRPr="00724ACE">
        <w:rPr>
          <w:i/>
          <w:iCs/>
        </w:rPr>
        <w:t xml:space="preserve">Qëllimi: Këto kredi janë të dizajnuara për të ofruar paradhënie shumë afatshkurtra për huamarrësit, me qëllim që të mbushin hendekun deri në pagën </w:t>
      </w:r>
      <w:r w:rsidRPr="00724ACE">
        <w:rPr>
          <w:i/>
          <w:iCs/>
        </w:rPr>
        <w:lastRenderedPageBreak/>
        <w:t>e tyre të ardhshme.</w:t>
      </w:r>
      <w:r w:rsidRPr="00724ACE">
        <w:rPr>
          <w:rFonts w:eastAsia="Google Sans Text" w:cs="Times New Roman"/>
          <w:color w:val="575B5F"/>
          <w:szCs w:val="24"/>
          <w:vertAlign w:val="superscript"/>
        </w:rPr>
        <w:t>7</w:t>
      </w:r>
      <w:r w:rsidRPr="00724ACE">
        <w:t>.</w:t>
      </w:r>
    </w:p>
    <w:p w:rsidR="005D05F6" w:rsidRPr="00724ACE" w:rsidRDefault="005D05F6" w:rsidP="001E4A2F">
      <w:pPr>
        <w:widowControl w:val="0"/>
        <w:numPr>
          <w:ilvl w:val="1"/>
          <w:numId w:val="17"/>
        </w:numPr>
        <w:pBdr>
          <w:top w:val="nil"/>
          <w:left w:val="nil"/>
          <w:bottom w:val="nil"/>
          <w:right w:val="nil"/>
          <w:between w:val="nil"/>
        </w:pBdr>
        <w:spacing w:after="0"/>
        <w:jc w:val="left"/>
      </w:pPr>
      <w:r w:rsidRPr="00724ACE">
        <w:rPr>
          <w:i/>
          <w:iCs/>
        </w:rPr>
        <w:t>Karakteristikat: Kreditë e shpejta nuk janë të siguruara dhe zakonisht për shuma të vogla (p.sh., ligji i Kalifornisë i kufizon ato në 300 dollarë)</w:t>
      </w:r>
      <w:r w:rsidRPr="00724ACE">
        <w:rPr>
          <w:rFonts w:eastAsia="Google Sans Text" w:cs="Times New Roman"/>
          <w:color w:val="575B5F"/>
          <w:szCs w:val="24"/>
          <w:vertAlign w:val="superscript"/>
        </w:rPr>
        <w:t>7</w:t>
      </w:r>
      <w:r w:rsidR="00724ACE" w:rsidRPr="00724ACE">
        <w:t xml:space="preserve"> A</w:t>
      </w:r>
      <w:r w:rsidRPr="00724ACE">
        <w:t>to karakterizohen nga tarifa dhe norma vjetore të interesit (</w:t>
      </w:r>
      <w:r w:rsidR="00C56A5E">
        <w:t>NVP</w:t>
      </w:r>
      <w:r w:rsidRPr="00724ACE">
        <w:t>) jashtëzakonisht të larta, shpesh duke arritur në tre shifra (p.sh., një tarifë prej 15% për një kredi dyjavore prej 300 dollarësh është e barabartë me një normë vjetore interesi prej 460% në Kaliforni).</w:t>
      </w:r>
      <w:r w:rsidRPr="00724ACE">
        <w:rPr>
          <w:rFonts w:eastAsia="Google Sans Text" w:cs="Times New Roman"/>
          <w:color w:val="575B5F"/>
          <w:szCs w:val="24"/>
          <w:vertAlign w:val="superscript"/>
        </w:rPr>
        <w:t>7</w:t>
      </w:r>
      <w:r w:rsidR="00724ACE" w:rsidRPr="00724ACE">
        <w:t xml:space="preserve"> A</w:t>
      </w:r>
      <w:r w:rsidRPr="00724ACE">
        <w:t>fati i shlyerjes është shumë i shkurtër, zakonisht përkon me ditën e ardhshme të pagës së huamarrësit, me një kohëzgjatje maksimale shpesh rreth 31 ditë.</w:t>
      </w:r>
      <w:r w:rsidRPr="00724ACE">
        <w:rPr>
          <w:rFonts w:eastAsia="Google Sans Text" w:cs="Times New Roman"/>
          <w:color w:val="575B5F"/>
          <w:szCs w:val="24"/>
          <w:vertAlign w:val="superscript"/>
        </w:rPr>
        <w:t>7</w:t>
      </w:r>
      <w:r w:rsidR="00724ACE" w:rsidRPr="00724ACE">
        <w:t xml:space="preserve"> H</w:t>
      </w:r>
      <w:r w:rsidRPr="00724ACE">
        <w:t>uamarrësit zakonisht ofrojnë një çek të datës së mëvonshme ose autorizojnë akses elektronik në llogarinë e tyre bankare për shlyerje.</w:t>
      </w:r>
      <w:r w:rsidRPr="00724ACE">
        <w:rPr>
          <w:rFonts w:eastAsia="Google Sans Text" w:cs="Times New Roman"/>
          <w:color w:val="575B5F"/>
          <w:szCs w:val="24"/>
          <w:vertAlign w:val="superscript"/>
        </w:rPr>
        <w:t>7</w:t>
      </w:r>
      <w:r w:rsidR="00724ACE" w:rsidRPr="00724ACE">
        <w:t xml:space="preserve"> P</w:t>
      </w:r>
      <w:r w:rsidRPr="00724ACE">
        <w:t>ër shkak të kostos së tyre të lartë dhe potencialit që huamarrësit të bien të bllokuar në një cikël borxhi, kreditë e shpejta konsiderohen gjerësisht grabitqare nga avokatët e mbrojtjes së konsumatorit.</w:t>
      </w:r>
    </w:p>
    <w:p w:rsidR="005D05F6" w:rsidRPr="00724ACE" w:rsidRDefault="005D05F6" w:rsidP="001E4A2F">
      <w:pPr>
        <w:widowControl w:val="0"/>
        <w:numPr>
          <w:ilvl w:val="1"/>
          <w:numId w:val="17"/>
        </w:numPr>
        <w:pBdr>
          <w:top w:val="nil"/>
          <w:left w:val="nil"/>
          <w:bottom w:val="nil"/>
          <w:right w:val="nil"/>
          <w:between w:val="nil"/>
        </w:pBdr>
        <w:spacing w:after="0"/>
        <w:jc w:val="left"/>
        <w:rPr>
          <w:i/>
          <w:iCs/>
        </w:rPr>
      </w:pPr>
      <w:r w:rsidRPr="00724ACE">
        <w:rPr>
          <w:i/>
          <w:iCs/>
        </w:rPr>
        <w:t>Ofruesit: Kreditë e shpejta ofrohen nga huadhënës të specializuar në dyqane dhe disa platforma huadhënieje online.</w:t>
      </w:r>
      <w:r w:rsidRPr="00724ACE">
        <w:rPr>
          <w:rFonts w:eastAsia="Google Sans Text" w:cs="Times New Roman"/>
          <w:color w:val="575B5F"/>
          <w:szCs w:val="24"/>
          <w:vertAlign w:val="superscript"/>
        </w:rPr>
        <w:t>7</w:t>
      </w:r>
      <w:r w:rsidRPr="00724ACE">
        <w:rPr>
          <w:i/>
          <w:iCs/>
        </w:rPr>
        <w:t>.</w:t>
      </w:r>
    </w:p>
    <w:p w:rsidR="005D05F6" w:rsidRDefault="005D05F6" w:rsidP="001E4A2F">
      <w:pPr>
        <w:widowControl w:val="0"/>
        <w:numPr>
          <w:ilvl w:val="0"/>
          <w:numId w:val="11"/>
        </w:numPr>
        <w:pBdr>
          <w:top w:val="nil"/>
          <w:left w:val="nil"/>
          <w:bottom w:val="nil"/>
          <w:right w:val="nil"/>
          <w:between w:val="nil"/>
        </w:pBdr>
        <w:spacing w:after="0"/>
        <w:jc w:val="left"/>
      </w:pPr>
      <w:r>
        <w:rPr>
          <w:rFonts w:ascii="Google Sans Text" w:eastAsia="Google Sans Text" w:hAnsi="Google Sans Text"/>
          <w:b/>
          <w:szCs w:val="24"/>
        </w:rPr>
        <w:t>Linjat e Kreditit (LOC):</w:t>
      </w:r>
    </w:p>
    <w:p w:rsidR="005D05F6" w:rsidRPr="00724ACE" w:rsidRDefault="005D05F6" w:rsidP="001E4A2F">
      <w:pPr>
        <w:widowControl w:val="0"/>
        <w:numPr>
          <w:ilvl w:val="1"/>
          <w:numId w:val="7"/>
        </w:numPr>
        <w:pBdr>
          <w:top w:val="nil"/>
          <w:left w:val="nil"/>
          <w:bottom w:val="nil"/>
          <w:right w:val="nil"/>
          <w:between w:val="nil"/>
        </w:pBdr>
        <w:spacing w:after="0"/>
        <w:jc w:val="left"/>
        <w:rPr>
          <w:i/>
          <w:iCs/>
        </w:rPr>
      </w:pPr>
      <w:r w:rsidRPr="00724ACE">
        <w:rPr>
          <w:i/>
          <w:iCs/>
        </w:rPr>
        <w:t>Qëllimi: Linjat e kreditit u ofrojnë huamarrësve akses fleksibël në fonde deri në një limit krediti të paracaktuar. Ato shpesh përdoren nga bizneset për menaxhimin e kapitalit qarkullues, mbulimin e shpenzimeve afatshkurtra ose trajtimin e luhatjeve në fluksin e parave të gatshme, por ekzistojnë edhe linja krediti personale.</w:t>
      </w:r>
      <w:r w:rsidRPr="00724ACE">
        <w:rPr>
          <w:rFonts w:eastAsia="Google Sans Text" w:cs="Times New Roman"/>
          <w:color w:val="575B5F"/>
          <w:szCs w:val="24"/>
          <w:vertAlign w:val="superscript"/>
        </w:rPr>
        <w:t>1</w:t>
      </w:r>
      <w:r w:rsidRPr="00724ACE">
        <w:rPr>
          <w:i/>
          <w:iCs/>
        </w:rPr>
        <w:t>.</w:t>
      </w:r>
    </w:p>
    <w:p w:rsidR="005D05F6" w:rsidRPr="00724ACE" w:rsidRDefault="005D05F6" w:rsidP="001E4A2F">
      <w:pPr>
        <w:widowControl w:val="0"/>
        <w:numPr>
          <w:ilvl w:val="1"/>
          <w:numId w:val="7"/>
        </w:numPr>
        <w:pBdr>
          <w:top w:val="nil"/>
          <w:left w:val="nil"/>
          <w:bottom w:val="nil"/>
          <w:right w:val="nil"/>
          <w:between w:val="nil"/>
        </w:pBdr>
        <w:spacing w:after="0"/>
        <w:jc w:val="left"/>
      </w:pPr>
      <w:r w:rsidRPr="00724ACE">
        <w:rPr>
          <w:i/>
          <w:iCs/>
        </w:rPr>
        <w:t>Karakteristikat: LOC-të mund të jenë të siguruara ose të pasigurta</w:t>
      </w:r>
      <w:r w:rsidRPr="00724ACE">
        <w:rPr>
          <w:rFonts w:eastAsia="Google Sans Text" w:cs="Times New Roman"/>
          <w:color w:val="575B5F"/>
          <w:szCs w:val="24"/>
          <w:vertAlign w:val="superscript"/>
        </w:rPr>
        <w:t>1</w:t>
      </w:r>
      <w:r w:rsidR="00724ACE" w:rsidRPr="00724ACE">
        <w:t xml:space="preserve"> A</w:t>
      </w:r>
      <w:r w:rsidRPr="00724ACE">
        <w:t>to funksionojnë në bazë rrotulluese, që do të thotë se huamarrësi mund të tërheqë fonde, t'i shlyejë ato dhe pastaj të tërheqë fonde përsëri sipas nevojës, deri në limitin e përcaktuar.1Interesi zakonisht ngarkohet vetëm mbi bilancin e papaguar (shumën e tërhequr), jo mbi të gjithë limitin e kredisë.</w:t>
      </w:r>
      <w:r w:rsidRPr="00724ACE">
        <w:rPr>
          <w:rFonts w:eastAsia="Google Sans Text" w:cs="Times New Roman"/>
          <w:color w:val="575B5F"/>
          <w:szCs w:val="24"/>
          <w:vertAlign w:val="superscript"/>
        </w:rPr>
        <w:t>33</w:t>
      </w:r>
      <w:r w:rsidR="00724ACE" w:rsidRPr="00724ACE">
        <w:t xml:space="preserve"> N</w:t>
      </w:r>
      <w:r w:rsidRPr="00724ACE">
        <w:t>ormat e interesit janë shpesh të ndryshueshme, duke luhatur me një normë referuese.</w:t>
      </w:r>
    </w:p>
    <w:p w:rsidR="005D05F6" w:rsidRPr="00724ACE" w:rsidRDefault="005D05F6" w:rsidP="001E4A2F">
      <w:pPr>
        <w:widowControl w:val="0"/>
        <w:numPr>
          <w:ilvl w:val="1"/>
          <w:numId w:val="7"/>
        </w:numPr>
        <w:pBdr>
          <w:top w:val="nil"/>
          <w:left w:val="nil"/>
          <w:bottom w:val="nil"/>
          <w:right w:val="nil"/>
          <w:between w:val="nil"/>
        </w:pBdr>
        <w:spacing w:after="0"/>
        <w:jc w:val="left"/>
        <w:rPr>
          <w:i/>
          <w:iCs/>
        </w:rPr>
      </w:pPr>
      <w:r w:rsidRPr="00724ACE">
        <w:rPr>
          <w:i/>
          <w:iCs/>
        </w:rPr>
        <w:t>Ofruesit: Bankat, unionet e kreditit dhe disa huadhënës online ofrojnë linja krediti</w:t>
      </w:r>
      <w:r w:rsidRPr="00724ACE">
        <w:rPr>
          <w:rFonts w:eastAsia="Google Sans Text" w:cs="Times New Roman"/>
          <w:color w:val="575B5F"/>
          <w:szCs w:val="24"/>
          <w:vertAlign w:val="superscript"/>
        </w:rPr>
        <w:t>12</w:t>
      </w:r>
      <w:r w:rsidRPr="00724ACE">
        <w:rPr>
          <w:i/>
          <w:iCs/>
        </w:rPr>
        <w:t>.</w:t>
      </w:r>
    </w:p>
    <w:p w:rsidR="005D05F6" w:rsidRPr="00724ACE" w:rsidRDefault="005D05F6" w:rsidP="001E4A2F">
      <w:pPr>
        <w:widowControl w:val="0"/>
        <w:numPr>
          <w:ilvl w:val="0"/>
          <w:numId w:val="11"/>
        </w:numPr>
        <w:pBdr>
          <w:top w:val="nil"/>
          <w:left w:val="nil"/>
          <w:bottom w:val="nil"/>
          <w:right w:val="nil"/>
          <w:between w:val="nil"/>
        </w:pBdr>
        <w:spacing w:after="0"/>
        <w:jc w:val="left"/>
        <w:rPr>
          <w:b/>
          <w:bCs/>
        </w:rPr>
      </w:pPr>
      <w:r w:rsidRPr="00724ACE">
        <w:rPr>
          <w:b/>
          <w:bCs/>
        </w:rPr>
        <w:t>Linjat e Kreditit për Kapitalin Shtëpiak (HELOC):</w:t>
      </w:r>
    </w:p>
    <w:p w:rsidR="005D05F6" w:rsidRPr="00724ACE" w:rsidRDefault="005D05F6" w:rsidP="001E4A2F">
      <w:pPr>
        <w:widowControl w:val="0"/>
        <w:numPr>
          <w:ilvl w:val="1"/>
          <w:numId w:val="8"/>
        </w:numPr>
        <w:pBdr>
          <w:top w:val="nil"/>
          <w:left w:val="nil"/>
          <w:bottom w:val="nil"/>
          <w:right w:val="nil"/>
          <w:between w:val="nil"/>
        </w:pBdr>
        <w:spacing w:after="0"/>
        <w:jc w:val="left"/>
        <w:rPr>
          <w:i/>
          <w:iCs/>
        </w:rPr>
      </w:pPr>
      <w:r w:rsidRPr="00724ACE">
        <w:rPr>
          <w:i/>
          <w:iCs/>
        </w:rPr>
        <w:t>Qëllimi: HELOC-të u lejojnë pronarëve të shtëpive të marrin hua kundrejt kapitalit që kanë ndërtuar në shtëpitë e tyre. Përdorimet e zakonshme përfshijnë financimin e rinovimeve të shtëpive, konsolidimin e borxhit, pagesën e shpenzimeve të arsimit ose mbulimin e kostove të tjera të rëndësishme.</w:t>
      </w:r>
      <w:r w:rsidRPr="00724ACE">
        <w:rPr>
          <w:rFonts w:eastAsia="Google Sans Text" w:cs="Times New Roman"/>
          <w:color w:val="575B5F"/>
          <w:szCs w:val="24"/>
          <w:vertAlign w:val="superscript"/>
        </w:rPr>
        <w:t>7</w:t>
      </w:r>
      <w:r w:rsidRPr="00724ACE">
        <w:rPr>
          <w:i/>
          <w:iCs/>
        </w:rPr>
        <w:t>.</w:t>
      </w:r>
    </w:p>
    <w:p w:rsidR="005D05F6" w:rsidRPr="00724ACE" w:rsidRDefault="005D05F6" w:rsidP="001E4A2F">
      <w:pPr>
        <w:widowControl w:val="0"/>
        <w:numPr>
          <w:ilvl w:val="1"/>
          <w:numId w:val="8"/>
        </w:numPr>
        <w:pBdr>
          <w:top w:val="nil"/>
          <w:left w:val="nil"/>
          <w:bottom w:val="nil"/>
          <w:right w:val="nil"/>
          <w:between w:val="nil"/>
        </w:pBdr>
        <w:spacing w:after="0"/>
        <w:jc w:val="left"/>
      </w:pPr>
      <w:r w:rsidRPr="00724ACE">
        <w:rPr>
          <w:i/>
          <w:iCs/>
        </w:rPr>
        <w:lastRenderedPageBreak/>
        <w:t xml:space="preserve">Karakteristikat: HELOC-të janë një lloj kredie e siguruar, me kapitalin e shtëpisë së huamarrësit që </w:t>
      </w:r>
      <w:r w:rsidR="00BE072C">
        <w:rPr>
          <w:i/>
          <w:iCs/>
        </w:rPr>
        <w:t>vepron</w:t>
      </w:r>
      <w:r w:rsidRPr="00724ACE">
        <w:rPr>
          <w:i/>
          <w:iCs/>
        </w:rPr>
        <w:t xml:space="preserve"> si kolateral.</w:t>
      </w:r>
      <w:r w:rsidRPr="00724ACE">
        <w:rPr>
          <w:rFonts w:eastAsia="Google Sans Text" w:cs="Times New Roman"/>
          <w:color w:val="575B5F"/>
          <w:szCs w:val="24"/>
          <w:vertAlign w:val="superscript"/>
        </w:rPr>
        <w:t>7</w:t>
      </w:r>
      <w:r w:rsidR="00724ACE" w:rsidRPr="00724ACE">
        <w:t xml:space="preserve"> A</w:t>
      </w:r>
      <w:r w:rsidRPr="00724ACE">
        <w:t>to funksionojnë si një linjë kredie rrotulluese, zakonisht me një "periudhë tërheqjeje" (zakonisht 5-10 vjet) gjatë së cilës huamarrësi mund të hyjë në fonde deri në limitin e tij, e ndjekur nga një "periudhë shlyerjeje" (shpesh 10-20 vjet) gjatë së cilës duhet të shlyhet bilanci i papaguar plus interesi.</w:t>
      </w:r>
      <w:r w:rsidRPr="00724ACE">
        <w:rPr>
          <w:rFonts w:eastAsia="Google Sans Text" w:cs="Times New Roman"/>
          <w:color w:val="575B5F"/>
          <w:szCs w:val="24"/>
          <w:vertAlign w:val="superscript"/>
        </w:rPr>
        <w:t>18</w:t>
      </w:r>
      <w:r w:rsidR="00724ACE" w:rsidRPr="00724ACE">
        <w:t xml:space="preserve"> N</w:t>
      </w:r>
      <w:r w:rsidRPr="00724ACE">
        <w:t>ormat e interesit zakonisht janë të ndryshueshme, të lidhura me një pikë referimi si norma kryesore, megjithëse disa huadhënës mund të ofrojnë mundësi konvertimi me normë fikse.</w:t>
      </w:r>
      <w:r w:rsidRPr="00724ACE">
        <w:rPr>
          <w:rFonts w:eastAsia="Google Sans Text" w:cs="Times New Roman"/>
          <w:color w:val="575B5F"/>
          <w:szCs w:val="24"/>
          <w:vertAlign w:val="superscript"/>
        </w:rPr>
        <w:t>18</w:t>
      </w:r>
      <w:r w:rsidR="00724ACE" w:rsidRPr="00724ACE">
        <w:t xml:space="preserve"> K</w:t>
      </w:r>
      <w:r w:rsidRPr="00724ACE">
        <w:t>imiti i huamarrjes përcaktohet bazuar në vlerën e vlerësuar të shtëpisë minus bilancin e papaguar të hipotekës, zakonisht deri në një raport të caktuar kredie ndaj vlerës (p.sh., 89% siç përmendet nga Truist).</w:t>
      </w:r>
      <w:r w:rsidRPr="00724ACE">
        <w:rPr>
          <w:rFonts w:eastAsia="Google Sans Text" w:cs="Times New Roman"/>
          <w:color w:val="575B5F"/>
          <w:szCs w:val="24"/>
          <w:vertAlign w:val="superscript"/>
        </w:rPr>
        <w:t>18</w:t>
      </w:r>
      <w:r w:rsidR="00724ACE" w:rsidRPr="00724ACE">
        <w:t xml:space="preserve"> N</w:t>
      </w:r>
      <w:r w:rsidRPr="00724ACE">
        <w:t>ën kushte të caktuara, interesi i paguar për një HELOC mund të jetë i zbritshëm nga taksat, por huamarrësit duhet të konsultohen me një këshilltar tatimor.</w:t>
      </w:r>
      <w:r w:rsidRPr="00724ACE">
        <w:rPr>
          <w:rFonts w:eastAsia="Google Sans Text" w:cs="Times New Roman"/>
          <w:color w:val="575B5F"/>
          <w:szCs w:val="24"/>
          <w:vertAlign w:val="superscript"/>
        </w:rPr>
        <w:t>18</w:t>
      </w:r>
      <w:r w:rsidRPr="00724ACE">
        <w:t>.</w:t>
      </w:r>
    </w:p>
    <w:p w:rsidR="005D05F6" w:rsidRPr="00724ACE" w:rsidRDefault="005D05F6" w:rsidP="001E4A2F">
      <w:pPr>
        <w:widowControl w:val="0"/>
        <w:numPr>
          <w:ilvl w:val="1"/>
          <w:numId w:val="8"/>
        </w:numPr>
        <w:pBdr>
          <w:top w:val="nil"/>
          <w:left w:val="nil"/>
          <w:bottom w:val="nil"/>
          <w:right w:val="nil"/>
          <w:between w:val="nil"/>
        </w:pBdr>
        <w:spacing w:after="120"/>
        <w:jc w:val="left"/>
      </w:pPr>
      <w:r w:rsidRPr="00724ACE">
        <w:rPr>
          <w:i/>
          <w:iCs/>
        </w:rPr>
        <w:t>Ofruesit: HELOC-et ofrohen kryesisht nga bankat, unionet e kreditit dhe institucionet e kreditimit hipotekor.</w:t>
      </w:r>
      <w:r w:rsidRPr="00724ACE">
        <w:rPr>
          <w:rFonts w:eastAsia="Google Sans Text" w:cs="Times New Roman"/>
          <w:color w:val="575B5F"/>
          <w:szCs w:val="24"/>
          <w:vertAlign w:val="superscript"/>
        </w:rPr>
        <w:t>18</w:t>
      </w:r>
      <w:r w:rsidRPr="00724ACE">
        <w:t>.</w:t>
      </w:r>
    </w:p>
    <w:p w:rsidR="005D05F6" w:rsidRPr="00724ACE" w:rsidRDefault="00000000" w:rsidP="001E4A2F">
      <w:pPr>
        <w:rPr>
          <w:b/>
          <w:bCs/>
        </w:rPr>
      </w:pPr>
      <w:r>
        <w:pict>
          <v:rect id="_x0000_i1025" style="width:0;height:1.5pt" o:hralign="center" o:hrstd="t" o:hr="t" fillcolor="#a0a0a0" stroked="f"/>
        </w:pict>
      </w:r>
      <w:r w:rsidR="005D05F6" w:rsidRPr="00724ACE">
        <w:rPr>
          <w:b/>
          <w:bCs/>
        </w:rPr>
        <w:t>Tabela 1: Krahasimi i Llojeve Kryesore të Kredive</w:t>
      </w:r>
    </w:p>
    <w:p w:rsidR="005D05F6" w:rsidRDefault="005D05F6" w:rsidP="005D05F6">
      <w:pPr>
        <w:pBdr>
          <w:top w:val="nil"/>
          <w:left w:val="nil"/>
          <w:bottom w:val="nil"/>
          <w:right w:val="nil"/>
          <w:between w:val="nil"/>
        </w:pBdr>
        <w:spacing w:line="275" w:lineRule="auto"/>
        <w:rPr>
          <w:rFonts w:ascii="Google Sans Text" w:eastAsia="Google Sans Text" w:hAnsi="Google Sans Text"/>
          <w:b/>
          <w:szCs w:val="24"/>
        </w:rPr>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724ACE" w:rsidRDefault="005D05F6" w:rsidP="00724ACE">
            <w:pPr>
              <w:jc w:val="center"/>
              <w:rPr>
                <w:b/>
                <w:bCs/>
              </w:rPr>
            </w:pPr>
            <w:r w:rsidRPr="00724ACE">
              <w:rPr>
                <w:b/>
                <w:bCs/>
              </w:rPr>
              <w:t>Lloji i kredisë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724ACE" w:rsidRDefault="005D05F6" w:rsidP="00724ACE">
            <w:pPr>
              <w:jc w:val="center"/>
              <w:rPr>
                <w:b/>
                <w:bCs/>
              </w:rPr>
            </w:pPr>
            <w:r w:rsidRPr="00724ACE">
              <w:rPr>
                <w:b/>
                <w:bCs/>
              </w:rPr>
              <w:t>Qëllimi tipik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724ACE" w:rsidRDefault="005D05F6" w:rsidP="00724ACE">
            <w:pPr>
              <w:jc w:val="center"/>
              <w:rPr>
                <w:b/>
                <w:bCs/>
              </w:rPr>
            </w:pPr>
            <w:r w:rsidRPr="00724ACE">
              <w:rPr>
                <w:b/>
                <w:bCs/>
              </w:rPr>
              <w:t>I siguruar/I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724ACE" w:rsidRDefault="005D05F6" w:rsidP="00724ACE">
            <w:pPr>
              <w:jc w:val="center"/>
              <w:rPr>
                <w:b/>
                <w:bCs/>
              </w:rPr>
            </w:pPr>
            <w:r w:rsidRPr="00724ACE">
              <w:rPr>
                <w:b/>
                <w:bCs/>
              </w:rPr>
              <w:t>Ofruesit tipikë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724ACE" w:rsidRDefault="005D05F6" w:rsidP="00724ACE">
            <w:pPr>
              <w:jc w:val="center"/>
              <w:rPr>
                <w:b/>
                <w:bCs/>
              </w:rPr>
            </w:pPr>
            <w:r w:rsidRPr="00724ACE">
              <w:rPr>
                <w:b/>
                <w:bCs/>
              </w:rPr>
              <w:t>Karakteristikat kryesore (afati, lloji i normës, diapazoni i shumës)</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Personale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Konsolidimi i borxheve, përmirësimi i shtëpisë, blerjet e mëdha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Kryesisht 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Huadhënës 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 xml:space="preserve">Afati: 1-7 vjet; Norma: Fikse (e zakonshme), Variabile (më pak e zakonshme); </w:t>
            </w:r>
            <w:r w:rsidR="00C56A5E">
              <w:rPr>
                <w:rFonts w:eastAsia="Google Sans Text" w:cs="Times New Roman"/>
                <w:sz w:val="20"/>
              </w:rPr>
              <w:t>NVP</w:t>
            </w:r>
            <w:r w:rsidRPr="00DB40B6">
              <w:rPr>
                <w:rFonts w:eastAsia="Google Sans Text" w:cs="Times New Roman"/>
                <w:sz w:val="20"/>
              </w:rPr>
              <w:t>: ~6%-36%; Shuma: 1 mijë dollarë - 100 mijë dollarë+</w:t>
            </w:r>
            <w:r w:rsidRPr="00DB40B6">
              <w:rPr>
                <w:rFonts w:eastAsia="Google Sans Text" w:cs="Times New Roman"/>
                <w:color w:val="575B5F"/>
                <w:szCs w:val="24"/>
                <w:vertAlign w:val="superscript"/>
              </w:rPr>
              <w:t>7</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lastRenderedPageBreak/>
              <w:t>Hipotekë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Bleni pasuri të paluajtshme (shtëpi)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siguruar (Pronë)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Kompani Hipotekare, Huadhënës 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15 ose 30 vjet; Norma: Fikse ose e Ndryshueshme (ARM); Shuma: Bazuar në vlerën e pronës/financat e huamarrësit</w:t>
            </w:r>
            <w:r w:rsidRPr="00DB40B6">
              <w:rPr>
                <w:rFonts w:eastAsia="Google Sans Text" w:cs="Times New Roman"/>
                <w:color w:val="575B5F"/>
                <w:szCs w:val="24"/>
                <w:vertAlign w:val="superscript"/>
              </w:rPr>
              <w:t>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për makinë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Bleni një automjet të ri ose të përdorur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siguruar (Automjet)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Koncesionerë, Huadhënës 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3-7 vjet; Norma: Fikse (e zakonshme); Shuma: Bazuar në çmimin e automjetit/financat e huamarrësit</w:t>
            </w:r>
            <w:r w:rsidRPr="00DB40B6">
              <w:rPr>
                <w:rFonts w:eastAsia="Google Sans Text" w:cs="Times New Roman"/>
                <w:color w:val="575B5F"/>
                <w:szCs w:val="24"/>
                <w:vertAlign w:val="superscript"/>
              </w:rPr>
              <w:t>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Studentore (Federale)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Kostot e arsimit (shkollimi, tarifat, jetesa, etj.)</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Departamenti i Arsimit i SHBA-së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Standard (10 vjet), i varur nga të ardhurat (më i gjatë); Tarifa: Fikse (e përcaktuar çdo vit); Shuma: Bazuar në nevojën/statusin e varësisë; Mbrojtje të disponueshme</w:t>
            </w:r>
            <w:r w:rsidRPr="00DB40B6">
              <w:rPr>
                <w:rFonts w:eastAsia="Google Sans Text" w:cs="Times New Roman"/>
                <w:color w:val="575B5F"/>
                <w:szCs w:val="24"/>
                <w:vertAlign w:val="superscript"/>
              </w:rPr>
              <w:t>21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Studentore (Private)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Kostot e arsimit (financimi i boshllëkut)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Bankat, Unionet e Kreditit, Huadhënësit e Specializuar (p.sh., Sallie Mae)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Ndryshon; Çmimi: Fiks ose i ndryshueshëm; Shuma: Deri në koston e pjesëmarrjes (minus ndihma); Bazuar në kredi, shpesh ka nevojë për bashkënënshkrues</w:t>
            </w:r>
            <w:r w:rsidRPr="00DB40B6">
              <w:rPr>
                <w:rFonts w:eastAsia="Google Sans Text" w:cs="Times New Roman"/>
                <w:color w:val="575B5F"/>
                <w:szCs w:val="24"/>
                <w:vertAlign w:val="superscript"/>
              </w:rPr>
              <w:t>21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Biznesi (SBA)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Fillimi, zgjerimi, kapitali qarkullues, asetet, etj.</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Shpesh i 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Huadhënës të Miratuar nga SBA (Banka, CU), CDC, Ndërmjetës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 xml:space="preserve">Afati: Ndryshon (deri në 25 vjet për pasuri të paluajtshme); Çmimi: I kufizuar </w:t>
            </w:r>
            <w:r w:rsidRPr="00DB40B6">
              <w:rPr>
                <w:rFonts w:eastAsia="Google Sans Text" w:cs="Times New Roman"/>
                <w:sz w:val="20"/>
              </w:rPr>
              <w:lastRenderedPageBreak/>
              <w:t>(fiks/i ndryshueshëm); Shuma: Deri në 5 milionë dollarë+ (varet nga programi); Garanci qeveritare</w:t>
            </w:r>
            <w:r w:rsidRPr="00DB40B6">
              <w:rPr>
                <w:rFonts w:eastAsia="Google Sans Text" w:cs="Times New Roman"/>
                <w:color w:val="575B5F"/>
                <w:szCs w:val="24"/>
                <w:vertAlign w:val="superscript"/>
              </w:rPr>
              <w:t>31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lastRenderedPageBreak/>
              <w:t>Kredi Biznesi (Konvencionale)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Fillimi, zgjerimi, kapitali qarkullues, asetet, etj.</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siguruar/I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Huadhënës 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Ndryshon; Norma: Fikse ose Variabël; Shuma: Ndryshon; Kritere më të rrepta se SBA</w:t>
            </w:r>
            <w:r w:rsidRPr="00DB40B6">
              <w:rPr>
                <w:rFonts w:eastAsia="Google Sans Text" w:cs="Times New Roman"/>
                <w:color w:val="575B5F"/>
                <w:szCs w:val="24"/>
                <w:vertAlign w:val="superscript"/>
              </w:rPr>
              <w:t>33</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Kredi e shpejtë</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Para të gatshme për emergjenca shumë afatshkurtra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Huadhënës të Pagave (Vitrinë/Online)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~2-4 javë (dita e ardhshme e pagës); Tarifa: Tarifë fikse jashtëzakonisht e lartë (</w:t>
            </w:r>
            <w:r w:rsidR="00C56A5E">
              <w:rPr>
                <w:rFonts w:eastAsia="Google Sans Text" w:cs="Times New Roman"/>
                <w:sz w:val="20"/>
              </w:rPr>
              <w:t>NVP</w:t>
            </w:r>
            <w:r w:rsidRPr="00DB40B6">
              <w:rPr>
                <w:rFonts w:eastAsia="Google Sans Text" w:cs="Times New Roman"/>
                <w:sz w:val="20"/>
              </w:rPr>
              <w:t xml:space="preserve"> 300%+); Shuma: E vogël ($100-$500)</w:t>
            </w:r>
            <w:r w:rsidRPr="00DB40B6">
              <w:rPr>
                <w:rFonts w:eastAsia="Google Sans Text" w:cs="Times New Roman"/>
                <w:color w:val="575B5F"/>
                <w:szCs w:val="24"/>
                <w:vertAlign w:val="superscript"/>
              </w:rPr>
              <w:t>7</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Linja e Kredisë (LOC)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Qasje fleksibile në fonde (p.sh., kapital qarkullues)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siguruar/I pasiguruar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Huadhënës Online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Rrotullues; Norma: Shpesh e ndryshueshme; Shuma: Limit i paracaktuar; Tërhiqet sipas nevojës</w:t>
            </w:r>
            <w:r w:rsidRPr="00DB40B6">
              <w:rPr>
                <w:rFonts w:eastAsia="Google Sans Text" w:cs="Times New Roman"/>
                <w:color w:val="575B5F"/>
                <w:szCs w:val="24"/>
                <w:vertAlign w:val="superscript"/>
              </w:rPr>
              <w:t>1</w:t>
            </w:r>
          </w:p>
        </w:tc>
      </w:tr>
      <w:tr w:rsidR="005D05F6" w:rsidTr="005D05F6">
        <w:trPr>
          <w:jc w:val="center"/>
        </w:trPr>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b/>
                <w:sz w:val="20"/>
              </w:rPr>
            </w:pPr>
            <w:r w:rsidRPr="00DB40B6">
              <w:rPr>
                <w:rFonts w:eastAsia="Google Sans Text" w:cs="Times New Roman"/>
                <w:b/>
                <w:sz w:val="20"/>
              </w:rPr>
              <w:t>HELOC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Përmirësime në shtëpi, konsolidim borxhesh, arsim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I siguruar (Kapital shtëpiak)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sz w:val="20"/>
              </w:rPr>
            </w:pPr>
            <w:r w:rsidRPr="00DB40B6">
              <w:rPr>
                <w:rFonts w:eastAsia="Google Sans Text" w:cs="Times New Roman"/>
                <w:sz w:val="20"/>
              </w:rPr>
              <w:t>Banka, Unione Krediti, Huadhënës Hipotekash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05F6" w:rsidRPr="00DB40B6" w:rsidRDefault="005D05F6" w:rsidP="00DB40B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B40B6">
              <w:rPr>
                <w:rFonts w:eastAsia="Google Sans Text" w:cs="Times New Roman"/>
                <w:sz w:val="20"/>
              </w:rPr>
              <w:t>Afati: Periudha rrotulluese e tërheqjes + periudha e ripagimit; Norma: Shpesh e ndryshueshme; Shuma: Bazuar në kapitalin e shtëpisë</w:t>
            </w:r>
            <w:r w:rsidRPr="00DB40B6">
              <w:rPr>
                <w:rFonts w:eastAsia="Google Sans Text" w:cs="Times New Roman"/>
                <w:color w:val="575B5F"/>
                <w:szCs w:val="24"/>
                <w:vertAlign w:val="superscript"/>
              </w:rPr>
              <w:t>7</w:t>
            </w:r>
          </w:p>
        </w:tc>
      </w:tr>
    </w:tbl>
    <w:p w:rsidR="00B16F31" w:rsidRDefault="00000000" w:rsidP="001E4A2F">
      <w:r>
        <w:pict>
          <v:rect id="_x0000_i1026" style="width:0;height:1.5pt" o:hralign="center" o:bullet="t" o:hrstd="t" o:hr="t" fillcolor="#a0a0a0" stroked="f"/>
        </w:pict>
      </w:r>
    </w:p>
    <w:p w:rsidR="00B16F31" w:rsidRDefault="00B16F31" w:rsidP="003838A9">
      <w:pPr>
        <w:pStyle w:val="Heading2"/>
      </w:pPr>
      <w:bookmarkStart w:id="10" w:name="_Toc198558471"/>
      <w:r w:rsidRPr="00B16F31">
        <w:lastRenderedPageBreak/>
        <w:t xml:space="preserve">Seksioni 1.3: </w:t>
      </w:r>
      <w:r w:rsidR="006E0EA1" w:rsidRPr="006E0EA1">
        <w:t>Cikli Jetësor i Kredisë: Nga Aplikimi te Mbyllja</w:t>
      </w:r>
      <w:bookmarkEnd w:id="10"/>
    </w:p>
    <w:p w:rsidR="00D3477D" w:rsidRDefault="00D3477D" w:rsidP="001E4A2F">
      <w:r>
        <w:t>Procesi i marrjes dhe menaxhimit të një kredie ndjek një cikël të përgjithshëm jetësor, nga kërkesa fillestare për fonde deri te shlyerja përfundimtare ose, në raste të pafat, deri te mospagesa e tyre. Të kuptuarit e këtyre fazave është thelbësore për huamarrësit që lundrojnë në peizazhin e huadhënies.</w:t>
      </w:r>
    </w:p>
    <w:p w:rsidR="00D3477D" w:rsidRPr="00ED1089" w:rsidRDefault="00D3477D" w:rsidP="001E4A2F">
      <w:pPr>
        <w:widowControl w:val="0"/>
        <w:numPr>
          <w:ilvl w:val="0"/>
          <w:numId w:val="18"/>
        </w:numPr>
        <w:pBdr>
          <w:top w:val="nil"/>
          <w:left w:val="nil"/>
          <w:bottom w:val="nil"/>
          <w:right w:val="nil"/>
          <w:between w:val="nil"/>
        </w:pBdr>
        <w:spacing w:after="120"/>
        <w:jc w:val="left"/>
        <w:rPr>
          <w:b/>
          <w:bCs/>
        </w:rPr>
      </w:pPr>
      <w:r w:rsidRPr="00ED1089">
        <w:rPr>
          <w:b/>
          <w:bCs/>
        </w:rPr>
        <w:t>1.3.1 Aplikimi</w:t>
      </w:r>
    </w:p>
    <w:p w:rsidR="00D3477D" w:rsidRPr="00ED1089" w:rsidRDefault="00D3477D" w:rsidP="001E4A2F">
      <w:pPr>
        <w:pBdr>
          <w:top w:val="nil"/>
          <w:left w:val="nil"/>
          <w:bottom w:val="nil"/>
          <w:right w:val="nil"/>
          <w:between w:val="nil"/>
        </w:pBdr>
        <w:spacing w:before="240"/>
      </w:pPr>
      <w:r w:rsidRPr="00ED1089">
        <w:t>Cikli jetësor i një kredie fillon kur një huamarrës potencial identifikon nevojën për fonde dhe vendos të kërkojë një kredi.</w:t>
      </w:r>
      <w:r w:rsidRPr="00ED1089">
        <w:rPr>
          <w:rFonts w:eastAsia="Google Sans Text" w:cs="Times New Roman"/>
          <w:color w:val="575B5F"/>
          <w:szCs w:val="24"/>
          <w:vertAlign w:val="superscript"/>
        </w:rPr>
        <w:t>1</w:t>
      </w:r>
      <w:r w:rsidR="00ED1089" w:rsidRPr="00ED1089">
        <w:t xml:space="preserve"> H</w:t>
      </w:r>
      <w:r w:rsidRPr="00ED1089">
        <w:t>api i parë aktiv është procesi i aplikimit. Kjo përfshin huamarrësin që i drejtohet një huadhënësi (bankë, bashkim krediti, platformë online, etj.) dhe kërkon zyrtarisht një kredi.</w:t>
      </w:r>
      <w:r w:rsidRPr="00ED1089">
        <w:rPr>
          <w:rFonts w:eastAsia="Google Sans Text" w:cs="Times New Roman"/>
          <w:color w:val="575B5F"/>
          <w:szCs w:val="24"/>
          <w:vertAlign w:val="superscript"/>
        </w:rPr>
        <w:t>1</w:t>
      </w:r>
      <w:r w:rsidR="00ED1089" w:rsidRPr="00ED1089">
        <w:t xml:space="preserve"> G</w:t>
      </w:r>
      <w:r w:rsidRPr="00ED1089">
        <w:t>jatë kësaj faze, huamarrësi jep detaje thelbësore personale dhe financiare, duke përfshirë identitetin e tij, numrin e Sigurimeve Shoqërore (SSN), burimet dhe shumat e të ardhurave, borxhet ekzistuese, informacionin e punësimit dhe qëllimin për të cilin është menduar kredia.</w:t>
      </w:r>
      <w:r w:rsidRPr="00ED1089">
        <w:rPr>
          <w:rFonts w:eastAsia="Google Sans Text" w:cs="Times New Roman"/>
          <w:color w:val="575B5F"/>
          <w:szCs w:val="24"/>
          <w:vertAlign w:val="superscript"/>
        </w:rPr>
        <w:t>1</w:t>
      </w:r>
      <w:r w:rsidRPr="00ED1089">
        <w:t>.</w:t>
      </w:r>
    </w:p>
    <w:p w:rsidR="00D3477D" w:rsidRPr="00ED1089" w:rsidRDefault="00D3477D" w:rsidP="001E4A2F">
      <w:pPr>
        <w:pBdr>
          <w:top w:val="nil"/>
          <w:left w:val="nil"/>
          <w:bottom w:val="nil"/>
          <w:right w:val="nil"/>
          <w:between w:val="nil"/>
        </w:pBdr>
      </w:pPr>
      <w:r w:rsidRPr="00ED1089">
        <w:t>Shumë huadhënës ofrojnë një hap parakualifikimi ose paramiratimi përpara aplikimit formal.</w:t>
      </w:r>
      <w:r w:rsidRPr="00ED1089">
        <w:rPr>
          <w:rFonts w:eastAsia="Google Sans Text" w:cs="Times New Roman"/>
          <w:color w:val="575B5F"/>
          <w:szCs w:val="24"/>
          <w:vertAlign w:val="superscript"/>
        </w:rPr>
        <w:t>19</w:t>
      </w:r>
      <w:r w:rsidR="00ED1089" w:rsidRPr="00ED1089">
        <w:t xml:space="preserve"> P</w:t>
      </w:r>
      <w:r w:rsidRPr="00ED1089">
        <w:t>arakualifikimi ofron një vlerësim par</w:t>
      </w:r>
      <w:r w:rsidR="0014475F">
        <w:t>apr</w:t>
      </w:r>
      <w:r w:rsidRPr="00ED1089">
        <w:t>ak të shumave dhe kushteve të mundshme të kredisë bazuar në informacionin e vetëraportuar, ndërsa paramiratimi përfshin një shqyrtim fillestar më të plotë (shpesh duke përfshirë një kontroll krediti) dhe ofron një tregues më të fortë të miratimit të mundshëm.</w:t>
      </w:r>
      <w:r w:rsidRPr="00ED1089">
        <w:rPr>
          <w:rFonts w:eastAsia="Google Sans Text" w:cs="Times New Roman"/>
          <w:color w:val="575B5F"/>
          <w:szCs w:val="24"/>
          <w:vertAlign w:val="superscript"/>
        </w:rPr>
        <w:t>19</w:t>
      </w:r>
      <w:r w:rsidRPr="00ED1089">
        <w:t>.</w:t>
      </w:r>
    </w:p>
    <w:p w:rsidR="00D3477D" w:rsidRPr="00ED1089" w:rsidRDefault="00D3477D" w:rsidP="001E4A2F">
      <w:pPr>
        <w:pBdr>
          <w:top w:val="nil"/>
          <w:left w:val="nil"/>
          <w:bottom w:val="nil"/>
          <w:right w:val="nil"/>
          <w:between w:val="nil"/>
        </w:pBdr>
        <w:spacing w:after="120"/>
      </w:pPr>
      <w:r w:rsidRPr="00ED1089">
        <w:t>Si pjesë e aplikimit formal, huamarrësit zakonisht duhet të paraqesin dokumentacion mbështetës për të verifikuar informacionin e dhënë. Dokumentet e zakonshme përfshijnë fletëpagesa të kohëve të fundit, formularë W-2 ose deklarata tatimore (veçanërisht për individët e vetëpunësuar), deklarata bankare dhe një formë të vlefshme identifikimi.</w:t>
      </w:r>
      <w:r w:rsidRPr="00ED1089">
        <w:rPr>
          <w:rFonts w:eastAsia="Google Sans Text" w:cs="Times New Roman"/>
          <w:color w:val="575B5F"/>
          <w:szCs w:val="24"/>
          <w:vertAlign w:val="superscript"/>
        </w:rPr>
        <w:t>11</w:t>
      </w:r>
      <w:r w:rsidR="00ED1089" w:rsidRPr="00ED1089">
        <w:t xml:space="preserve"> P</w:t>
      </w:r>
      <w:r w:rsidRPr="00ED1089">
        <w:t>ër lloje specifike kredish, mund të kërkohen dokumente shtesë si marrëveshje blerjeje (për hipoteka ose kredi për makina).</w:t>
      </w:r>
      <w:r w:rsidRPr="00ED1089">
        <w:rPr>
          <w:rFonts w:eastAsia="Google Sans Text" w:cs="Times New Roman"/>
          <w:color w:val="575B5F"/>
          <w:szCs w:val="24"/>
          <w:vertAlign w:val="superscript"/>
        </w:rPr>
        <w:t>40</w:t>
      </w:r>
      <w:r w:rsidRPr="00ED1089">
        <w:t>.</w:t>
      </w:r>
    </w:p>
    <w:p w:rsidR="00D3477D" w:rsidRPr="00ED1089" w:rsidRDefault="00D3477D" w:rsidP="001E4A2F">
      <w:pPr>
        <w:widowControl w:val="0"/>
        <w:numPr>
          <w:ilvl w:val="0"/>
          <w:numId w:val="19"/>
        </w:numPr>
        <w:pBdr>
          <w:top w:val="nil"/>
          <w:left w:val="nil"/>
          <w:bottom w:val="nil"/>
          <w:right w:val="nil"/>
          <w:between w:val="nil"/>
        </w:pBdr>
        <w:spacing w:after="120"/>
        <w:jc w:val="left"/>
        <w:rPr>
          <w:b/>
          <w:bCs/>
        </w:rPr>
      </w:pPr>
      <w:r w:rsidRPr="00ED1089">
        <w:rPr>
          <w:b/>
          <w:bCs/>
        </w:rPr>
        <w:t>1.3.2 Sigurimi dhe Vlerësimi i</w:t>
      </w:r>
      <w:r>
        <w:rPr>
          <w:rFonts w:ascii="Google Sans Text" w:eastAsia="Google Sans Text" w:hAnsi="Google Sans Text"/>
          <w:b/>
          <w:szCs w:val="24"/>
        </w:rPr>
        <w:t xml:space="preserve"> </w:t>
      </w:r>
      <w:r w:rsidRPr="00ED1089">
        <w:rPr>
          <w:b/>
          <w:bCs/>
        </w:rPr>
        <w:t>Rrezikut</w:t>
      </w:r>
    </w:p>
    <w:p w:rsidR="00D3477D" w:rsidRPr="00ED1089" w:rsidRDefault="00D3477D" w:rsidP="001E4A2F">
      <w:pPr>
        <w:pBdr>
          <w:top w:val="nil"/>
          <w:left w:val="nil"/>
          <w:bottom w:val="nil"/>
          <w:right w:val="nil"/>
          <w:between w:val="nil"/>
        </w:pBdr>
        <w:spacing w:before="240"/>
      </w:pPr>
      <w:r w:rsidRPr="00ED1089">
        <w:t>Pasi të jenë dorëzuar aplikimi dhe dokumentet mbështetëse, kredia hyn në fazën e nënshkrimit të kredisë.</w:t>
      </w:r>
      <w:r w:rsidRPr="00ED1089">
        <w:rPr>
          <w:rFonts w:eastAsia="Google Sans Text" w:cs="Times New Roman"/>
          <w:color w:val="575B5F"/>
          <w:szCs w:val="24"/>
          <w:vertAlign w:val="superscript"/>
        </w:rPr>
        <w:t>40</w:t>
      </w:r>
      <w:r w:rsidR="00ED1089" w:rsidRPr="00ED1089">
        <w:t xml:space="preserve"> K</w:t>
      </w:r>
      <w:r w:rsidRPr="00ED1089">
        <w:t>jo është një fazë kritike ku huadhënësi vlerëson me kujdes kërkesën e huamarrësit për të vlerësuar aftësinë e tyre kreditore dhe për të përcaktuar nivelin e rrezikut që lidhet me dhënien e parave hua.</w:t>
      </w:r>
      <w:r w:rsidRPr="00ED1089">
        <w:rPr>
          <w:rFonts w:eastAsia="Google Sans Text" w:cs="Times New Roman"/>
          <w:color w:val="575B5F"/>
          <w:szCs w:val="24"/>
          <w:vertAlign w:val="superscript"/>
        </w:rPr>
        <w:t>1</w:t>
      </w:r>
      <w:r w:rsidR="00ED1089" w:rsidRPr="00ED1089">
        <w:t xml:space="preserve"> Q</w:t>
      </w:r>
      <w:r w:rsidRPr="00ED1089">
        <w:t xml:space="preserve">ëllimi kryesor i sigurimit të </w:t>
      </w:r>
      <w:r w:rsidRPr="00ED1089">
        <w:lastRenderedPageBreak/>
        <w:t>kredisë është të vlerësojë mundësinë që huamarrësi ta shlyejë kredinë sipas kushteve të rëna dakord ose nëse mund të mos i përmbushë detyrimet.</w:t>
      </w:r>
      <w:r w:rsidRPr="00ED1089">
        <w:rPr>
          <w:rFonts w:eastAsia="Google Sans Text" w:cs="Times New Roman"/>
          <w:color w:val="575B5F"/>
          <w:szCs w:val="24"/>
          <w:vertAlign w:val="superscript"/>
        </w:rPr>
        <w:t>41</w:t>
      </w:r>
      <w:r w:rsidRPr="00ED1089">
        <w:t>.</w:t>
      </w:r>
    </w:p>
    <w:p w:rsidR="00D3477D" w:rsidRDefault="00D3477D" w:rsidP="001E4A2F">
      <w:r>
        <w:t>Huadhënësit shqyrtojnë disa faktorë kryesorë gjatë nënshkrimit:</w:t>
      </w:r>
    </w:p>
    <w:p w:rsidR="00D3477D" w:rsidRPr="00ED1089" w:rsidRDefault="00D3477D" w:rsidP="001E4A2F">
      <w:pPr>
        <w:widowControl w:val="0"/>
        <w:numPr>
          <w:ilvl w:val="0"/>
          <w:numId w:val="20"/>
        </w:numPr>
        <w:pBdr>
          <w:top w:val="nil"/>
          <w:left w:val="nil"/>
          <w:bottom w:val="nil"/>
          <w:right w:val="nil"/>
          <w:between w:val="nil"/>
        </w:pBdr>
        <w:spacing w:after="0"/>
        <w:jc w:val="left"/>
      </w:pPr>
      <w:r w:rsidRPr="00ED1089">
        <w:rPr>
          <w:b/>
          <w:bCs/>
        </w:rPr>
        <w:t>Historia e kreditit dhe rezultati:</w:t>
      </w:r>
      <w:r w:rsidR="00ED1089" w:rsidRPr="00ED1089">
        <w:t xml:space="preserve"> </w:t>
      </w:r>
      <w:r w:rsidRPr="00ED1089">
        <w:t>Sjellja e huamarrjes dhe shlyerjes së kredisë në të kaluarën e huamarrësit, e përmbledhur në raportin e tyre të kreditit dhe rezultatin e kreditit, është një tregues kryesor i gjasave të shlyerjes në të ardhmen.</w:t>
      </w:r>
      <w:r w:rsidRPr="00ED1089">
        <w:rPr>
          <w:rFonts w:eastAsia="Google Sans Text" w:cs="Times New Roman"/>
          <w:color w:val="575B5F"/>
          <w:szCs w:val="24"/>
          <w:vertAlign w:val="superscript"/>
        </w:rPr>
        <w:t>11</w:t>
      </w:r>
      <w:r w:rsidRPr="00ED1089">
        <w:t>.</w:t>
      </w:r>
    </w:p>
    <w:p w:rsidR="00D3477D" w:rsidRPr="00ED1089" w:rsidRDefault="00D3477D" w:rsidP="001E4A2F">
      <w:pPr>
        <w:widowControl w:val="0"/>
        <w:numPr>
          <w:ilvl w:val="0"/>
          <w:numId w:val="20"/>
        </w:numPr>
        <w:pBdr>
          <w:top w:val="nil"/>
          <w:left w:val="nil"/>
          <w:bottom w:val="nil"/>
          <w:right w:val="nil"/>
          <w:between w:val="nil"/>
        </w:pBdr>
        <w:spacing w:after="0"/>
        <w:jc w:val="left"/>
      </w:pPr>
      <w:r w:rsidRPr="00ED1089">
        <w:rPr>
          <w:b/>
          <w:bCs/>
        </w:rPr>
        <w:t>Stabiliteti i të Ardhurave dhe Punësimit:</w:t>
      </w:r>
      <w:r w:rsidR="00ED1089" w:rsidRPr="00ED1089">
        <w:t xml:space="preserve"> </w:t>
      </w:r>
      <w:r w:rsidRPr="00ED1089">
        <w:t>Huadhënësit verifikojnë burimet e të ardhurave dhe stabilitetin e huamarrësit për t'u siguruar që ata kanë kapacitetin financiar për të përballuar pagesat e kredisë.</w:t>
      </w:r>
      <w:r w:rsidRPr="00ED1089">
        <w:rPr>
          <w:rFonts w:eastAsia="Google Sans Text" w:cs="Times New Roman"/>
          <w:color w:val="575B5F"/>
          <w:szCs w:val="24"/>
          <w:vertAlign w:val="superscript"/>
        </w:rPr>
        <w:t>11</w:t>
      </w:r>
      <w:r w:rsidRPr="00ED1089">
        <w:t>.</w:t>
      </w:r>
    </w:p>
    <w:p w:rsidR="00D3477D" w:rsidRPr="00ED1089" w:rsidRDefault="00D3477D" w:rsidP="001E4A2F">
      <w:pPr>
        <w:widowControl w:val="0"/>
        <w:numPr>
          <w:ilvl w:val="0"/>
          <w:numId w:val="20"/>
        </w:numPr>
        <w:pBdr>
          <w:top w:val="nil"/>
          <w:left w:val="nil"/>
          <w:bottom w:val="nil"/>
          <w:right w:val="nil"/>
          <w:between w:val="nil"/>
        </w:pBdr>
        <w:spacing w:after="0"/>
        <w:jc w:val="left"/>
      </w:pPr>
      <w:r w:rsidRPr="00ED1089">
        <w:rPr>
          <w:b/>
          <w:bCs/>
        </w:rPr>
        <w:t>Asetet dhe Detyrimet:</w:t>
      </w:r>
      <w:r w:rsidR="00ED1089" w:rsidRPr="00ED1089">
        <w:t xml:space="preserve"> </w:t>
      </w:r>
      <w:r w:rsidRPr="00ED1089">
        <w:t>Asetet e huamarrësit (si kursimet) dhe detyrimet ekzistuese (borxhet e tjera) rishikohen për të vlerësuar gjendjen e tyre të përgjithshme financiare.</w:t>
      </w:r>
      <w:r w:rsidRPr="00ED1089">
        <w:rPr>
          <w:rFonts w:eastAsia="Google Sans Text" w:cs="Times New Roman"/>
          <w:color w:val="575B5F"/>
          <w:szCs w:val="24"/>
          <w:vertAlign w:val="superscript"/>
        </w:rPr>
        <w:t>11</w:t>
      </w:r>
      <w:r w:rsidRPr="00ED1089">
        <w:t>.</w:t>
      </w:r>
    </w:p>
    <w:p w:rsidR="00D3477D" w:rsidRPr="00ED1089" w:rsidRDefault="00D3477D" w:rsidP="001E4A2F">
      <w:pPr>
        <w:widowControl w:val="0"/>
        <w:numPr>
          <w:ilvl w:val="0"/>
          <w:numId w:val="20"/>
        </w:numPr>
        <w:pBdr>
          <w:top w:val="nil"/>
          <w:left w:val="nil"/>
          <w:bottom w:val="nil"/>
          <w:right w:val="nil"/>
          <w:between w:val="nil"/>
        </w:pBdr>
        <w:spacing w:after="0"/>
        <w:jc w:val="left"/>
      </w:pPr>
      <w:r w:rsidRPr="00ED1089">
        <w:rPr>
          <w:b/>
          <w:bCs/>
        </w:rPr>
        <w:t>Raporti i Borxhit ndaj të Ardhurave (DTI):</w:t>
      </w:r>
      <w:r w:rsidR="00ED1089">
        <w:t xml:space="preserve"> </w:t>
      </w:r>
      <w:r w:rsidRPr="00ED1089">
        <w:t>Ky raport krahason detyrimet mujore të borxhit të huamarrësit me të ardhurat e tij bruto mujore, duke treguar aftësinë e tij për të marrë borxh shtesë.</w:t>
      </w:r>
      <w:r w:rsidRPr="00ED1089">
        <w:rPr>
          <w:rFonts w:eastAsia="Google Sans Text" w:cs="Times New Roman"/>
          <w:color w:val="575B5F"/>
          <w:szCs w:val="24"/>
          <w:vertAlign w:val="superscript"/>
        </w:rPr>
        <w:t>1</w:t>
      </w:r>
      <w:r w:rsidR="00ED1089" w:rsidRPr="00ED1089">
        <w:t xml:space="preserve"> H</w:t>
      </w:r>
      <w:r w:rsidRPr="00ED1089">
        <w:t>uadhënësit preferojnë raporte më të ulëta DTI.</w:t>
      </w:r>
    </w:p>
    <w:p w:rsidR="00D3477D" w:rsidRPr="00ED1089" w:rsidRDefault="00D3477D" w:rsidP="001E4A2F">
      <w:pPr>
        <w:widowControl w:val="0"/>
        <w:numPr>
          <w:ilvl w:val="0"/>
          <w:numId w:val="20"/>
        </w:numPr>
        <w:pBdr>
          <w:top w:val="nil"/>
          <w:left w:val="nil"/>
          <w:bottom w:val="nil"/>
          <w:right w:val="nil"/>
          <w:between w:val="nil"/>
        </w:pBdr>
        <w:spacing w:after="120"/>
        <w:jc w:val="left"/>
      </w:pPr>
      <w:r w:rsidRPr="00ED1089">
        <w:rPr>
          <w:b/>
          <w:bCs/>
        </w:rPr>
        <w:t>Vlera e kolateralit (për kreditë e siguruara):</w:t>
      </w:r>
      <w:r w:rsidR="00ED1089" w:rsidRPr="00ED1089">
        <w:t xml:space="preserve"> </w:t>
      </w:r>
      <w:r w:rsidRPr="00ED1089">
        <w:t>Nëse kredia është e siguruar, huadhënësi vlerëson vlerën dhe gjendjen e kolateralit të lënë peng përmes metodave si vlerësimet për të siguruar që ai mbulon në mënyrë adekuate shumën e kredisë në rast të mospërmbushjes së detyrimeve.</w:t>
      </w:r>
      <w:r w:rsidRPr="00ED1089">
        <w:rPr>
          <w:rFonts w:eastAsia="Google Sans Text" w:cs="Times New Roman"/>
          <w:color w:val="575B5F"/>
          <w:szCs w:val="24"/>
          <w:vertAlign w:val="superscript"/>
        </w:rPr>
        <w:t>11</w:t>
      </w:r>
      <w:r w:rsidRPr="00ED1089">
        <w:t>.</w:t>
      </w:r>
    </w:p>
    <w:p w:rsidR="00D3477D" w:rsidRPr="00ED1089" w:rsidRDefault="00D3477D" w:rsidP="001E4A2F">
      <w:pPr>
        <w:pBdr>
          <w:top w:val="nil"/>
          <w:left w:val="nil"/>
          <w:bottom w:val="nil"/>
          <w:right w:val="nil"/>
          <w:between w:val="nil"/>
        </w:pBdr>
        <w:spacing w:before="240"/>
      </w:pPr>
      <w:r w:rsidRPr="00ED1089">
        <w:t>Vetë procesi i nënshkrimit mund të ekzekutohet përmes sistemeve të automatizuara ose nga nënshkrues njerëzorë.</w:t>
      </w:r>
      <w:r>
        <w:rPr>
          <w:rFonts w:ascii="Google Sans Text" w:eastAsia="Google Sans Text" w:hAnsi="Google Sans Text"/>
          <w:color w:val="575B5F"/>
          <w:szCs w:val="24"/>
          <w:vertAlign w:val="superscript"/>
        </w:rPr>
        <w:t>40</w:t>
      </w:r>
      <w:r w:rsidR="00ED1089" w:rsidRPr="00ED1089">
        <w:t xml:space="preserve"> S</w:t>
      </w:r>
      <w:r w:rsidRPr="00ED1089">
        <w:t>istemet e automatizuara të nënshkrimit përdorin algoritme për të përpunuar shpejt aplikimet dhe të dhënat standarde, të zakonshme për shumë kredi personale dhe karta krediti. Nënshkrimi manual përfshin një shqyrtim të detajuar nga një profesionist i kredisë dhe është tipik për kredi më komplekse si hipotekat ose kreditë e mëdha biznesi.</w:t>
      </w:r>
      <w:r w:rsidRPr="00ED1089">
        <w:rPr>
          <w:rFonts w:eastAsia="Google Sans Text" w:cs="Times New Roman"/>
          <w:color w:val="575B5F"/>
          <w:szCs w:val="24"/>
          <w:vertAlign w:val="superscript"/>
        </w:rPr>
        <w:t>41</w:t>
      </w:r>
      <w:r w:rsidRPr="00ED1089">
        <w:t>.</w:t>
      </w:r>
    </w:p>
    <w:p w:rsidR="00D3477D" w:rsidRPr="00857D47" w:rsidRDefault="00D3477D" w:rsidP="001E4A2F">
      <w:pPr>
        <w:pBdr>
          <w:top w:val="nil"/>
          <w:left w:val="nil"/>
          <w:bottom w:val="nil"/>
          <w:right w:val="nil"/>
          <w:between w:val="nil"/>
        </w:pBdr>
      </w:pPr>
      <w:r w:rsidRPr="00ED1089">
        <w:t>Roli i IA-së në Sigurimin e Sigurimeve:</w:t>
      </w:r>
      <w:r w:rsidR="00ED1089" w:rsidRPr="00ED1089">
        <w:t xml:space="preserve"> </w:t>
      </w:r>
      <w:r w:rsidRPr="00ED1089">
        <w:t>Një trend i rëndësishëm që po transformon peizazhin e sigurimeve është përdorimi gjithnjë e në rritje i Inteligjencës Artificiale (IA) dhe algoritmeve të të mësuarit automatik.</w:t>
      </w:r>
      <w:r w:rsidRPr="00ED1089">
        <w:rPr>
          <w:rFonts w:eastAsia="Google Sans Text" w:cs="Times New Roman"/>
          <w:color w:val="575B5F"/>
          <w:szCs w:val="24"/>
          <w:vertAlign w:val="superscript"/>
        </w:rPr>
        <w:t>42</w:t>
      </w:r>
      <w:r w:rsidR="00ED1089" w:rsidRPr="00ED1089">
        <w:t xml:space="preserve"> H</w:t>
      </w:r>
      <w:r w:rsidRPr="00ED1089">
        <w:t xml:space="preserve">uadhënësit përdorin inteligjencën artificiale për të analizuar grupe të gjera dhe të larmishme të dhënash - duke përfshirë të dhënat tradicionale të kreditit, historikun e transaksioneve bankare, modelet e të ardhurave dhe </w:t>
      </w:r>
      <w:r w:rsidRPr="00ED1089">
        <w:lastRenderedPageBreak/>
        <w:t>madje edhe aktivitetin online në kohë reale - për të gjeneruar rezultate krediti dhe vlerësime rreziku më të nuancuara dhe parashikuese.</w:t>
      </w:r>
      <w:r w:rsidRPr="00ED1089">
        <w:rPr>
          <w:rFonts w:eastAsia="Google Sans Text" w:cs="Times New Roman"/>
          <w:color w:val="575B5F"/>
          <w:szCs w:val="24"/>
          <w:vertAlign w:val="superscript"/>
        </w:rPr>
        <w:t>42</w:t>
      </w:r>
      <w:r w:rsidR="00ED1089" w:rsidRPr="00ED1089">
        <w:t xml:space="preserve"> S</w:t>
      </w:r>
      <w:r w:rsidRPr="00ED1089">
        <w:t>tudimet, veçanërisht në fusha si huadhënia për automjete, kanë treguar se nënshkrimi algoritmik mund të japë rezultate më të mira krahasuar me proceset tradicionale njerëzore, duke demonstruar potencial për rritjen e rentabilitetit të kredisë (p.sh., 10.2% më e lartë) dhe uljen e normave të mospagesës së pagesave (p.sh., 6.8% më e ulët).</w:t>
      </w:r>
      <w:r w:rsidRPr="00ED1089">
        <w:rPr>
          <w:rFonts w:eastAsia="Google Sans Text" w:cs="Times New Roman"/>
          <w:color w:val="575B5F"/>
          <w:szCs w:val="24"/>
          <w:vertAlign w:val="superscript"/>
        </w:rPr>
        <w:t>47</w:t>
      </w:r>
      <w:r w:rsidR="00857D47" w:rsidRPr="00857D47">
        <w:t xml:space="preserve"> K</w:t>
      </w:r>
      <w:r w:rsidRPr="00857D47">
        <w:t>jo performancë e përmirësuar shpesh i atribuohet aftësisë së IA-së për të identifikuar modele delikate dhe për të mbetur konsistente në vlerësimin e rrezikut, veçanërisht kur merret me aplikime komplekse ose kufitare ku siguruesit njerëzorë mund të kenë vështirësi ose të shfaqin paragjykime.</w:t>
      </w:r>
      <w:r w:rsidRPr="00857D47">
        <w:rPr>
          <w:rFonts w:eastAsia="Google Sans Text" w:cs="Times New Roman"/>
          <w:color w:val="575B5F"/>
          <w:szCs w:val="24"/>
          <w:vertAlign w:val="superscript"/>
        </w:rPr>
        <w:t>44</w:t>
      </w:r>
      <w:r w:rsidR="00857D47" w:rsidRPr="00857D47">
        <w:t xml:space="preserve"> P</w:t>
      </w:r>
      <w:r w:rsidRPr="00857D47">
        <w:t>ërfitimet që lidhen me nënshkrimin e kredisë me anë të inteligjencës artificiale përfshijnë shpejtësi dhe efikasitet të shtuar në përpunimin e kredisë, ulje të mundshme të kostos për huadhënësit, saktësi të përmirësuar në parashikimin e rrezikut dhe mundësinë e zgjerimit të përfshirjes financiare duke vlerësuar aplikantët bazuar në një gamë më të gjerë të të dhënave.</w:t>
      </w:r>
      <w:r w:rsidRPr="00857D47">
        <w:rPr>
          <w:rFonts w:eastAsia="Google Sans Text" w:cs="Times New Roman"/>
          <w:color w:val="575B5F"/>
          <w:szCs w:val="24"/>
          <w:vertAlign w:val="superscript"/>
        </w:rPr>
        <w:t>42</w:t>
      </w:r>
      <w:r w:rsidRPr="00857D47">
        <w:t>.</w:t>
      </w:r>
    </w:p>
    <w:p w:rsidR="00D3477D" w:rsidRPr="00857D47" w:rsidRDefault="00D3477D" w:rsidP="001E4A2F">
      <w:pPr>
        <w:pBdr>
          <w:top w:val="nil"/>
          <w:left w:val="nil"/>
          <w:bottom w:val="nil"/>
          <w:right w:val="nil"/>
          <w:between w:val="nil"/>
        </w:pBdr>
        <w:spacing w:after="120"/>
      </w:pPr>
      <w:r w:rsidRPr="00857D47">
        <w:t>Megjithatë, integrimi i IA-së në sigurimin e kredive nuk është pa sfida. Ekzistojnë shqetësime në lidhje me potencialin që algoritmet të përjetësojnë ose edhe të amplifikojnë paragjykimet ekzistuese nëse të dhënat e trajnimit janë të shtrembëruara ose dizajni i modelit është i gabuar.</w:t>
      </w:r>
      <w:r w:rsidRPr="00857D47">
        <w:rPr>
          <w:rFonts w:eastAsia="Google Sans Text" w:cs="Times New Roman"/>
          <w:color w:val="575B5F"/>
          <w:szCs w:val="24"/>
          <w:vertAlign w:val="superscript"/>
        </w:rPr>
        <w:t>45</w:t>
      </w:r>
      <w:r w:rsidR="00857D47" w:rsidRPr="00857D47">
        <w:t xml:space="preserve"> S</w:t>
      </w:r>
      <w:r w:rsidRPr="00857D47">
        <w:t>igurimi i transparencës dhe shpjegueshmërisë së vendimeve të nxitura nga inteligjenca artificiale (problemi i "kutisë së zezë") është thelbësor për pajtueshmërinë rregullatore dhe besimin e konsumatorit.</w:t>
      </w:r>
      <w:r w:rsidRPr="00857D47">
        <w:rPr>
          <w:rFonts w:eastAsia="Google Sans Text" w:cs="Times New Roman"/>
          <w:color w:val="575B5F"/>
          <w:szCs w:val="24"/>
          <w:vertAlign w:val="superscript"/>
        </w:rPr>
        <w:t>45</w:t>
      </w:r>
      <w:r w:rsidR="00857D47" w:rsidRPr="00857D47">
        <w:t xml:space="preserve"> </w:t>
      </w:r>
      <w:r w:rsidRPr="00857D47">
        <w:t>Privatësia dhe siguria e të dhënave janë gjithashtu të një rëndësie të madhe, duke pasur parasysh natyrën e ndjeshme të informacionit që përpunohet.</w:t>
      </w:r>
      <w:r w:rsidRPr="00857D47">
        <w:rPr>
          <w:rFonts w:eastAsia="Google Sans Text" w:cs="Times New Roman"/>
          <w:color w:val="575B5F"/>
          <w:szCs w:val="24"/>
          <w:vertAlign w:val="superscript"/>
        </w:rPr>
        <w:t>46</w:t>
      </w:r>
      <w:r w:rsidR="00857D47" w:rsidRPr="00857D47">
        <w:t xml:space="preserve"> P</w:t>
      </w:r>
      <w:r w:rsidRPr="00857D47">
        <w:t>ër më tepër, peizazhi rregullator shpesh mbetet prapa ritmit të përparimit teknologjik, duke krijuar pasiguri për huadhënësit.</w:t>
      </w:r>
      <w:r w:rsidRPr="00857D47">
        <w:rPr>
          <w:rFonts w:eastAsia="Google Sans Text" w:cs="Times New Roman"/>
          <w:color w:val="575B5F"/>
          <w:szCs w:val="24"/>
          <w:vertAlign w:val="superscript"/>
        </w:rPr>
        <w:t>42</w:t>
      </w:r>
      <w:r w:rsidR="00857D47" w:rsidRPr="00857D47">
        <w:t xml:space="preserve"> G</w:t>
      </w:r>
      <w:r w:rsidRPr="00857D47">
        <w:t>jithashtu, ka debate nëse sistemet plotësisht të automatizuara mund të humbasin gjykimin dhe diskrecionin e vlefshëm njerëzor të nevojshëm për raste veçanërisht të nuancuara ose të jashtëzakonshme.</w:t>
      </w:r>
      <w:r w:rsidRPr="00857D47">
        <w:rPr>
          <w:rFonts w:eastAsia="Google Sans Text" w:cs="Times New Roman"/>
          <w:color w:val="575B5F"/>
          <w:szCs w:val="24"/>
          <w:vertAlign w:val="superscript"/>
        </w:rPr>
        <w:t>47</w:t>
      </w:r>
      <w:r w:rsidR="00857D47" w:rsidRPr="00857D47">
        <w:t xml:space="preserve"> K</w:t>
      </w:r>
      <w:r w:rsidRPr="00857D47">
        <w:t>y evolucion i vazhdueshëm nënkupton një ndryshim të madh në praktikat e huadhënies. Industria po punon në mënyrë aktive për të balancuar efikasitetin e demonstrueshëm dhe përfitimet e mundshme të saktësisë të ofruara nga IA kundrejt imperativave kritike të drejtësisë, transparencës, konsideratave etike dhe nevojës për korniza të forta qeverisjeje dhe rregullatore për të menaxhuar rreziqet e lidhura me to.</w:t>
      </w:r>
      <w:r w:rsidRPr="00857D47">
        <w:rPr>
          <w:rFonts w:eastAsia="Google Sans Text" w:cs="Times New Roman"/>
          <w:color w:val="575B5F"/>
          <w:szCs w:val="24"/>
          <w:vertAlign w:val="superscript"/>
        </w:rPr>
        <w:t>42</w:t>
      </w:r>
      <w:r w:rsidRPr="00857D47">
        <w:t>.</w:t>
      </w:r>
    </w:p>
    <w:p w:rsidR="00D3477D" w:rsidRPr="00857D47" w:rsidRDefault="00D3477D" w:rsidP="001E4A2F">
      <w:pPr>
        <w:widowControl w:val="0"/>
        <w:numPr>
          <w:ilvl w:val="0"/>
          <w:numId w:val="21"/>
        </w:numPr>
        <w:pBdr>
          <w:top w:val="nil"/>
          <w:left w:val="nil"/>
          <w:bottom w:val="nil"/>
          <w:right w:val="nil"/>
          <w:between w:val="nil"/>
        </w:pBdr>
        <w:spacing w:after="120"/>
        <w:jc w:val="left"/>
        <w:rPr>
          <w:b/>
          <w:bCs/>
        </w:rPr>
      </w:pPr>
      <w:r w:rsidRPr="00857D47">
        <w:rPr>
          <w:b/>
          <w:bCs/>
        </w:rPr>
        <w:t>1.3.3 Miratimi / Refuzimi</w:t>
      </w:r>
    </w:p>
    <w:p w:rsidR="00D3477D" w:rsidRPr="00857D47" w:rsidRDefault="00D3477D" w:rsidP="001E4A2F">
      <w:pPr>
        <w:pBdr>
          <w:top w:val="nil"/>
          <w:left w:val="nil"/>
          <w:bottom w:val="nil"/>
          <w:right w:val="nil"/>
          <w:between w:val="nil"/>
        </w:pBdr>
        <w:spacing w:before="240"/>
      </w:pPr>
      <w:r w:rsidRPr="00857D47">
        <w:lastRenderedPageBreak/>
        <w:t>Pas vlerësimit të nënshkrimit, huadhënësi merr një vendim: miraton kredinë, refuzon kredinë ose e miraton atë me kushte.</w:t>
      </w:r>
      <w:r w:rsidRPr="00857D47">
        <w:rPr>
          <w:rFonts w:eastAsia="Google Sans Text" w:cs="Times New Roman"/>
          <w:color w:val="575B5F"/>
          <w:szCs w:val="24"/>
          <w:vertAlign w:val="superscript"/>
        </w:rPr>
        <w:t>1</w:t>
      </w:r>
      <w:r w:rsidRPr="00857D47">
        <w:t>.</w:t>
      </w:r>
    </w:p>
    <w:p w:rsidR="00D3477D" w:rsidRPr="00857D47" w:rsidRDefault="00D3477D" w:rsidP="001E4A2F">
      <w:pPr>
        <w:pBdr>
          <w:top w:val="nil"/>
          <w:left w:val="nil"/>
          <w:bottom w:val="nil"/>
          <w:right w:val="nil"/>
          <w:between w:val="nil"/>
        </w:pBdr>
      </w:pPr>
      <w:r w:rsidRPr="00857D47">
        <w:t>Nëse kërkesa refuzohet, huadhënësi zakonisht kërkohet t'i japë aplikantit një arsye për refuzimin, shpesh të lidhur me faktorë si historia e kreditit, të ardhurat e pamjaftueshme ose raporti i lartë i DTI-së.</w:t>
      </w:r>
      <w:r w:rsidRPr="00857D47">
        <w:rPr>
          <w:rFonts w:eastAsia="Google Sans Text" w:cs="Times New Roman"/>
          <w:color w:val="575B5F"/>
          <w:szCs w:val="24"/>
          <w:vertAlign w:val="superscript"/>
        </w:rPr>
        <w:t>1</w:t>
      </w:r>
      <w:r w:rsidRPr="00857D47">
        <w:t>.</w:t>
      </w:r>
    </w:p>
    <w:p w:rsidR="00D3477D" w:rsidRPr="00857D47" w:rsidRDefault="00D3477D" w:rsidP="001E4A2F">
      <w:pPr>
        <w:pBdr>
          <w:top w:val="nil"/>
          <w:left w:val="nil"/>
          <w:bottom w:val="nil"/>
          <w:right w:val="nil"/>
          <w:between w:val="nil"/>
        </w:pBdr>
      </w:pPr>
      <w:r w:rsidRPr="00857D47">
        <w:t>Nëse aplikimi miratohet, huadhënësi i paraqet huamarrësit kushtet përfundimtare të kredisë. Kjo përfshin shumën e miratuar të kredisë, normën specifike vjetore të interesit (</w:t>
      </w:r>
      <w:r w:rsidR="00C56A5E">
        <w:t>NVP</w:t>
      </w:r>
      <w:r w:rsidRPr="00857D47">
        <w:t>), afatin e ripagimit, shumën e pagesës mujore dhe detajet e çdo tarife të zbatueshme.</w:t>
      </w:r>
      <w:r w:rsidRPr="00857D47">
        <w:rPr>
          <w:rFonts w:eastAsia="Google Sans Text" w:cs="Times New Roman"/>
          <w:color w:val="575B5F"/>
          <w:szCs w:val="24"/>
          <w:vertAlign w:val="superscript"/>
        </w:rPr>
        <w:t>1</w:t>
      </w:r>
      <w:r w:rsidR="00857D47" w:rsidRPr="00857D47">
        <w:t xml:space="preserve"> K</w:t>
      </w:r>
      <w:r w:rsidRPr="00857D47">
        <w:t>ëto kushte formalizohen në një marrëveshje ose kontratë kredie që të dyja palët duhet ta nënshkruajnë.</w:t>
      </w:r>
      <w:r w:rsidRPr="00857D47">
        <w:rPr>
          <w:rFonts w:eastAsia="Google Sans Text" w:cs="Times New Roman"/>
          <w:color w:val="575B5F"/>
          <w:szCs w:val="24"/>
          <w:vertAlign w:val="superscript"/>
        </w:rPr>
        <w:t>1</w:t>
      </w:r>
      <w:r w:rsidR="00857D47" w:rsidRPr="00857D47">
        <w:t xml:space="preserve"> Ë</w:t>
      </w:r>
      <w:r w:rsidRPr="00857D47">
        <w:t>shtë e zakonshme që huadhënësit të ngarkojnë një tarifë origjinimi për përpunimin dhe finalizimin e kredisë. Kjo tarifë, e llogaritur shpesh si përqindje e shumës së kredisë (p.sh., 0.5% deri në 1% ose ndonjëherë më e lartë), mund të zbritet nga të ardhurat e kredisë para disbursimit ose të paguhet veçmas nga huamarrësi.</w:t>
      </w:r>
      <w:r w:rsidRPr="00857D47">
        <w:rPr>
          <w:rFonts w:eastAsia="Google Sans Text" w:cs="Times New Roman"/>
          <w:color w:val="575B5F"/>
          <w:szCs w:val="24"/>
          <w:vertAlign w:val="superscript"/>
        </w:rPr>
        <w:t>1</w:t>
      </w:r>
      <w:r w:rsidRPr="00857D47">
        <w:t>.</w:t>
      </w:r>
    </w:p>
    <w:p w:rsidR="00D3477D" w:rsidRPr="00857D47" w:rsidRDefault="00D3477D" w:rsidP="001E4A2F">
      <w:pPr>
        <w:pBdr>
          <w:top w:val="nil"/>
          <w:left w:val="nil"/>
          <w:bottom w:val="nil"/>
          <w:right w:val="nil"/>
          <w:between w:val="nil"/>
        </w:pBdr>
        <w:spacing w:after="120"/>
      </w:pPr>
      <w:r w:rsidRPr="00857D47">
        <w:t>Ndonjëherë, një miratim është i kushtëzuar</w:t>
      </w:r>
      <w:r w:rsidRPr="00857D47">
        <w:rPr>
          <w:rFonts w:eastAsia="Google Sans Text" w:cs="Times New Roman"/>
          <w:color w:val="575B5F"/>
          <w:szCs w:val="24"/>
          <w:vertAlign w:val="superscript"/>
        </w:rPr>
        <w:t>41</w:t>
      </w:r>
      <w:r w:rsidR="00857D47" w:rsidRPr="00857D47">
        <w:t xml:space="preserve"> K</w:t>
      </w:r>
      <w:r w:rsidRPr="00857D47">
        <w:t>jo do të thotë që huadhënësi kërkon informacion, dokumentacion ose sqarime shtesë nga huamarrësi përpara se kredia të finalizohet dhe financohet.</w:t>
      </w:r>
    </w:p>
    <w:p w:rsidR="00D3477D" w:rsidRPr="00857D47" w:rsidRDefault="00D3477D" w:rsidP="001E4A2F">
      <w:pPr>
        <w:widowControl w:val="0"/>
        <w:numPr>
          <w:ilvl w:val="0"/>
          <w:numId w:val="22"/>
        </w:numPr>
        <w:pBdr>
          <w:top w:val="nil"/>
          <w:left w:val="nil"/>
          <w:bottom w:val="nil"/>
          <w:right w:val="nil"/>
          <w:between w:val="nil"/>
        </w:pBdr>
        <w:spacing w:after="120"/>
        <w:jc w:val="left"/>
        <w:rPr>
          <w:b/>
          <w:bCs/>
        </w:rPr>
      </w:pPr>
      <w:r w:rsidRPr="00857D47">
        <w:rPr>
          <w:b/>
          <w:bCs/>
        </w:rPr>
        <w:t>1.3.4 Shpërndarja</w:t>
      </w:r>
    </w:p>
    <w:p w:rsidR="00D3477D" w:rsidRPr="00857D47" w:rsidRDefault="00D3477D" w:rsidP="001E4A2F">
      <w:pPr>
        <w:pBdr>
          <w:top w:val="nil"/>
          <w:left w:val="nil"/>
          <w:bottom w:val="nil"/>
          <w:right w:val="nil"/>
          <w:between w:val="nil"/>
        </w:pBdr>
        <w:spacing w:before="240" w:after="120"/>
      </w:pPr>
      <w:r w:rsidRPr="00857D47">
        <w:t>Pasi marrëveshja e kredisë të jetë nënshkruar siç duhet nga të dyja palët dhe të jenë përmbushur të gjitha kushtet e mbetura, huadhënësi vazhdon me shpërndarjen e fondeve të kredisë.</w:t>
      </w:r>
      <w:r w:rsidRPr="00857D47">
        <w:rPr>
          <w:rFonts w:eastAsia="Google Sans Text" w:cs="Times New Roman"/>
          <w:color w:val="575B5F"/>
          <w:szCs w:val="24"/>
          <w:vertAlign w:val="superscript"/>
        </w:rPr>
        <w:t>1</w:t>
      </w:r>
      <w:r w:rsidR="00857D47" w:rsidRPr="00857D47">
        <w:t xml:space="preserve"> M</w:t>
      </w:r>
      <w:r w:rsidRPr="00857D47">
        <w:t>etoda dhe koha e shpërndarjes varen nga lloji i kredisë dhe huadhënësi. Për kreditë afatgjata si personale, për automjete ose hipoteka, fondet zakonisht shpërndahen si një shumë e vetme.</w:t>
      </w:r>
      <w:r w:rsidRPr="00857D47">
        <w:rPr>
          <w:rFonts w:eastAsia="Google Sans Text" w:cs="Times New Roman"/>
          <w:color w:val="575B5F"/>
          <w:szCs w:val="24"/>
          <w:vertAlign w:val="superscript"/>
        </w:rPr>
        <w:t>1</w:t>
      </w:r>
      <w:r w:rsidR="00857D47" w:rsidRPr="00857D47">
        <w:t xml:space="preserve"> K</w:t>
      </w:r>
      <w:r w:rsidRPr="00857D47">
        <w:t>jo shumë mund t'i paguhet drejtpërdrejt huamarrësit (p.sh., të depozitohet në llogarinë e tyre bankare), ose, në disa raste, t'i paguhet drejtpërdrejt një pale të tretë në emër të huamarrësit (p.sh., një shitësi makinash për një kredi për makina, kreditorëve konsolidues për një kredi konsolidimi borxhi ose agjentit përmbyllës të shitësit për një hipotekë).</w:t>
      </w:r>
      <w:r w:rsidRPr="00857D47">
        <w:rPr>
          <w:rFonts w:eastAsia="Google Sans Text" w:cs="Times New Roman"/>
          <w:color w:val="575B5F"/>
          <w:szCs w:val="24"/>
          <w:vertAlign w:val="superscript"/>
        </w:rPr>
        <w:t>11</w:t>
      </w:r>
      <w:r w:rsidR="00857D47" w:rsidRPr="00857D47">
        <w:t xml:space="preserve"> P</w:t>
      </w:r>
      <w:r w:rsidRPr="00857D47">
        <w:t>ër linjat e kredisë, limiti i miratuar i kredisë bëhet i disponueshëm për huamarrësin për ta tërhequr sipas nevojës, në vend që të disbursohet i gjithi menjëherë.</w:t>
      </w:r>
      <w:r w:rsidRPr="00857D47">
        <w:rPr>
          <w:rFonts w:eastAsia="Google Sans Text" w:cs="Times New Roman"/>
          <w:color w:val="575B5F"/>
          <w:szCs w:val="24"/>
          <w:vertAlign w:val="superscript"/>
        </w:rPr>
        <w:t>1</w:t>
      </w:r>
      <w:r w:rsidRPr="00857D47">
        <w:t>.</w:t>
      </w:r>
    </w:p>
    <w:p w:rsidR="00D3477D" w:rsidRPr="00857D47" w:rsidRDefault="00D3477D" w:rsidP="001E4A2F">
      <w:pPr>
        <w:widowControl w:val="0"/>
        <w:numPr>
          <w:ilvl w:val="0"/>
          <w:numId w:val="23"/>
        </w:numPr>
        <w:pBdr>
          <w:top w:val="nil"/>
          <w:left w:val="nil"/>
          <w:bottom w:val="nil"/>
          <w:right w:val="nil"/>
          <w:between w:val="nil"/>
        </w:pBdr>
        <w:spacing w:after="120"/>
        <w:jc w:val="left"/>
        <w:rPr>
          <w:b/>
          <w:bCs/>
        </w:rPr>
      </w:pPr>
      <w:r w:rsidRPr="00857D47">
        <w:rPr>
          <w:b/>
          <w:bCs/>
        </w:rPr>
        <w:t>1.3.5 Shlyerja dhe</w:t>
      </w:r>
      <w:r>
        <w:rPr>
          <w:rFonts w:ascii="Google Sans Text" w:eastAsia="Google Sans Text" w:hAnsi="Google Sans Text"/>
          <w:b/>
          <w:szCs w:val="24"/>
        </w:rPr>
        <w:t xml:space="preserve"> </w:t>
      </w:r>
      <w:r w:rsidRPr="00857D47">
        <w:rPr>
          <w:b/>
          <w:bCs/>
        </w:rPr>
        <w:t>Amortizimi</w:t>
      </w:r>
    </w:p>
    <w:p w:rsidR="00D3477D" w:rsidRPr="00857D47" w:rsidRDefault="00D3477D" w:rsidP="001E4A2F">
      <w:pPr>
        <w:pBdr>
          <w:top w:val="nil"/>
          <w:left w:val="nil"/>
          <w:bottom w:val="nil"/>
          <w:right w:val="nil"/>
          <w:between w:val="nil"/>
        </w:pBdr>
        <w:spacing w:before="240"/>
      </w:pPr>
      <w:r w:rsidRPr="00857D47">
        <w:lastRenderedPageBreak/>
        <w:t>Faza e shlyerjes fillon pasi fondet e kredisë të jenë disbursuar. Huamarrësi është i detyruar të bëjë pagesa të rregullta ndaj huadhënësit gjatë afatit të kredisë të rënë dakord.</w:t>
      </w:r>
      <w:r w:rsidRPr="00857D47">
        <w:rPr>
          <w:rFonts w:eastAsia="Google Sans Text" w:cs="Times New Roman"/>
          <w:color w:val="575B5F"/>
          <w:szCs w:val="24"/>
          <w:vertAlign w:val="superscript"/>
        </w:rPr>
        <w:t>1</w:t>
      </w:r>
      <w:r w:rsidR="00857D47" w:rsidRPr="00857D47">
        <w:t xml:space="preserve"> K</w:t>
      </w:r>
      <w:r w:rsidRPr="00857D47">
        <w:t>ëto pagesa zakonisht bëhen në baza mujore dhe janë të strukturuara për të mbuluar si interesin e grumbulluar ashtu edhe një pjesë të bilancit kryesor.</w:t>
      </w:r>
      <w:r w:rsidRPr="00857D47">
        <w:rPr>
          <w:rFonts w:eastAsia="Google Sans Text" w:cs="Times New Roman"/>
          <w:color w:val="575B5F"/>
          <w:szCs w:val="24"/>
          <w:vertAlign w:val="superscript"/>
        </w:rPr>
        <w:t>11</w:t>
      </w:r>
      <w:r w:rsidRPr="00857D47">
        <w:t>.</w:t>
      </w:r>
    </w:p>
    <w:p w:rsidR="0014475F" w:rsidRPr="0014475F" w:rsidRDefault="0014475F" w:rsidP="0014475F">
      <w:pPr>
        <w:pBdr>
          <w:top w:val="nil"/>
          <w:left w:val="nil"/>
          <w:bottom w:val="nil"/>
          <w:right w:val="nil"/>
          <w:between w:val="nil"/>
        </w:pBdr>
        <w:rPr>
          <w:lang w:val="en-US"/>
        </w:rPr>
      </w:pPr>
      <w:proofErr w:type="spellStart"/>
      <w:r w:rsidRPr="0014475F">
        <w:rPr>
          <w:lang w:val="en-US"/>
        </w:rPr>
        <w:t>Amortizimi</w:t>
      </w:r>
      <w:proofErr w:type="spellEnd"/>
      <w:r w:rsidRPr="0014475F">
        <w:rPr>
          <w:lang w:val="en-US"/>
        </w:rPr>
        <w:t xml:space="preserve"> </w:t>
      </w:r>
      <w:proofErr w:type="spellStart"/>
      <w:r w:rsidRPr="0014475F">
        <w:rPr>
          <w:lang w:val="en-US"/>
        </w:rPr>
        <w:t>është</w:t>
      </w:r>
      <w:proofErr w:type="spellEnd"/>
      <w:r w:rsidRPr="0014475F">
        <w:rPr>
          <w:lang w:val="en-US"/>
        </w:rPr>
        <w:t xml:space="preserve"> </w:t>
      </w:r>
      <w:proofErr w:type="spellStart"/>
      <w:r w:rsidRPr="0014475F">
        <w:rPr>
          <w:lang w:val="en-US"/>
        </w:rPr>
        <w:t>procesi</w:t>
      </w:r>
      <w:proofErr w:type="spellEnd"/>
      <w:r w:rsidRPr="0014475F">
        <w:rPr>
          <w:lang w:val="en-US"/>
        </w:rPr>
        <w:t xml:space="preserve"> </w:t>
      </w:r>
      <w:proofErr w:type="spellStart"/>
      <w:r w:rsidRPr="0014475F">
        <w:rPr>
          <w:lang w:val="en-US"/>
        </w:rPr>
        <w:t>i</w:t>
      </w:r>
      <w:proofErr w:type="spellEnd"/>
      <w:r w:rsidRPr="0014475F">
        <w:rPr>
          <w:lang w:val="en-US"/>
        </w:rPr>
        <w:t xml:space="preserve"> </w:t>
      </w:r>
      <w:proofErr w:type="spellStart"/>
      <w:r w:rsidRPr="0014475F">
        <w:rPr>
          <w:lang w:val="en-US"/>
        </w:rPr>
        <w:t>shlyerjes</w:t>
      </w:r>
      <w:proofErr w:type="spellEnd"/>
      <w:r w:rsidRPr="0014475F">
        <w:rPr>
          <w:lang w:val="en-US"/>
        </w:rPr>
        <w:t xml:space="preserve"> </w:t>
      </w:r>
      <w:proofErr w:type="spellStart"/>
      <w:r w:rsidRPr="0014475F">
        <w:rPr>
          <w:lang w:val="en-US"/>
        </w:rPr>
        <w:t>së</w:t>
      </w:r>
      <w:proofErr w:type="spellEnd"/>
      <w:r w:rsidRPr="0014475F">
        <w:rPr>
          <w:lang w:val="en-US"/>
        </w:rPr>
        <w:t xml:space="preserve"> </w:t>
      </w:r>
      <w:proofErr w:type="spellStart"/>
      <w:r w:rsidRPr="0014475F">
        <w:rPr>
          <w:lang w:val="en-US"/>
        </w:rPr>
        <w:t>një</w:t>
      </w:r>
      <w:proofErr w:type="spellEnd"/>
      <w:r w:rsidRPr="0014475F">
        <w:rPr>
          <w:lang w:val="en-US"/>
        </w:rPr>
        <w:t xml:space="preserve"> </w:t>
      </w:r>
      <w:proofErr w:type="spellStart"/>
      <w:r w:rsidRPr="0014475F">
        <w:rPr>
          <w:lang w:val="en-US"/>
        </w:rPr>
        <w:t>kredie</w:t>
      </w:r>
      <w:proofErr w:type="spellEnd"/>
      <w:r w:rsidRPr="0014475F">
        <w:rPr>
          <w:lang w:val="en-US"/>
        </w:rPr>
        <w:t xml:space="preserve"> </w:t>
      </w:r>
      <w:proofErr w:type="spellStart"/>
      <w:r w:rsidRPr="0014475F">
        <w:rPr>
          <w:lang w:val="en-US"/>
        </w:rPr>
        <w:t>përmes</w:t>
      </w:r>
      <w:proofErr w:type="spellEnd"/>
      <w:r w:rsidRPr="0014475F">
        <w:rPr>
          <w:lang w:val="en-US"/>
        </w:rPr>
        <w:t xml:space="preserve"> </w:t>
      </w:r>
      <w:proofErr w:type="spellStart"/>
      <w:r w:rsidRPr="0014475F">
        <w:rPr>
          <w:lang w:val="en-US"/>
        </w:rPr>
        <w:t>pagesave</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rregullta</w:t>
      </w:r>
      <w:proofErr w:type="spellEnd"/>
      <w:r w:rsidRPr="0014475F">
        <w:rPr>
          <w:lang w:val="en-US"/>
        </w:rPr>
        <w:t xml:space="preserve"> </w:t>
      </w:r>
      <w:proofErr w:type="spellStart"/>
      <w:r w:rsidRPr="0014475F">
        <w:rPr>
          <w:lang w:val="en-US"/>
        </w:rPr>
        <w:t>që</w:t>
      </w:r>
      <w:proofErr w:type="spellEnd"/>
      <w:r w:rsidRPr="0014475F">
        <w:rPr>
          <w:lang w:val="en-US"/>
        </w:rPr>
        <w:t xml:space="preserve"> </w:t>
      </w:r>
      <w:proofErr w:type="spellStart"/>
      <w:r w:rsidRPr="0014475F">
        <w:rPr>
          <w:lang w:val="en-US"/>
        </w:rPr>
        <w:t>mbulojnë</w:t>
      </w:r>
      <w:proofErr w:type="spellEnd"/>
      <w:r w:rsidRPr="0014475F">
        <w:rPr>
          <w:lang w:val="en-US"/>
        </w:rPr>
        <w:t xml:space="preserve"> </w:t>
      </w:r>
      <w:proofErr w:type="spellStart"/>
      <w:r w:rsidRPr="0014475F">
        <w:rPr>
          <w:lang w:val="en-US"/>
        </w:rPr>
        <w:t>interesin</w:t>
      </w:r>
      <w:proofErr w:type="spellEnd"/>
      <w:r w:rsidRPr="0014475F">
        <w:rPr>
          <w:lang w:val="en-US"/>
        </w:rPr>
        <w:t xml:space="preserve"> </w:t>
      </w:r>
      <w:proofErr w:type="spellStart"/>
      <w:r w:rsidRPr="0014475F">
        <w:rPr>
          <w:lang w:val="en-US"/>
        </w:rPr>
        <w:t>dhe</w:t>
      </w:r>
      <w:proofErr w:type="spellEnd"/>
      <w:r w:rsidRPr="0014475F">
        <w:rPr>
          <w:lang w:val="en-US"/>
        </w:rPr>
        <w:t xml:space="preserve"> </w:t>
      </w:r>
      <w:proofErr w:type="spellStart"/>
      <w:r w:rsidRPr="0014475F">
        <w:rPr>
          <w:lang w:val="en-US"/>
        </w:rPr>
        <w:t>një</w:t>
      </w:r>
      <w:proofErr w:type="spellEnd"/>
      <w:r w:rsidRPr="0014475F">
        <w:rPr>
          <w:lang w:val="en-US"/>
        </w:rPr>
        <w:t xml:space="preserve"> </w:t>
      </w:r>
      <w:proofErr w:type="spellStart"/>
      <w:r w:rsidRPr="0014475F">
        <w:rPr>
          <w:lang w:val="en-US"/>
        </w:rPr>
        <w:t>pjesë</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shumës</w:t>
      </w:r>
      <w:proofErr w:type="spellEnd"/>
      <w:r w:rsidRPr="0014475F">
        <w:rPr>
          <w:lang w:val="en-US"/>
        </w:rPr>
        <w:t xml:space="preserve"> </w:t>
      </w:r>
      <w:proofErr w:type="spellStart"/>
      <w:r w:rsidRPr="0014475F">
        <w:rPr>
          <w:lang w:val="en-US"/>
        </w:rPr>
        <w:t>së</w:t>
      </w:r>
      <w:proofErr w:type="spellEnd"/>
      <w:r w:rsidRPr="0014475F">
        <w:rPr>
          <w:lang w:val="en-US"/>
        </w:rPr>
        <w:t xml:space="preserve"> </w:t>
      </w:r>
      <w:proofErr w:type="spellStart"/>
      <w:r w:rsidRPr="0014475F">
        <w:rPr>
          <w:lang w:val="en-US"/>
        </w:rPr>
        <w:t>huazuar</w:t>
      </w:r>
      <w:proofErr w:type="spellEnd"/>
      <w:r>
        <w:rPr>
          <w:lang w:val="en-US"/>
        </w:rPr>
        <w:t>.</w:t>
      </w:r>
    </w:p>
    <w:p w:rsidR="00D3477D" w:rsidRPr="00857D47" w:rsidRDefault="00D3477D" w:rsidP="001E4A2F">
      <w:pPr>
        <w:pBdr>
          <w:top w:val="nil"/>
          <w:left w:val="nil"/>
          <w:bottom w:val="nil"/>
          <w:right w:val="nil"/>
          <w:between w:val="nil"/>
        </w:pBdr>
      </w:pPr>
      <w:r w:rsidRPr="00857D47">
        <w:t>Për shumicën e kredive me këste (duke përfshirë hipotekat, kreditë për makina dhe kreditë personale standarde), pagesat llogariten bazuar në një skemë amortizimi.</w:t>
      </w:r>
      <w:r w:rsidRPr="00857D47">
        <w:rPr>
          <w:rFonts w:eastAsia="Google Sans Text" w:cs="Times New Roman"/>
          <w:color w:val="575B5F"/>
          <w:szCs w:val="24"/>
          <w:vertAlign w:val="superscript"/>
        </w:rPr>
        <w:t>2</w:t>
      </w:r>
      <w:r w:rsidR="00857D47" w:rsidRPr="00857D47">
        <w:t xml:space="preserve"> A</w:t>
      </w:r>
      <w:r w:rsidRPr="00857D47">
        <w:t>mortizimi është procesi i shlyerjes graduale të një borxhi me kalimin e kohës nëpërmjet kësteve të rregullta. Një karakteristikë kryesore e skemave të amortizimit për kreditë me normë fikse është se, ndërsa pagesa totale mujore mbetet konstante, shpërndarja midis principalit dhe interesit ndryshon gjatë jetëgjatësisë së kredisë. Në fazat e hershme, një pjesë më e madhe e pagesës shkon për të mbuluar interesin e grumbulluar, dhe një pjesë më e vogël zvogëlon bilancin e principalit. Ndërsa kredia maturohet dhe principalit i papaguar ulet, pjesa e interesit të secilës pagesë zvogëlohet, duke lejuar që një pjesë progresivisht më e madhe e pagesës fikse të aplikohet ndaj principalit.</w:t>
      </w:r>
      <w:r w:rsidRPr="00857D47">
        <w:rPr>
          <w:rFonts w:eastAsia="Google Sans Text" w:cs="Times New Roman"/>
          <w:color w:val="575B5F"/>
          <w:szCs w:val="24"/>
          <w:vertAlign w:val="superscript"/>
        </w:rPr>
        <w:t>2</w:t>
      </w:r>
      <w:r w:rsidR="00857D47" w:rsidRPr="00857D47">
        <w:t xml:space="preserve"> K</w:t>
      </w:r>
      <w:r w:rsidRPr="00857D47">
        <w:t>jo strukturë siguron që bilanci i kredisë të zvogëlohet në mënyrë sistematike dhe në fund të fundit të paguhet plotësisht deri në fund të afatit të kredisë, me kusht që të gjitha pagesat të bëhen sipas planit.</w:t>
      </w:r>
    </w:p>
    <w:p w:rsidR="00D3477D" w:rsidRPr="00857D47" w:rsidRDefault="00D3477D" w:rsidP="001E4A2F">
      <w:pPr>
        <w:pBdr>
          <w:top w:val="nil"/>
          <w:left w:val="nil"/>
          <w:bottom w:val="nil"/>
          <w:right w:val="nil"/>
          <w:between w:val="nil"/>
        </w:pBdr>
        <w:spacing w:after="120"/>
      </w:pPr>
      <w:r w:rsidRPr="00857D47">
        <w:t>Të kuptuarit e konceptit të amortizimit është i dobishëm për huamarrësit. Rishikimi i një skeme amortizimi u lejon huamarrësve të vizualizojnë se si shpërndahen pagesat e tyre me kalimin e kohës. Ai ilustron qartë shumën e konsiderueshme të interesit të paguar, veçanërisht në vitet e para të kredive afatgjata. Ky kuptim mund t'i motivojë huamarrësit të marrin në konsideratë kryerjen e pagesave shtesë direkt drejt principalit. Pagesa të tilla shtesë të principalit zakonisht nuk kërkohen, por mund të zvogëlojnë ndjeshëm shumën totale të interesit të paguar gjatë jetëgjatësisë së kredisë dhe të shkurtojnë periudhën e ripagimit, duke çuar në kursime të konsiderueshme afatgjata.</w:t>
      </w:r>
      <w:r w:rsidRPr="00857D47">
        <w:rPr>
          <w:rFonts w:eastAsia="Google Sans Text" w:cs="Times New Roman"/>
          <w:color w:val="575B5F"/>
          <w:szCs w:val="24"/>
          <w:vertAlign w:val="superscript"/>
        </w:rPr>
        <w:t>2</w:t>
      </w:r>
      <w:r w:rsidRPr="00857D47">
        <w:t>.</w:t>
      </w:r>
    </w:p>
    <w:p w:rsidR="00D3477D" w:rsidRPr="00857D47" w:rsidRDefault="00D3477D" w:rsidP="001E4A2F">
      <w:pPr>
        <w:widowControl w:val="0"/>
        <w:numPr>
          <w:ilvl w:val="0"/>
          <w:numId w:val="24"/>
        </w:numPr>
        <w:pBdr>
          <w:top w:val="nil"/>
          <w:left w:val="nil"/>
          <w:bottom w:val="nil"/>
          <w:right w:val="nil"/>
          <w:between w:val="nil"/>
        </w:pBdr>
        <w:spacing w:after="120"/>
        <w:jc w:val="left"/>
        <w:rPr>
          <w:b/>
          <w:bCs/>
        </w:rPr>
      </w:pPr>
      <w:r w:rsidRPr="00857D47">
        <w:rPr>
          <w:b/>
          <w:bCs/>
        </w:rPr>
        <w:t>1.3.6 Mospërmbushja e detyrimeve dhe</w:t>
      </w:r>
      <w:r>
        <w:rPr>
          <w:rFonts w:ascii="Google Sans Text" w:eastAsia="Google Sans Text" w:hAnsi="Google Sans Text"/>
          <w:b/>
          <w:szCs w:val="24"/>
        </w:rPr>
        <w:t xml:space="preserve"> </w:t>
      </w:r>
      <w:r w:rsidRPr="00857D47">
        <w:rPr>
          <w:b/>
          <w:bCs/>
        </w:rPr>
        <w:t>pasojat</w:t>
      </w:r>
    </w:p>
    <w:p w:rsidR="00D3477D" w:rsidRPr="00857D47" w:rsidRDefault="00D3477D" w:rsidP="001E4A2F">
      <w:pPr>
        <w:pBdr>
          <w:top w:val="nil"/>
          <w:left w:val="nil"/>
          <w:bottom w:val="nil"/>
          <w:right w:val="nil"/>
          <w:between w:val="nil"/>
        </w:pBdr>
        <w:spacing w:before="240"/>
      </w:pPr>
      <w:r w:rsidRPr="00857D47">
        <w:t>Mospagimi i kredisë ndodh kur një huamarrës nuk i përmbahet kushteve të marrëveshjes së kredisë, më së shpeshti duke mos bërë pagesat e kërkuara.</w:t>
      </w:r>
      <w:r w:rsidRPr="00857D47">
        <w:rPr>
          <w:rFonts w:eastAsia="Google Sans Text" w:cs="Times New Roman"/>
          <w:color w:val="575B5F"/>
          <w:szCs w:val="24"/>
          <w:vertAlign w:val="superscript"/>
        </w:rPr>
        <w:t>14</w:t>
      </w:r>
      <w:r w:rsidR="00857D47" w:rsidRPr="00857D47">
        <w:t xml:space="preserve"> M</w:t>
      </w:r>
      <w:r w:rsidRPr="00857D47">
        <w:t>ospagimi zakonisht par</w:t>
      </w:r>
      <w:r w:rsidR="0014475F">
        <w:t>pr</w:t>
      </w:r>
      <w:r w:rsidRPr="00857D47">
        <w:t>ihet nga një periudhë vonese, e cila fillon kur një pagesë nuk realizohet.</w:t>
      </w:r>
      <w:r w:rsidRPr="00857D47">
        <w:rPr>
          <w:rFonts w:eastAsia="Google Sans Text" w:cs="Times New Roman"/>
          <w:color w:val="575B5F"/>
          <w:szCs w:val="24"/>
          <w:vertAlign w:val="superscript"/>
        </w:rPr>
        <w:t>16</w:t>
      </w:r>
      <w:r w:rsidR="00857D47" w:rsidRPr="00857D47">
        <w:t xml:space="preserve"> N</w:t>
      </w:r>
      <w:r w:rsidRPr="00857D47">
        <w:t>jë pagesë zakonisht raportohet si e vonuar në zyrat e kreditit pasi të ketë kaluar 30 ditë vonesë.</w:t>
      </w:r>
      <w:r w:rsidRPr="00857D47">
        <w:rPr>
          <w:rFonts w:eastAsia="Google Sans Text" w:cs="Times New Roman"/>
          <w:color w:val="575B5F"/>
          <w:szCs w:val="24"/>
          <w:vertAlign w:val="superscript"/>
        </w:rPr>
        <w:t>16</w:t>
      </w:r>
      <w:r w:rsidR="00857D47" w:rsidRPr="00857D47">
        <w:t xml:space="preserve"> </w:t>
      </w:r>
      <w:r w:rsidR="00857D47" w:rsidRPr="00857D47">
        <w:lastRenderedPageBreak/>
        <w:t>P</w:t>
      </w:r>
      <w:r w:rsidRPr="00857D47">
        <w:t>ika në të cilën vonesa në pagesë kalon në mospagesë ndryshon sipas huadhënësit dhe llojit të kredisë, por shpesh ndodh pas 90 ditësh ose më shumë mospagese (p.sh., 90 ditë për kredi personale, 120 ditë për hipoteka, 270 ditë për kredi studentore federale).</w:t>
      </w:r>
      <w:r w:rsidRPr="00857D47">
        <w:rPr>
          <w:rFonts w:eastAsia="Google Sans Text" w:cs="Times New Roman"/>
          <w:color w:val="575B5F"/>
          <w:szCs w:val="24"/>
          <w:vertAlign w:val="superscript"/>
        </w:rPr>
        <w:t>14</w:t>
      </w:r>
      <w:r w:rsidRPr="00857D47">
        <w:t>.</w:t>
      </w:r>
    </w:p>
    <w:p w:rsidR="00D3477D" w:rsidRPr="00857D47" w:rsidRDefault="00D3477D" w:rsidP="001E4A2F">
      <w:pPr>
        <w:pBdr>
          <w:top w:val="nil"/>
          <w:left w:val="nil"/>
          <w:bottom w:val="nil"/>
          <w:right w:val="nil"/>
          <w:between w:val="nil"/>
        </w:pBdr>
        <w:spacing w:after="120"/>
      </w:pPr>
      <w:r w:rsidRPr="00857D47">
        <w:t>Mospagimi i një kredie shkakton një sërë pasojash negative të rënda dhe shpesh afatgjata për huamarrësin:</w:t>
      </w:r>
    </w:p>
    <w:p w:rsidR="00D3477D" w:rsidRPr="001E4A2F" w:rsidRDefault="00D3477D" w:rsidP="001E4A2F">
      <w:pPr>
        <w:widowControl w:val="0"/>
        <w:numPr>
          <w:ilvl w:val="0"/>
          <w:numId w:val="25"/>
        </w:numPr>
        <w:pBdr>
          <w:top w:val="nil"/>
          <w:left w:val="nil"/>
          <w:bottom w:val="nil"/>
          <w:right w:val="nil"/>
          <w:between w:val="nil"/>
        </w:pBdr>
        <w:spacing w:after="0"/>
        <w:jc w:val="left"/>
      </w:pPr>
      <w:r w:rsidRPr="001E4A2F">
        <w:rPr>
          <w:b/>
          <w:bCs/>
        </w:rPr>
        <w:t>Dëmtim i rëndë i rezultatit të kreditit:</w:t>
      </w:r>
      <w:r w:rsidR="00857D47" w:rsidRPr="001E4A2F">
        <w:t xml:space="preserve"> </w:t>
      </w:r>
      <w:r w:rsidRPr="001E4A2F">
        <w:t>Ky është ndikimi më i menjëhershëm dhe universal. Si vonesat në pagesa ashtu edhe statusi përfundimtar i mospagesës raportohen në zyrat kryesore të kreditit (Experian, Equifax, TransUnion) dhe mbeten në raportin e kreditit të huamarrësit për deri në shtatë vjet.</w:t>
      </w:r>
      <w:r w:rsidRPr="001E4A2F">
        <w:rPr>
          <w:rFonts w:eastAsia="Google Sans Text" w:cs="Times New Roman"/>
          <w:color w:val="575B5F"/>
          <w:szCs w:val="24"/>
          <w:vertAlign w:val="superscript"/>
        </w:rPr>
        <w:t>14</w:t>
      </w:r>
      <w:r w:rsidR="001E4A2F" w:rsidRPr="001E4A2F">
        <w:t xml:space="preserve"> K</w:t>
      </w:r>
      <w:r w:rsidRPr="001E4A2F">
        <w:t>y informacion negativ ul ndjeshëm pikët e kreditit të huamarrësit, duke e bërë të vështirë dhe më të kushtueshme marrjen e kredisë në të ardhmen.</w:t>
      </w:r>
    </w:p>
    <w:p w:rsidR="00D3477D" w:rsidRPr="001E4A2F" w:rsidRDefault="00D3477D" w:rsidP="001E4A2F">
      <w:pPr>
        <w:widowControl w:val="0"/>
        <w:numPr>
          <w:ilvl w:val="0"/>
          <w:numId w:val="25"/>
        </w:numPr>
        <w:pBdr>
          <w:top w:val="nil"/>
          <w:left w:val="nil"/>
          <w:bottom w:val="nil"/>
          <w:right w:val="nil"/>
          <w:between w:val="nil"/>
        </w:pBdr>
        <w:spacing w:after="0"/>
        <w:jc w:val="left"/>
      </w:pPr>
      <w:r w:rsidRPr="001E4A2F">
        <w:rPr>
          <w:b/>
          <w:bCs/>
        </w:rPr>
        <w:t>Përllogaritja e Tarifave dhe Interesit Penal:</w:t>
      </w:r>
      <w:r w:rsidR="001E4A2F" w:rsidRPr="001E4A2F">
        <w:t xml:space="preserve"> </w:t>
      </w:r>
      <w:r w:rsidRPr="001E4A2F">
        <w:t>Huadhënësit zakonisht vendosin tarifa vonese për pagesat e humbura. Në rast mospagese, ata mund të aplikojnë edhe norma interesi penalizues, duke rritur më tej shumën që i detyrohet.</w:t>
      </w:r>
      <w:r w:rsidRPr="001E4A2F">
        <w:rPr>
          <w:rFonts w:eastAsia="Google Sans Text" w:cs="Times New Roman"/>
          <w:color w:val="575B5F"/>
          <w:szCs w:val="24"/>
          <w:vertAlign w:val="superscript"/>
        </w:rPr>
        <w:t>1</w:t>
      </w:r>
      <w:r w:rsidRPr="001E4A2F">
        <w:t>.</w:t>
      </w:r>
    </w:p>
    <w:p w:rsidR="00D3477D" w:rsidRPr="001E4A2F" w:rsidRDefault="00D3477D" w:rsidP="001E4A2F">
      <w:pPr>
        <w:widowControl w:val="0"/>
        <w:numPr>
          <w:ilvl w:val="0"/>
          <w:numId w:val="25"/>
        </w:numPr>
        <w:pBdr>
          <w:top w:val="nil"/>
          <w:left w:val="nil"/>
          <w:bottom w:val="nil"/>
          <w:right w:val="nil"/>
          <w:between w:val="nil"/>
        </w:pBdr>
        <w:spacing w:after="0"/>
        <w:jc w:val="left"/>
      </w:pPr>
      <w:r w:rsidRPr="001E4A2F">
        <w:rPr>
          <w:b/>
          <w:bCs/>
        </w:rPr>
        <w:t>Përpjekje të intensifikuara për mbledhjen e materialeve:</w:t>
      </w:r>
      <w:r w:rsidR="001E4A2F" w:rsidRPr="001E4A2F">
        <w:t xml:space="preserve"> </w:t>
      </w:r>
      <w:r w:rsidRPr="001E4A2F">
        <w:t>Pasi një kredi të mos shlyhet, huadhënësi do të përshkallëzojë përpjekjet për të rikuperuar borxhin. Kjo mund të përfshijë departamentin e tyre të brendshëm të mbledhjes së borxheve ose shitjen e borxhit te një agjenci e palës së tretë e mbledhjes së borxheve.</w:t>
      </w:r>
      <w:r w:rsidRPr="001E4A2F">
        <w:rPr>
          <w:rFonts w:eastAsia="Google Sans Text" w:cs="Times New Roman"/>
          <w:color w:val="575B5F"/>
          <w:szCs w:val="24"/>
          <w:vertAlign w:val="superscript"/>
        </w:rPr>
        <w:t>14</w:t>
      </w:r>
      <w:r w:rsidR="001E4A2F" w:rsidRPr="001E4A2F">
        <w:t xml:space="preserve"> H</w:t>
      </w:r>
      <w:r w:rsidRPr="001E4A2F">
        <w:t>uamarrësit mund të presin përpjekje të vazhdueshme komunikimi (telefonata, letra) nga mbledhësit e borxheve. Ndërsa mbledhësit duhet t'i përmbahen rregulloreve si Akti i Praktikave të Drejta të Mbledhjes së Borxheve (FDCPA), procesi mund të jetë stresues.</w:t>
      </w:r>
      <w:r w:rsidRPr="001E4A2F">
        <w:rPr>
          <w:rFonts w:eastAsia="Google Sans Text" w:cs="Times New Roman"/>
          <w:color w:val="575B5F"/>
          <w:szCs w:val="24"/>
          <w:vertAlign w:val="superscript"/>
        </w:rPr>
        <w:t>16</w:t>
      </w:r>
      <w:r w:rsidRPr="001E4A2F">
        <w:t>.</w:t>
      </w:r>
    </w:p>
    <w:p w:rsidR="00D3477D" w:rsidRPr="001E4A2F" w:rsidRDefault="00D3477D" w:rsidP="001C2717">
      <w:pPr>
        <w:widowControl w:val="0"/>
        <w:numPr>
          <w:ilvl w:val="0"/>
          <w:numId w:val="25"/>
        </w:numPr>
        <w:pBdr>
          <w:top w:val="nil"/>
          <w:left w:val="nil"/>
          <w:bottom w:val="nil"/>
          <w:right w:val="nil"/>
          <w:between w:val="nil"/>
        </w:pBdr>
        <w:spacing w:after="0"/>
        <w:jc w:val="left"/>
      </w:pPr>
      <w:r w:rsidRPr="001E4A2F">
        <w:rPr>
          <w:b/>
          <w:bCs/>
        </w:rPr>
        <w:t>Rimarrje në Posedim ose Përmbarim (Kredi të Siguruara):</w:t>
      </w:r>
      <w:r w:rsidR="001E4A2F" w:rsidRPr="001E4A2F">
        <w:t xml:space="preserve"> </w:t>
      </w:r>
      <w:r w:rsidRPr="001E4A2F">
        <w:t>Për kreditë e siguruara me kolateral, mosrespektimi i ligjit i jep huadhënësit të drejtën për të sekuestruar pasurinë e lënë peng.</w:t>
      </w:r>
      <w:r w:rsidRPr="001E4A2F">
        <w:rPr>
          <w:rFonts w:eastAsia="Google Sans Text" w:cs="Times New Roman"/>
          <w:color w:val="575B5F"/>
          <w:szCs w:val="24"/>
          <w:vertAlign w:val="superscript"/>
        </w:rPr>
        <w:t>1</w:t>
      </w:r>
      <w:r w:rsidR="001E4A2F" w:rsidRPr="001E4A2F">
        <w:t xml:space="preserve"> N</w:t>
      </w:r>
      <w:r w:rsidRPr="001E4A2F">
        <w:t>ë rastin e një kredie për makinë, kjo është rimarrje në zotërim e automjetit.</w:t>
      </w:r>
      <w:r w:rsidRPr="001E4A2F">
        <w:rPr>
          <w:rFonts w:eastAsia="Google Sans Text" w:cs="Times New Roman"/>
          <w:color w:val="575B5F"/>
          <w:szCs w:val="24"/>
          <w:vertAlign w:val="superscript"/>
        </w:rPr>
        <w:t>14</w:t>
      </w:r>
      <w:r w:rsidR="001E4A2F" w:rsidRPr="001E4A2F">
        <w:t xml:space="preserve"> P</w:t>
      </w:r>
      <w:r w:rsidRPr="001E4A2F">
        <w:t>ër një hipotekë, është sekuestrim i shtëpisë</w:t>
      </w:r>
      <w:r w:rsidRPr="001E4A2F">
        <w:rPr>
          <w:rFonts w:eastAsia="Google Sans Text" w:cs="Times New Roman"/>
          <w:color w:val="575B5F"/>
          <w:szCs w:val="24"/>
          <w:vertAlign w:val="superscript"/>
        </w:rPr>
        <w:t>14</w:t>
      </w:r>
      <w:r w:rsidR="001E4A2F" w:rsidRPr="001E4A2F">
        <w:t xml:space="preserve"> H</w:t>
      </w:r>
      <w:r w:rsidRPr="001E4A2F">
        <w:t>uadhënësi zakonisht e shet pasurinë e sekuestruar për të rikuperuar borxhin. Nëse të ardhurat nga shitja nuk janë të mjaftueshme për të mbuluar bilancin e papaguar të kredisë plus kostot përkatëse (p.sh., tarifat e rimarrjes, tarifat ligjore), huamarrësi mund të jetë ende përgjegjës për shumën e mbetur, e njohur si bilanc i mungesës.</w:t>
      </w:r>
      <w:r w:rsidRPr="001E4A2F">
        <w:rPr>
          <w:rFonts w:eastAsia="Google Sans Text" w:cs="Times New Roman"/>
          <w:color w:val="575B5F"/>
          <w:szCs w:val="24"/>
          <w:vertAlign w:val="superscript"/>
        </w:rPr>
        <w:t>14</w:t>
      </w:r>
      <w:r w:rsidR="001E4A2F" w:rsidRPr="001E4A2F">
        <w:t xml:space="preserve"> R</w:t>
      </w:r>
      <w:r w:rsidRPr="001E4A2F">
        <w:t>imarrja vullnetare, ku huamarrësi heq dorë nga aseti, është e mundur, por prapëseprapë rezulton në një ndikim negativ në kredi.</w:t>
      </w:r>
      <w:r w:rsidRPr="001E4A2F">
        <w:rPr>
          <w:rFonts w:eastAsia="Google Sans Text" w:cs="Times New Roman"/>
          <w:color w:val="575B5F"/>
          <w:szCs w:val="24"/>
          <w:vertAlign w:val="superscript"/>
        </w:rPr>
        <w:t>15</w:t>
      </w:r>
      <w:r w:rsidRPr="001E4A2F">
        <w:t>.</w:t>
      </w:r>
    </w:p>
    <w:p w:rsidR="00D3477D" w:rsidRPr="001E4A2F" w:rsidRDefault="00D3477D" w:rsidP="001C2717">
      <w:pPr>
        <w:widowControl w:val="0"/>
        <w:numPr>
          <w:ilvl w:val="0"/>
          <w:numId w:val="25"/>
        </w:numPr>
        <w:pBdr>
          <w:top w:val="nil"/>
          <w:left w:val="nil"/>
          <w:bottom w:val="nil"/>
          <w:right w:val="nil"/>
          <w:between w:val="nil"/>
        </w:pBdr>
        <w:spacing w:after="0"/>
        <w:jc w:val="left"/>
      </w:pPr>
      <w:r w:rsidRPr="001E4A2F">
        <w:rPr>
          <w:b/>
          <w:bCs/>
        </w:rPr>
        <w:t>Padi dhe Vendime Ligjore (Sidomos Kreditë e Pasiguruara):</w:t>
      </w:r>
      <w:r w:rsidR="001E4A2F" w:rsidRPr="001E4A2F">
        <w:t xml:space="preserve"> </w:t>
      </w:r>
      <w:r w:rsidRPr="001E4A2F">
        <w:t xml:space="preserve">Nëse përpjekjet </w:t>
      </w:r>
      <w:r w:rsidRPr="001E4A2F">
        <w:lastRenderedPageBreak/>
        <w:t>për mbledhjen e borxheve nuk janë të suksesshme, huadhënësi ose agjencia e mbledhjes së borxheve mund të ngrenë një padi kundër huamarrësit.</w:t>
      </w:r>
      <w:r w:rsidRPr="001E4A2F">
        <w:rPr>
          <w:rFonts w:eastAsia="Google Sans Text" w:cs="Times New Roman"/>
          <w:color w:val="575B5F"/>
          <w:szCs w:val="24"/>
          <w:vertAlign w:val="superscript"/>
        </w:rPr>
        <w:t>14</w:t>
      </w:r>
      <w:r w:rsidR="001E4A2F" w:rsidRPr="001E4A2F">
        <w:t xml:space="preserve"> N</w:t>
      </w:r>
      <w:r w:rsidRPr="001E4A2F">
        <w:t>ëse huadhënësi fiton padinë, ai merr një vendim gjykate, i cili mund të çojë në veprime të mëtejshme si sekuestrimi i pagës (zbritja e pagesave direkt nga paga e huamarrësit) ose vendosja e barrës hipotekare mbi asete të tjera (si prona).</w:t>
      </w:r>
      <w:r w:rsidRPr="001E4A2F">
        <w:rPr>
          <w:rFonts w:eastAsia="Google Sans Text" w:cs="Times New Roman"/>
          <w:color w:val="575B5F"/>
          <w:szCs w:val="24"/>
          <w:vertAlign w:val="superscript"/>
        </w:rPr>
        <w:t>14</w:t>
      </w:r>
      <w:r w:rsidRPr="001E4A2F">
        <w:t>.</w:t>
      </w:r>
    </w:p>
    <w:p w:rsidR="00D3477D" w:rsidRPr="001E4A2F" w:rsidRDefault="00D3477D" w:rsidP="001C2717">
      <w:pPr>
        <w:widowControl w:val="0"/>
        <w:numPr>
          <w:ilvl w:val="0"/>
          <w:numId w:val="25"/>
        </w:numPr>
        <w:pBdr>
          <w:top w:val="nil"/>
          <w:left w:val="nil"/>
          <w:bottom w:val="nil"/>
          <w:right w:val="nil"/>
          <w:between w:val="nil"/>
        </w:pBdr>
        <w:spacing w:after="120"/>
        <w:jc w:val="left"/>
      </w:pPr>
      <w:r w:rsidRPr="001E4A2F">
        <w:rPr>
          <w:b/>
          <w:bCs/>
        </w:rPr>
        <w:t>Përgjegjësia e bashkënënshkruesit:</w:t>
      </w:r>
      <w:r w:rsidR="001E4A2F" w:rsidRPr="001E4A2F">
        <w:t xml:space="preserve"> </w:t>
      </w:r>
      <w:r w:rsidRPr="001E4A2F">
        <w:t xml:space="preserve">Nëse </w:t>
      </w:r>
      <w:r w:rsidR="0014475F">
        <w:t xml:space="preserve">shuma e papaguar e principalit </w:t>
      </w:r>
      <w:r w:rsidRPr="001E4A2F">
        <w:t xml:space="preserve"> kishte një bashkënënshkrues, ai individ bëhet ligjërisht përgjegjës për shlyerjen e borxhit. Mospagimi do të ndikojë negativisht edhe në historinë e kreditit të bashkënënshkruesit.</w:t>
      </w:r>
      <w:r w:rsidRPr="001E4A2F">
        <w:rPr>
          <w:rFonts w:eastAsia="Google Sans Text" w:cs="Times New Roman"/>
          <w:color w:val="575B5F"/>
          <w:szCs w:val="24"/>
          <w:vertAlign w:val="superscript"/>
        </w:rPr>
        <w:t>16</w:t>
      </w:r>
      <w:r w:rsidRPr="001E4A2F">
        <w:t>.</w:t>
      </w:r>
    </w:p>
    <w:p w:rsidR="00D3477D" w:rsidRPr="001E4A2F" w:rsidRDefault="00D3477D" w:rsidP="001C2717">
      <w:pPr>
        <w:pBdr>
          <w:top w:val="nil"/>
          <w:left w:val="nil"/>
          <w:bottom w:val="nil"/>
          <w:right w:val="nil"/>
          <w:between w:val="nil"/>
        </w:pBdr>
        <w:spacing w:before="240"/>
      </w:pPr>
      <w:r w:rsidRPr="001E4A2F">
        <w:t>Bashkimi i dëmtimit të rëndë të kredisë, humbjes së mundshme të aseteve thelbësore si një shtëpi ose makinë, aktiviteteve të pandërprera të mbledhjes së borxheve dhe kërcënimit të veprimeve ligjore nënvizon rëndësinë e mospagesës së kredisë. Këto pasoja mund të krijojnë një kaskadë vështirësish financiare, duke dëmtuar ndjeshëm aftësinë e huamarrësit për të aksesuar kredi, për të siguruar strehim ose për të arritur qëllime të tjera financiare për shumë vite. Komunikimi proaktiv me huadhënësin përpara se të arrihet faza e mospagesës është parësor. Huadhënësit mund të jenë të gatshëm të diskutojnë marrëveshje alternative, të tilla si shtyrja ose pezullimi i përkohshëm, ose modifikimet e kredisë, të cilat mund të ndihmojnë në zbutjen e rezultateve më të rënda.</w:t>
      </w:r>
      <w:r w:rsidRPr="001E4A2F">
        <w:rPr>
          <w:rFonts w:eastAsia="Google Sans Text" w:cs="Times New Roman"/>
          <w:color w:val="575B5F"/>
          <w:szCs w:val="24"/>
          <w:vertAlign w:val="superscript"/>
        </w:rPr>
        <w:t>14</w:t>
      </w:r>
      <w:r w:rsidRPr="001E4A2F">
        <w:t>.</w:t>
      </w:r>
    </w:p>
    <w:p w:rsidR="00B16F31" w:rsidRDefault="00B16F31" w:rsidP="001C2717"/>
    <w:p w:rsidR="00B16F31" w:rsidRDefault="00B16F31" w:rsidP="001C2717"/>
    <w:p w:rsidR="00B16F31" w:rsidRDefault="00B16F31" w:rsidP="001C2717"/>
    <w:p w:rsidR="00B16F31" w:rsidRDefault="00B16F31" w:rsidP="001C2717"/>
    <w:p w:rsidR="00B16F31" w:rsidRDefault="00B16F31" w:rsidP="001C2717"/>
    <w:p w:rsidR="00B16F31" w:rsidRDefault="00B16F31" w:rsidP="001C2717"/>
    <w:p w:rsidR="00B16F31" w:rsidRDefault="00B16F31" w:rsidP="001C2717"/>
    <w:p w:rsidR="00B16F31" w:rsidRDefault="00B16F31" w:rsidP="001C2717"/>
    <w:p w:rsidR="00B16F31" w:rsidRDefault="00B16F31" w:rsidP="001C2717"/>
    <w:p w:rsidR="00B16F31" w:rsidRDefault="001E4A2F" w:rsidP="001C2717">
      <w:pPr>
        <w:pStyle w:val="Heading1"/>
      </w:pPr>
      <w:bookmarkStart w:id="11" w:name="_Toc198558472"/>
      <w:r w:rsidRPr="001E4A2F">
        <w:lastRenderedPageBreak/>
        <w:t xml:space="preserve">Pjesa 2: </w:t>
      </w:r>
      <w:bookmarkEnd w:id="11"/>
      <w:r w:rsidR="009B74E1" w:rsidRPr="009B74E1">
        <w:t>Analizë Strukturore e Tregut të Kredive Personale në Kosovë</w:t>
      </w:r>
    </w:p>
    <w:p w:rsidR="001E4A2F" w:rsidRDefault="0014475F" w:rsidP="001C2717">
      <w:r w:rsidRPr="0014475F">
        <w:t>Seksioni 2.1 vendos bazat institucionale dhe makroekonomike të funksionimit të tregut të kredive personale në Kosovë, duke analizuar rolin e Bankës Qendrore, strukturën e sektorit financiar dhe tendencat kyçe ekonomike që ndikojnë kërkesën dhe ofertën për kredi</w:t>
      </w:r>
      <w:r w:rsidR="001E4A2F">
        <w:t>.</w:t>
      </w:r>
    </w:p>
    <w:p w:rsidR="00B16F31" w:rsidRDefault="001E4A2F" w:rsidP="003838A9">
      <w:pPr>
        <w:pStyle w:val="Heading2"/>
      </w:pPr>
      <w:bookmarkStart w:id="12" w:name="_Toc198558473"/>
      <w:r w:rsidRPr="001E4A2F">
        <w:t>Seksioni 2.1: Mjedisi Financiar</w:t>
      </w:r>
      <w:r w:rsidR="006E0EA1">
        <w:t xml:space="preserve"> dhe Ekonomik</w:t>
      </w:r>
      <w:r w:rsidRPr="001E4A2F">
        <w:t xml:space="preserve"> </w:t>
      </w:r>
      <w:r w:rsidR="006E0EA1" w:rsidRPr="006E0EA1">
        <w:t>në</w:t>
      </w:r>
      <w:r w:rsidRPr="001E4A2F">
        <w:t xml:space="preserve"> Kosovë</w:t>
      </w:r>
      <w:bookmarkEnd w:id="12"/>
    </w:p>
    <w:p w:rsidR="001E4A2F" w:rsidRPr="001E4A2F" w:rsidRDefault="001E4A2F" w:rsidP="001C2717">
      <w:pPr>
        <w:widowControl w:val="0"/>
        <w:numPr>
          <w:ilvl w:val="0"/>
          <w:numId w:val="26"/>
        </w:numPr>
        <w:pBdr>
          <w:top w:val="nil"/>
          <w:left w:val="nil"/>
          <w:bottom w:val="nil"/>
          <w:right w:val="nil"/>
          <w:between w:val="nil"/>
        </w:pBdr>
        <w:spacing w:after="120"/>
        <w:jc w:val="left"/>
      </w:pPr>
      <w:r w:rsidRPr="001E4A2F">
        <w:rPr>
          <w:b/>
          <w:bCs/>
        </w:rPr>
        <w:t>2.1.1 Roli dhe Struktura e Bankës Qendrore të Kosovës (BQK</w:t>
      </w:r>
      <w:r w:rsidRPr="001E4A2F">
        <w:t>)</w:t>
      </w:r>
    </w:p>
    <w:p w:rsidR="001E4A2F" w:rsidRPr="001E4A2F" w:rsidRDefault="001E4A2F" w:rsidP="001C2717">
      <w:pPr>
        <w:pBdr>
          <w:top w:val="nil"/>
          <w:left w:val="nil"/>
          <w:bottom w:val="nil"/>
          <w:right w:val="nil"/>
          <w:between w:val="nil"/>
        </w:pBdr>
        <w:spacing w:before="240"/>
      </w:pPr>
      <w:r w:rsidRPr="001E4A2F">
        <w:t xml:space="preserve">Banka Qendrore e Republikës së Kosovës (BQK), e themeluar në vitin 2008 pas shpalljes së pavarësisë së Kosovës, </w:t>
      </w:r>
      <w:r w:rsidR="00BE072C">
        <w:t>vepron</w:t>
      </w:r>
      <w:r w:rsidRPr="001E4A2F">
        <w:t xml:space="preserve"> si autoriteti i pavarur bankar qendror i vendit.</w:t>
      </w:r>
      <w:r w:rsidRPr="001E4A2F">
        <w:rPr>
          <w:rFonts w:eastAsia="Google Sans Text" w:cs="Times New Roman"/>
          <w:color w:val="575B5F"/>
          <w:szCs w:val="24"/>
          <w:vertAlign w:val="superscript"/>
        </w:rPr>
        <w:t>50</w:t>
      </w:r>
      <w:r w:rsidRPr="001E4A2F">
        <w:t xml:space="preserve"> Duke vepruar sipas </w:t>
      </w:r>
      <w:r w:rsidRPr="001E4A2F">
        <w:rPr>
          <w:b/>
          <w:bCs/>
          <w:i/>
          <w:iCs/>
        </w:rPr>
        <w:t>Ligjit Nr. 03/L-074</w:t>
      </w:r>
      <w:r w:rsidRPr="001E4A2F">
        <w:t>, BQK-ja është një institucion publik i pavarur që i përgjigjet Kuvendit të Republikës së Kosovës.</w:t>
      </w:r>
      <w:r w:rsidRPr="001E4A2F">
        <w:rPr>
          <w:rFonts w:eastAsia="Google Sans Text" w:cs="Times New Roman"/>
          <w:color w:val="575B5F"/>
          <w:szCs w:val="24"/>
          <w:vertAlign w:val="superscript"/>
        </w:rPr>
        <w:t>50</w:t>
      </w:r>
      <w:r w:rsidRPr="001E4A2F">
        <w:t xml:space="preserve"> Mandati i saj kryesor është të promovojë dhe mirëmbajë një sistem financiar të qëndrueshëm, që përfshin një sistem pagesash të sigurt, të mbrojtur dhe efikas.</w:t>
      </w:r>
      <w:r w:rsidRPr="001E4A2F">
        <w:rPr>
          <w:rFonts w:eastAsia="Google Sans Text" w:cs="Times New Roman"/>
          <w:color w:val="575B5F"/>
          <w:szCs w:val="24"/>
          <w:vertAlign w:val="superscript"/>
        </w:rPr>
        <w:t>50</w:t>
      </w:r>
      <w:r w:rsidRPr="001E4A2F">
        <w:t>.</w:t>
      </w:r>
    </w:p>
    <w:p w:rsidR="001E4A2F" w:rsidRPr="00CC21F0" w:rsidRDefault="00BE072C" w:rsidP="001C2717">
      <w:pPr>
        <w:pBdr>
          <w:top w:val="nil"/>
          <w:left w:val="nil"/>
          <w:bottom w:val="nil"/>
          <w:right w:val="nil"/>
          <w:between w:val="nil"/>
        </w:pBdr>
      </w:pPr>
      <w:r w:rsidRPr="00BE072C">
        <w:t>Funksionet kryesore të BQK-së përfshijnë licencimin, mbikëqyrjen dhe rregullimin e të gjitha institucioneve financiare që veprojnë në Kosovë, si bankat</w:t>
      </w:r>
      <w:r w:rsidR="001E4A2F" w:rsidRPr="001E4A2F">
        <w:t xml:space="preserve"> komerciale, institucionet mikrofinanciare (IMF), kompanitë e sigurimeve dhe fondet e pensioneve.</w:t>
      </w:r>
      <w:r w:rsidR="001E4A2F" w:rsidRPr="001E4A2F">
        <w:rPr>
          <w:rFonts w:eastAsia="Google Sans Text" w:cs="Times New Roman"/>
          <w:color w:val="575B5F"/>
          <w:szCs w:val="24"/>
          <w:vertAlign w:val="superscript"/>
        </w:rPr>
        <w:t>53</w:t>
      </w:r>
      <w:r w:rsidR="001E4A2F" w:rsidRPr="00CC21F0">
        <w:t xml:space="preserve"> BQK-ja menaxhon rezervat ndërkombëtare të vendit, kryen operacione tregu, mbikëqyr sistemin kombëtar të pagesave (duke përfshirë Sistemin Ndërbankar të Pagesave të Kosovës - KIPS) dhe luan një rol vendimtar në mbrojtjen e konsumatorit brenda sektorit financiar.</w:t>
      </w:r>
      <w:r w:rsidR="001E4A2F" w:rsidRPr="00CC21F0">
        <w:rPr>
          <w:rFonts w:eastAsia="Google Sans Text" w:cs="Times New Roman"/>
          <w:color w:val="575B5F"/>
          <w:szCs w:val="24"/>
          <w:vertAlign w:val="superscript"/>
        </w:rPr>
        <w:t>51</w:t>
      </w:r>
      <w:r w:rsidR="00CC21F0" w:rsidRPr="00CC21F0">
        <w:t xml:space="preserve"> M</w:t>
      </w:r>
      <w:r w:rsidR="001E4A2F" w:rsidRPr="00CC21F0">
        <w:t>irëmban një regjistër krediti, thelbësor për vlerësimin e rrezikut të huamarrësit.</w:t>
      </w:r>
      <w:r w:rsidR="001E4A2F" w:rsidRPr="00CC21F0">
        <w:rPr>
          <w:rFonts w:eastAsia="Google Sans Text" w:cs="Times New Roman"/>
          <w:color w:val="575B5F"/>
          <w:szCs w:val="24"/>
          <w:vertAlign w:val="superscript"/>
        </w:rPr>
        <w:t>53</w:t>
      </w:r>
      <w:r w:rsidR="001E4A2F" w:rsidRPr="00CC21F0">
        <w:t>.</w:t>
      </w:r>
    </w:p>
    <w:p w:rsidR="001E4A2F" w:rsidRPr="00CC21F0" w:rsidRDefault="001E4A2F" w:rsidP="001C2717">
      <w:pPr>
        <w:pBdr>
          <w:top w:val="nil"/>
          <w:left w:val="nil"/>
          <w:bottom w:val="nil"/>
          <w:right w:val="nil"/>
          <w:between w:val="nil"/>
        </w:pBdr>
        <w:spacing w:after="120"/>
      </w:pPr>
      <w:r w:rsidRPr="00CC21F0">
        <w:t>Në vitet e fundit, BQK-ja ka ndërmarrë reforma të rëndësishme që synojnë forcimin e kapacitetit të saj institucional dhe përafrimin e sektorit financiar të Kosovës me standardet ndërkombëtare, veçanërisht ato të Bashkimit Evropian (BE).</w:t>
      </w:r>
      <w:r w:rsidRPr="00CC21F0">
        <w:rPr>
          <w:rFonts w:eastAsia="Google Sans Text" w:cs="Times New Roman"/>
          <w:color w:val="575B5F"/>
          <w:szCs w:val="24"/>
          <w:vertAlign w:val="superscript"/>
        </w:rPr>
        <w:t>55</w:t>
      </w:r>
      <w:r w:rsidR="00CC21F0" w:rsidRPr="00CC21F0">
        <w:t xml:space="preserve"> K</w:t>
      </w:r>
      <w:r w:rsidRPr="00CC21F0">
        <w:t xml:space="preserve">ëto përpjekje përfshijnë përmirësimin e qeverisjes dhe transparencës së bankës qendrore (e dëshmuar nga kryerja e një vlerësimi të Kodit të Transparencës së Bankës Qendrore të FMN-së), miratimin e praktikave moderne mbikëqyrëse si Procesi i Rishikimit dhe Vlerësimit Mbikëqyrës (SREP) për mbikëqyrjen bankare të bazuar në rrezik, zhvillimin e një kuadri politikash makroprudenciale, forcimin e mekanizmave të përgatitjes për kriza (duke përfshirë një </w:t>
      </w:r>
      <w:r w:rsidRPr="00CC21F0">
        <w:lastRenderedPageBreak/>
        <w:t>strukturë të zgjeruar të mbështetjes nga BQE) dhe lehtësimin e integrimit me Zonën e Vetme të Pagesave në Euro (SEPA).</w:t>
      </w:r>
      <w:r w:rsidRPr="00CC21F0">
        <w:rPr>
          <w:rFonts w:eastAsia="Google Sans Text" w:cs="Times New Roman"/>
          <w:color w:val="575B5F"/>
          <w:szCs w:val="24"/>
          <w:vertAlign w:val="superscript"/>
        </w:rPr>
        <w:t>55</w:t>
      </w:r>
      <w:r w:rsidRPr="00CC21F0">
        <w:t>.</w:t>
      </w:r>
    </w:p>
    <w:p w:rsidR="001E4A2F" w:rsidRPr="00CC21F0" w:rsidRDefault="001E4A2F" w:rsidP="001C2717">
      <w:pPr>
        <w:widowControl w:val="0"/>
        <w:numPr>
          <w:ilvl w:val="0"/>
          <w:numId w:val="27"/>
        </w:numPr>
        <w:pBdr>
          <w:top w:val="nil"/>
          <w:left w:val="nil"/>
          <w:bottom w:val="nil"/>
          <w:right w:val="nil"/>
          <w:between w:val="nil"/>
        </w:pBdr>
        <w:spacing w:after="120"/>
        <w:jc w:val="left"/>
        <w:rPr>
          <w:b/>
          <w:bCs/>
        </w:rPr>
      </w:pPr>
      <w:r w:rsidRPr="00CC21F0">
        <w:rPr>
          <w:b/>
          <w:bCs/>
        </w:rPr>
        <w:t>2.1.2 Struktura e Sektorit Bankar dhe të IMF-ve</w:t>
      </w:r>
    </w:p>
    <w:p w:rsidR="001E4A2F" w:rsidRPr="00CC21F0" w:rsidRDefault="001E4A2F" w:rsidP="001C2717">
      <w:pPr>
        <w:pBdr>
          <w:top w:val="nil"/>
          <w:left w:val="nil"/>
          <w:bottom w:val="nil"/>
          <w:right w:val="nil"/>
          <w:between w:val="nil"/>
        </w:pBdr>
        <w:spacing w:before="240"/>
      </w:pPr>
      <w:r w:rsidRPr="00CC21F0">
        <w:t>Sistemi financiar i Kosovës përfshin disa lloje institucionesh, ku bankat komerciale luajnë rolin mbizotërues.</w:t>
      </w:r>
      <w:r w:rsidRPr="00CC21F0">
        <w:rPr>
          <w:rFonts w:eastAsia="Google Sans Text" w:cs="Times New Roman"/>
          <w:color w:val="575B5F"/>
          <w:szCs w:val="24"/>
          <w:vertAlign w:val="superscript"/>
        </w:rPr>
        <w:t>61</w:t>
      </w:r>
      <w:r w:rsidR="00CC21F0" w:rsidRPr="00CC21F0">
        <w:t xml:space="preserve"> S</w:t>
      </w:r>
      <w:r w:rsidRPr="00CC21F0">
        <w:t>ektori përfshin bankat komerciale, institucionet mikrofinanciare (IMF), institucionet financiare jobankare (</w:t>
      </w:r>
      <w:r w:rsidR="00C56A5E">
        <w:t>IFJB</w:t>
      </w:r>
      <w:r w:rsidRPr="00CC21F0">
        <w:t>), kompanitë e sigurimeve dhe fondet e pensioneve.</w:t>
      </w:r>
      <w:r w:rsidRPr="00CC21F0">
        <w:rPr>
          <w:rFonts w:eastAsia="Google Sans Text" w:cs="Times New Roman"/>
          <w:color w:val="575B5F"/>
          <w:szCs w:val="24"/>
          <w:vertAlign w:val="superscript"/>
        </w:rPr>
        <w:t>61</w:t>
      </w:r>
      <w:r w:rsidR="00CC21F0" w:rsidRPr="00CC21F0">
        <w:t xml:space="preserve"> </w:t>
      </w:r>
      <w:r w:rsidRPr="00CC21F0">
        <w:t>Që nga qershori i vitit 2023, bankat tregtare zotëronin afërsisht 68.4% të totalit të aktiveve të sektorit financiar.</w:t>
      </w:r>
      <w:r w:rsidRPr="00CC21F0">
        <w:rPr>
          <w:rFonts w:eastAsia="Google Sans Text" w:cs="Times New Roman"/>
          <w:color w:val="575B5F"/>
          <w:szCs w:val="24"/>
          <w:vertAlign w:val="superscript"/>
        </w:rPr>
        <w:t>62</w:t>
      </w:r>
      <w:r w:rsidRPr="00CC21F0">
        <w:t>.</w:t>
      </w:r>
    </w:p>
    <w:p w:rsidR="001E4A2F" w:rsidRPr="00CC21F0" w:rsidRDefault="001E4A2F" w:rsidP="001C2717">
      <w:pPr>
        <w:pBdr>
          <w:top w:val="nil"/>
          <w:left w:val="nil"/>
          <w:bottom w:val="nil"/>
          <w:right w:val="nil"/>
          <w:between w:val="nil"/>
        </w:pBdr>
      </w:pPr>
      <w:r w:rsidRPr="00CC21F0">
        <w:t>Një karakteristikë e dukshme e sektorit bankar të Kosovës është prania e konsiderueshme e bankave me pronësi të huaj, të cilat përbëjnë rreth 84.9% të totalit të aseteve të sistemit bankar.</w:t>
      </w:r>
      <w:r w:rsidRPr="00CC21F0">
        <w:rPr>
          <w:rFonts w:eastAsia="Google Sans Text" w:cs="Times New Roman"/>
          <w:color w:val="575B5F"/>
          <w:szCs w:val="24"/>
          <w:vertAlign w:val="superscript"/>
        </w:rPr>
        <w:t>62</w:t>
      </w:r>
      <w:r w:rsidR="00CC21F0" w:rsidRPr="00CC21F0">
        <w:t xml:space="preserve"> A</w:t>
      </w:r>
      <w:r w:rsidRPr="00CC21F0">
        <w:t>ktualisht, dymbëdhjetë banka tregtare janë të licencuara për të vepruar.</w:t>
      </w:r>
      <w:r w:rsidRPr="00CC21F0">
        <w:rPr>
          <w:rFonts w:eastAsia="Google Sans Text" w:cs="Times New Roman"/>
          <w:color w:val="575B5F"/>
          <w:szCs w:val="24"/>
          <w:vertAlign w:val="superscript"/>
        </w:rPr>
        <w:t>63</w:t>
      </w:r>
      <w:r w:rsidR="00CC21F0" w:rsidRPr="00CC21F0">
        <w:t xml:space="preserve"> L</w:t>
      </w:r>
      <w:r w:rsidRPr="00CC21F0">
        <w:t>ojtarë të shquar përfshijnë Raiffeisen Bank Kosovo (pjesë e Grupit Austriak RBI), ProCredit Bank (pjesë e ProCredit Holding gjerman), NLB Banka (Grupi Slloven NLB), TEB SH.A. (turke), Banka Kombëtare Tregtare (BKT) (pronësi shqiptare/turke), Ziraat Bank (turke) dhe Turkiye Is Bank (turke).</w:t>
      </w:r>
      <w:r w:rsidRPr="00CC21F0">
        <w:rPr>
          <w:rFonts w:eastAsia="Google Sans Text" w:cs="Times New Roman"/>
          <w:color w:val="575B5F"/>
          <w:szCs w:val="24"/>
          <w:vertAlign w:val="superscript"/>
        </w:rPr>
        <w:t>51</w:t>
      </w:r>
      <w:r w:rsidRPr="00CC21F0">
        <w:t>. Bankat vendase përfshijnë Bankën për Biznes (BPB) dhe Bankën Ekonomike</w:t>
      </w:r>
      <w:r w:rsidRPr="00CC21F0">
        <w:rPr>
          <w:rFonts w:eastAsia="Google Sans Text" w:cs="Times New Roman"/>
          <w:color w:val="575B5F"/>
          <w:szCs w:val="24"/>
          <w:vertAlign w:val="superscript"/>
        </w:rPr>
        <w:t>51</w:t>
      </w:r>
      <w:r w:rsidR="00CC21F0" w:rsidRPr="00CC21F0">
        <w:t xml:space="preserve"> D</w:t>
      </w:r>
      <w:r w:rsidRPr="00CC21F0">
        <w:t>isa banka serbe më parë kanë operuar në rajone të populluara nga serbët, por kryesisht kanë ndërprerë operacionet ose kanë mbyllur degët pas ndryshimeve rregullatore.</w:t>
      </w:r>
      <w:r w:rsidRPr="00CC21F0">
        <w:rPr>
          <w:rFonts w:eastAsia="Google Sans Text" w:cs="Times New Roman"/>
          <w:color w:val="575B5F"/>
          <w:szCs w:val="24"/>
          <w:vertAlign w:val="superscript"/>
        </w:rPr>
        <w:t>51</w:t>
      </w:r>
      <w:r w:rsidRPr="00CC21F0">
        <w:t>.</w:t>
      </w:r>
    </w:p>
    <w:p w:rsidR="001E4A2F" w:rsidRPr="00CC21F0" w:rsidRDefault="001E4A2F" w:rsidP="001C2717">
      <w:pPr>
        <w:pBdr>
          <w:top w:val="nil"/>
          <w:left w:val="nil"/>
          <w:bottom w:val="nil"/>
          <w:right w:val="nil"/>
          <w:between w:val="nil"/>
        </w:pBdr>
      </w:pPr>
      <w:r w:rsidRPr="00CC21F0">
        <w:t>Institucionet Mikrofinanciare (IMF) dhe Institucionet Financiare Jo-Banka (I</w:t>
      </w:r>
      <w:r w:rsidR="008C7A18">
        <w:t>FJB</w:t>
      </w:r>
      <w:r w:rsidRPr="00CC21F0">
        <w:t>) përbëjnë një segment më të vogël të sistemit financiar, duke mbajtur rreth 4.1% të aseteve që nga qershori 2023.</w:t>
      </w:r>
      <w:r w:rsidRPr="00CC21F0">
        <w:rPr>
          <w:rFonts w:eastAsia="Google Sans Text" w:cs="Times New Roman"/>
          <w:color w:val="575B5F"/>
          <w:szCs w:val="24"/>
          <w:vertAlign w:val="superscript"/>
        </w:rPr>
        <w:t>62</w:t>
      </w:r>
      <w:r w:rsidR="00CC21F0" w:rsidRPr="00CC21F0">
        <w:t xml:space="preserve"> M</w:t>
      </w:r>
      <w:r w:rsidRPr="00CC21F0">
        <w:t xml:space="preserve">egjithatë, ato luajnë një rol të rëndësishëm në zgjerimin e shërbimeve financiare, veçanërisht për ndërmarrjet mikro dhe të vogla dhe popullatat </w:t>
      </w:r>
      <w:r w:rsidR="001070D4" w:rsidRPr="001070D4">
        <w:t>në disa raste</w:t>
      </w:r>
      <w:r w:rsidRPr="00CC21F0">
        <w:t xml:space="preserve"> të pashërbyera.</w:t>
      </w:r>
      <w:r w:rsidRPr="00CC21F0">
        <w:rPr>
          <w:rFonts w:eastAsia="Google Sans Text" w:cs="Times New Roman"/>
          <w:color w:val="575B5F"/>
          <w:szCs w:val="24"/>
          <w:vertAlign w:val="superscript"/>
        </w:rPr>
        <w:t>56</w:t>
      </w:r>
      <w:r w:rsidR="00CC21F0" w:rsidRPr="00CC21F0">
        <w:t xml:space="preserve"> S</w:t>
      </w:r>
      <w:r w:rsidRPr="00CC21F0">
        <w:t xml:space="preserve">hoqata e Institucioneve të Mikrofinancës së Kosovës (AMIK) </w:t>
      </w:r>
      <w:r w:rsidR="00BE072C">
        <w:t>funksionon</w:t>
      </w:r>
      <w:r w:rsidRPr="00CC21F0">
        <w:t xml:space="preserve"> si organ përfaqësues për këtë nënsektor, me anëtarë që përfshijnë institucione si Agjencia për Financa në Kosovë (AFK), FINCA Kosova, KEP Trust dhe Kreditimi Rural i Kosovës (KRK).</w:t>
      </w:r>
      <w:r w:rsidRPr="00CC21F0">
        <w:rPr>
          <w:rFonts w:eastAsia="Google Sans Text" w:cs="Times New Roman"/>
          <w:color w:val="575B5F"/>
          <w:szCs w:val="24"/>
          <w:vertAlign w:val="superscript"/>
        </w:rPr>
        <w:t>72</w:t>
      </w:r>
      <w:r w:rsidR="00CC21F0" w:rsidRPr="00CC21F0">
        <w:t xml:space="preserve"> A</w:t>
      </w:r>
      <w:r w:rsidRPr="00CC21F0">
        <w:t>MIK përqendrohet në avancimin e sektorit të mikrofinancës, mbështetjen e sipërmarrjes dhe promovimin e praktikave më të mira.</w:t>
      </w:r>
      <w:r w:rsidRPr="00CC21F0">
        <w:rPr>
          <w:rFonts w:eastAsia="Google Sans Text" w:cs="Times New Roman"/>
          <w:color w:val="575B5F"/>
          <w:szCs w:val="24"/>
          <w:vertAlign w:val="superscript"/>
        </w:rPr>
        <w:t>72</w:t>
      </w:r>
      <w:r w:rsidR="00CC21F0" w:rsidRPr="00CC21F0">
        <w:t xml:space="preserve"> P</w:t>
      </w:r>
      <w:r w:rsidRPr="00CC21F0">
        <w:t>ortofoli i kredisë së IMF-ve/IFJ-ve jofitimprurëse tregoi rritje, duke arritur në 218.8 milionë euro deri në shtator 2020.</w:t>
      </w:r>
      <w:r w:rsidRPr="00CC21F0">
        <w:rPr>
          <w:rFonts w:eastAsia="Google Sans Text" w:cs="Times New Roman"/>
          <w:color w:val="575B5F"/>
          <w:szCs w:val="24"/>
          <w:vertAlign w:val="superscript"/>
        </w:rPr>
        <w:t>75</w:t>
      </w:r>
      <w:r w:rsidRPr="00CC21F0">
        <w:t>.</w:t>
      </w:r>
    </w:p>
    <w:p w:rsidR="001E4A2F" w:rsidRPr="00CC21F0" w:rsidRDefault="001E4A2F" w:rsidP="001C2717">
      <w:pPr>
        <w:pBdr>
          <w:top w:val="nil"/>
          <w:left w:val="nil"/>
          <w:bottom w:val="nil"/>
          <w:right w:val="nil"/>
          <w:between w:val="nil"/>
        </w:pBdr>
        <w:spacing w:after="120"/>
      </w:pPr>
      <w:r w:rsidRPr="00CC21F0">
        <w:t>Interesat e sektorit bankar komercial përfaqësohen nga Shoqata e Bankave të Kosovës (SHBK).</w:t>
      </w:r>
      <w:r w:rsidRPr="00CC21F0">
        <w:rPr>
          <w:rFonts w:eastAsia="Google Sans Text" w:cs="Times New Roman"/>
          <w:color w:val="575B5F"/>
          <w:szCs w:val="24"/>
          <w:vertAlign w:val="superscript"/>
        </w:rPr>
        <w:t>69</w:t>
      </w:r>
      <w:r w:rsidR="00CC21F0" w:rsidRPr="00CC21F0">
        <w:t xml:space="preserve"> S</w:t>
      </w:r>
      <w:r w:rsidRPr="00CC21F0">
        <w:t xml:space="preserve">HBK-ja vepron si zëri i industrisë, duke bashkëpunuar me BQK-në, qeverinë </w:t>
      </w:r>
      <w:r w:rsidRPr="00CC21F0">
        <w:lastRenderedPageBreak/>
        <w:t>dhe organizatat ndërkombëtare.</w:t>
      </w:r>
      <w:r w:rsidRPr="00CC21F0">
        <w:rPr>
          <w:rFonts w:eastAsia="Google Sans Text" w:cs="Times New Roman"/>
          <w:color w:val="575B5F"/>
          <w:szCs w:val="24"/>
          <w:vertAlign w:val="superscript"/>
        </w:rPr>
        <w:t>69</w:t>
      </w:r>
      <w:r w:rsidR="00CC21F0" w:rsidRPr="00CC21F0">
        <w:t xml:space="preserve"> O</w:t>
      </w:r>
      <w:r w:rsidRPr="00CC21F0">
        <w:t>bjektivat e tij përfshijnë mbështetjen e një sistemi bankar të shëndetshëm, promovimin e konkurrencës së drejtë, lehtësimin e bashkëpunimit midis bankave, shqyrtimin e iniciativave legjislative, koordinimin e aktiviteteve të industrisë dhe rritjen e edukimit dhe shkrim-leximit financiar.</w:t>
      </w:r>
      <w:r w:rsidRPr="00CC21F0">
        <w:rPr>
          <w:rFonts w:eastAsia="Google Sans Text" w:cs="Times New Roman"/>
          <w:color w:val="575B5F"/>
          <w:szCs w:val="24"/>
          <w:vertAlign w:val="superscript"/>
        </w:rPr>
        <w:t>63</w:t>
      </w:r>
      <w:r w:rsidR="00CC21F0" w:rsidRPr="00CC21F0">
        <w:t xml:space="preserve"> S</w:t>
      </w:r>
      <w:r w:rsidRPr="00CC21F0">
        <w:t>HBK publikon materiale si revista 'The Kosovo Banker' për të informuar publikun rreth zhvillimeve të sektorit.</w:t>
      </w:r>
      <w:r w:rsidRPr="00CC21F0">
        <w:rPr>
          <w:rFonts w:eastAsia="Google Sans Text" w:cs="Times New Roman"/>
          <w:color w:val="575B5F"/>
          <w:szCs w:val="24"/>
          <w:vertAlign w:val="superscript"/>
        </w:rPr>
        <w:t>69</w:t>
      </w:r>
      <w:r w:rsidRPr="00CC21F0">
        <w:t>.</w:t>
      </w:r>
    </w:p>
    <w:p w:rsidR="001E4A2F" w:rsidRPr="00CC21F0" w:rsidRDefault="001E4A2F" w:rsidP="001C2717">
      <w:pPr>
        <w:widowControl w:val="0"/>
        <w:numPr>
          <w:ilvl w:val="0"/>
          <w:numId w:val="28"/>
        </w:numPr>
        <w:pBdr>
          <w:top w:val="nil"/>
          <w:left w:val="nil"/>
          <w:bottom w:val="nil"/>
          <w:right w:val="nil"/>
          <w:between w:val="nil"/>
        </w:pBdr>
        <w:spacing w:after="120"/>
        <w:jc w:val="left"/>
        <w:rPr>
          <w:b/>
          <w:bCs/>
        </w:rPr>
      </w:pPr>
      <w:r w:rsidRPr="00CC21F0">
        <w:rPr>
          <w:b/>
          <w:bCs/>
        </w:rPr>
        <w:t>2.1.3 Konteksti Makroekonomik dhe Trendet e Përgjithshme të</w:t>
      </w:r>
      <w:r>
        <w:rPr>
          <w:rFonts w:ascii="Google Sans Text" w:eastAsia="Google Sans Text" w:hAnsi="Google Sans Text"/>
          <w:b/>
          <w:szCs w:val="24"/>
        </w:rPr>
        <w:t xml:space="preserve"> </w:t>
      </w:r>
      <w:r w:rsidRPr="00CC21F0">
        <w:rPr>
          <w:b/>
          <w:bCs/>
        </w:rPr>
        <w:t>Kreditit</w:t>
      </w:r>
    </w:p>
    <w:p w:rsidR="001E4A2F" w:rsidRPr="001C2717" w:rsidRDefault="001E4A2F" w:rsidP="001C2717">
      <w:pPr>
        <w:pBdr>
          <w:top w:val="nil"/>
          <w:left w:val="nil"/>
          <w:bottom w:val="nil"/>
          <w:right w:val="nil"/>
          <w:between w:val="nil"/>
        </w:pBdr>
        <w:spacing w:before="240"/>
      </w:pPr>
      <w:r w:rsidRPr="001C2717">
        <w:t>Kosova vepron si një ekonomi me të ardhura të larta dhe të mesme</w:t>
      </w:r>
      <w:r w:rsidRPr="001C2717">
        <w:rPr>
          <w:rFonts w:eastAsia="Google Sans Text" w:cs="Times New Roman"/>
          <w:color w:val="575B5F"/>
          <w:szCs w:val="24"/>
          <w:vertAlign w:val="superscript"/>
        </w:rPr>
        <w:t>80</w:t>
      </w:r>
      <w:r w:rsidR="001C2717" w:rsidRPr="001C2717">
        <w:t xml:space="preserve"> q</w:t>
      </w:r>
      <w:r w:rsidRPr="001C2717">
        <w:t>ë miratoi në mënyrë të njëanshme euron (€) si monedhën e saj në vitin 2002</w:t>
      </w:r>
      <w:r w:rsidRPr="001C2717">
        <w:rPr>
          <w:rFonts w:eastAsia="Google Sans Text" w:cs="Times New Roman"/>
          <w:color w:val="575B5F"/>
          <w:szCs w:val="24"/>
          <w:vertAlign w:val="superscript"/>
        </w:rPr>
        <w:t>62</w:t>
      </w:r>
      <w:r w:rsidR="001C2717" w:rsidRPr="001C2717">
        <w:t xml:space="preserve"> K</w:t>
      </w:r>
      <w:r w:rsidRPr="001C2717">
        <w:t>jo siguron stabilitet të monedhës, por do të thotë që BQK-së i mungojnë mjete të pavarura të politikës monetare, siç është përcaktimi i normave bazë të interesit.</w:t>
      </w:r>
      <w:r w:rsidRPr="001C2717">
        <w:rPr>
          <w:rFonts w:eastAsia="Google Sans Text" w:cs="Times New Roman"/>
          <w:color w:val="575B5F"/>
          <w:szCs w:val="24"/>
          <w:vertAlign w:val="superscript"/>
        </w:rPr>
        <w:t>62</w:t>
      </w:r>
      <w:r w:rsidR="001C2717" w:rsidRPr="001C2717">
        <w:t xml:space="preserve"> E</w:t>
      </w:r>
      <w:r w:rsidRPr="001C2717">
        <w:t>konomia ka treguar qëndrueshmëri dhe rritje të qëndrueshme gjatë një dekade e gjysmë të fundit, duke arritur mesatarisht 3.6% midis viteve 2008-2018.</w:t>
      </w:r>
      <w:r w:rsidRPr="001C2717">
        <w:rPr>
          <w:rFonts w:eastAsia="Google Sans Text" w:cs="Times New Roman"/>
          <w:color w:val="575B5F"/>
          <w:szCs w:val="24"/>
          <w:vertAlign w:val="superscript"/>
        </w:rPr>
        <w:t>81</w:t>
      </w:r>
      <w:r w:rsidRPr="001C2717">
        <w:t>, dhe duke u përshpejtuar më vonë. Rritja reale e PBB-së arriti në 4.4% në vitin 2024</w:t>
      </w:r>
      <w:r w:rsidR="00671F59">
        <w:t>/2</w:t>
      </w:r>
      <w:r w:rsidRPr="001C2717">
        <w:t>5</w:t>
      </w:r>
      <w:r w:rsidR="00671F59">
        <w:t xml:space="preserve"> </w:t>
      </w:r>
      <w:r w:rsidRPr="001C2717">
        <w:t>dhe parashikohet të mbetet e fortë në rreth 4% në vitin 2025 dhe në planin afatmesëm</w:t>
      </w:r>
      <w:r w:rsidRPr="001C2717">
        <w:rPr>
          <w:rFonts w:eastAsia="Google Sans Text" w:cs="Times New Roman"/>
          <w:color w:val="575B5F"/>
          <w:szCs w:val="24"/>
          <w:vertAlign w:val="superscript"/>
        </w:rPr>
        <w:t>55</w:t>
      </w:r>
      <w:r w:rsidRPr="001C2717">
        <w:t>.</w:t>
      </w:r>
    </w:p>
    <w:p w:rsidR="001E4A2F" w:rsidRPr="001C2717" w:rsidRDefault="001E4A2F" w:rsidP="001C2717">
      <w:pPr>
        <w:pBdr>
          <w:top w:val="nil"/>
          <w:left w:val="nil"/>
          <w:bottom w:val="nil"/>
          <w:right w:val="nil"/>
          <w:between w:val="nil"/>
        </w:pBdr>
      </w:pPr>
      <w:r w:rsidRPr="001C2717">
        <w:t>Aktiviteti ekonomik drejtohet ndjeshëm nga kërkesa e brendshme, veçanërisht nga konsumi i fuqishëm privat.</w:t>
      </w:r>
      <w:r w:rsidR="00671F59" w:rsidRPr="00671F59">
        <w:rPr>
          <w:rFonts w:eastAsia="Google Sans Text" w:cs="Times New Roman"/>
          <w:color w:val="575B5F"/>
          <w:szCs w:val="24"/>
          <w:vertAlign w:val="superscript"/>
        </w:rPr>
        <w:t xml:space="preserve"> </w:t>
      </w:r>
      <w:r w:rsidR="00671F59" w:rsidRPr="001C2717">
        <w:rPr>
          <w:rFonts w:eastAsia="Google Sans Text" w:cs="Times New Roman"/>
          <w:color w:val="575B5F"/>
          <w:szCs w:val="24"/>
          <w:vertAlign w:val="superscript"/>
        </w:rPr>
        <w:t>81</w:t>
      </w:r>
      <w:r w:rsidR="001C2717" w:rsidRPr="001C2717">
        <w:t xml:space="preserve"> K</w:t>
      </w:r>
      <w:r w:rsidRPr="001C2717">
        <w:t>y konsum nxitet nga disa faktorë, duke përfshirë flukset e konsiderueshme të remitancave nga diaspora e madhe e Kosovës, rritjen e të ardhurave reale të mbështetura nga papunësia më e ulët dhe deinflacioni i ndjeshëm pas rritjes pas pandemisë, si dhe rritjen e qëndrueshme të kreditimit të konsumatorëve.</w:t>
      </w:r>
      <w:r w:rsidRPr="001C2717">
        <w:rPr>
          <w:rFonts w:eastAsia="Google Sans Text" w:cs="Times New Roman"/>
          <w:color w:val="575B5F"/>
          <w:szCs w:val="24"/>
          <w:vertAlign w:val="superscript"/>
        </w:rPr>
        <w:t>81</w:t>
      </w:r>
      <w:r w:rsidR="001C2717" w:rsidRPr="001C2717">
        <w:t xml:space="preserve"> I</w:t>
      </w:r>
      <w:r w:rsidRPr="001C2717">
        <w:t>nvestimet publike dhe private gjithashtu kontribuojnë pozitivisht në rritje.</w:t>
      </w:r>
      <w:r w:rsidRPr="001C2717">
        <w:rPr>
          <w:rFonts w:eastAsia="Google Sans Text" w:cs="Times New Roman"/>
          <w:color w:val="575B5F"/>
          <w:szCs w:val="24"/>
          <w:vertAlign w:val="superscript"/>
        </w:rPr>
        <w:t>81</w:t>
      </w:r>
      <w:r w:rsidR="001C2717" w:rsidRPr="001C2717">
        <w:t xml:space="preserve"> I</w:t>
      </w:r>
      <w:r w:rsidRPr="001C2717">
        <w:t>nflacioni, i cili arriti kulmin mbi 14% në mesin e vitit 2022</w:t>
      </w:r>
      <w:r w:rsidRPr="001C2717">
        <w:rPr>
          <w:rFonts w:eastAsia="Google Sans Text" w:cs="Times New Roman"/>
          <w:color w:val="575B5F"/>
          <w:szCs w:val="24"/>
          <w:vertAlign w:val="superscript"/>
        </w:rPr>
        <w:t>83</w:t>
      </w:r>
      <w:r w:rsidRPr="001C2717">
        <w:t>, u ngadalësua me shpejtësi në një mesatare prej rreth 1.6-1.8% në vitin 2024</w:t>
      </w:r>
      <w:r w:rsidRPr="001C2717">
        <w:rPr>
          <w:rFonts w:eastAsia="Google Sans Text" w:cs="Times New Roman"/>
          <w:color w:val="575B5F"/>
          <w:szCs w:val="24"/>
          <w:vertAlign w:val="superscript"/>
        </w:rPr>
        <w:t>55</w:t>
      </w:r>
      <w:r w:rsidRPr="001C2717">
        <w:t>, me parashikimet që sugjerojnë se do të mbetet pranë objektivit prej 2% të BQE-së</w:t>
      </w:r>
      <w:r w:rsidRPr="001C2717">
        <w:rPr>
          <w:rFonts w:eastAsia="Google Sans Text" w:cs="Times New Roman"/>
          <w:color w:val="575B5F"/>
          <w:szCs w:val="24"/>
          <w:vertAlign w:val="superscript"/>
        </w:rPr>
        <w:t>84</w:t>
      </w:r>
      <w:r w:rsidRPr="001C2717">
        <w:t>.</w:t>
      </w:r>
    </w:p>
    <w:p w:rsidR="001E4A2F" w:rsidRPr="001C2717" w:rsidRDefault="001E4A2F" w:rsidP="001C2717">
      <w:pPr>
        <w:pBdr>
          <w:top w:val="nil"/>
          <w:left w:val="nil"/>
          <w:bottom w:val="nil"/>
          <w:right w:val="nil"/>
          <w:between w:val="nil"/>
        </w:pBdr>
      </w:pPr>
      <w:r w:rsidRPr="001C2717">
        <w:t>Sektori financiar, veçanërisht bankat, raportohet të jetë në një gjendje të shëndetshme. Bankat përshkruhen vazhdimisht si të qëndrueshme, fitimprurëse, të kapitalizuara mirë dhe likuide.</w:t>
      </w:r>
      <w:r w:rsidRPr="001C2717">
        <w:rPr>
          <w:rFonts w:eastAsia="Google Sans Text" w:cs="Times New Roman"/>
          <w:color w:val="575B5F"/>
          <w:szCs w:val="24"/>
          <w:vertAlign w:val="superscript"/>
        </w:rPr>
        <w:t>55</w:t>
      </w:r>
      <w:r w:rsidR="001C2717" w:rsidRPr="001C2717">
        <w:t xml:space="preserve"> R</w:t>
      </w:r>
      <w:r w:rsidRPr="001C2717">
        <w:t>aportet e mjaftueshmërisë së kapitalit mbeten lehtësisht mbi minimumin rregullator (p.sh., 16.9% në shtator 2020)</w:t>
      </w:r>
      <w:r w:rsidRPr="001C2717">
        <w:rPr>
          <w:rFonts w:eastAsia="Google Sans Text" w:cs="Times New Roman"/>
          <w:color w:val="575B5F"/>
          <w:szCs w:val="24"/>
          <w:vertAlign w:val="superscript"/>
        </w:rPr>
        <w:t>75</w:t>
      </w:r>
      <w:r w:rsidR="001C2717" w:rsidRPr="001C2717">
        <w:t xml:space="preserve"> Ç</w:t>
      </w:r>
      <w:r w:rsidRPr="001C2717">
        <w:t>ështja kryesore është se niveli i kredive me probleme (NPL) është i ulët, i raportuar në 2.7% në shtator 2020.</w:t>
      </w:r>
      <w:r w:rsidRPr="001C2717">
        <w:rPr>
          <w:rFonts w:eastAsia="Google Sans Text" w:cs="Times New Roman"/>
          <w:color w:val="575B5F"/>
          <w:szCs w:val="24"/>
          <w:vertAlign w:val="superscript"/>
        </w:rPr>
        <w:t>75</w:t>
      </w:r>
      <w:r w:rsidR="001C2717" w:rsidRPr="001C2717">
        <w:t xml:space="preserve"> d</w:t>
      </w:r>
      <w:r w:rsidRPr="001C2717">
        <w:t>he edhe më e ulët në 1.8% në dhjetor 2024</w:t>
      </w:r>
      <w:r w:rsidRPr="001C2717">
        <w:rPr>
          <w:rFonts w:eastAsia="Google Sans Text" w:cs="Times New Roman"/>
          <w:color w:val="575B5F"/>
          <w:szCs w:val="24"/>
          <w:vertAlign w:val="superscript"/>
        </w:rPr>
        <w:t>87</w:t>
      </w:r>
      <w:r w:rsidRPr="001C2717">
        <w:t>, duke treguar cilësi të mirë të aseteve brenda portofoleve të kredisë.</w:t>
      </w:r>
    </w:p>
    <w:p w:rsidR="001E4A2F" w:rsidRPr="001C2717" w:rsidRDefault="001E4A2F" w:rsidP="001C2717">
      <w:pPr>
        <w:pBdr>
          <w:top w:val="nil"/>
          <w:left w:val="nil"/>
          <w:bottom w:val="nil"/>
          <w:right w:val="nil"/>
          <w:between w:val="nil"/>
        </w:pBdr>
      </w:pPr>
      <w:r w:rsidRPr="001C2717">
        <w:lastRenderedPageBreak/>
        <w:t>Në këtë sfond, rritja e kredisë ka qenë dukshëm e fortë. Totali i kredive të papaguara u rrit me 18.74% nga viti në vit në janar 2025.</w:t>
      </w:r>
      <w:r w:rsidRPr="001C2717">
        <w:rPr>
          <w:rFonts w:eastAsia="Google Sans Text" w:cs="Times New Roman"/>
          <w:color w:val="575B5F"/>
          <w:szCs w:val="24"/>
          <w:vertAlign w:val="superscript"/>
        </w:rPr>
        <w:t>88</w:t>
      </w:r>
      <w:r w:rsidR="001C2717" w:rsidRPr="001C2717">
        <w:t xml:space="preserve"> K</w:t>
      </w:r>
      <w:r w:rsidRPr="001C2717">
        <w:t>y zgjerim i shpejtë reflektohet në raportin e kredisë ndaj PBB-së së sektorit privat, i cili tejkaloi 56% në vitin 2024.</w:t>
      </w:r>
      <w:r w:rsidRPr="001C2717">
        <w:rPr>
          <w:rFonts w:eastAsia="Google Sans Text" w:cs="Times New Roman"/>
          <w:color w:val="575B5F"/>
          <w:szCs w:val="24"/>
          <w:vertAlign w:val="superscript"/>
        </w:rPr>
        <w:t>55</w:t>
      </w:r>
      <w:r w:rsidRPr="001C2717">
        <w:t>, pas një rritjeje reale prej 17% të kredisë për sektorin privat gjatë vitit 2023</w:t>
      </w:r>
      <w:r w:rsidRPr="001C2717">
        <w:rPr>
          <w:rFonts w:eastAsia="Google Sans Text" w:cs="Times New Roman"/>
          <w:color w:val="575B5F"/>
          <w:szCs w:val="24"/>
          <w:vertAlign w:val="superscript"/>
        </w:rPr>
        <w:t>55</w:t>
      </w:r>
      <w:r w:rsidR="001C2717" w:rsidRPr="001C2717">
        <w:t xml:space="preserve"> K</w:t>
      </w:r>
      <w:r w:rsidRPr="001C2717">
        <w:t>reditimi për familjet ka qenë një pjesë e rëndësishme e kësaj rritjeje, me kreditë e papaguara për familjet që arritën në 2.34 miliardë euro deri në fund të vitit 2024.</w:t>
      </w:r>
      <w:r w:rsidRPr="001C2717">
        <w:rPr>
          <w:rFonts w:eastAsia="Google Sans Text" w:cs="Times New Roman"/>
          <w:color w:val="575B5F"/>
          <w:szCs w:val="24"/>
          <w:vertAlign w:val="superscript"/>
        </w:rPr>
        <w:t>89</w:t>
      </w:r>
      <w:r w:rsidRPr="001C2717">
        <w:t>.</w:t>
      </w:r>
    </w:p>
    <w:p w:rsidR="001E4A2F" w:rsidRPr="001C2717" w:rsidRDefault="001E4A2F" w:rsidP="001C2717">
      <w:pPr>
        <w:pBdr>
          <w:top w:val="nil"/>
          <w:left w:val="nil"/>
          <w:bottom w:val="nil"/>
          <w:right w:val="nil"/>
          <w:between w:val="nil"/>
        </w:pBdr>
      </w:pPr>
      <w:r w:rsidRPr="001C2717">
        <w:t>Kombinimi i një sistemi bankar të qëndrueshëm dhe të kapitalizuar mirë, rritjes së fortë ekonomike themelore të nxitur nga konsumi dhe inflacionit në rënie krijon një mjedis përgjithësisht pozitiv për zgjerimin e vazhdueshëm të tregut të kredive personale. Megjithatë, ritmi i shpejtë i rritjes së kredisë, ndërsa mbështet aktivitetin ekonomik dhe thellimin financiar, meriton monitorim të kujdesshëm. Mbështetja në konsum dhe hyrjet e konsiderueshme të remitancave si nxitës të rritjes, së bashku me një deficit të llogarisë rrjedhëse të jashtme në zgjerim të nxitur nga kërkesa e brendshme.</w:t>
      </w:r>
      <w:r w:rsidRPr="001C2717">
        <w:rPr>
          <w:rFonts w:eastAsia="Google Sans Text" w:cs="Times New Roman"/>
          <w:color w:val="575B5F"/>
          <w:szCs w:val="24"/>
          <w:vertAlign w:val="superscript"/>
        </w:rPr>
        <w:t>55</w:t>
      </w:r>
      <w:r w:rsidRPr="001C2717">
        <w:t>, tregon dobësi të mundshme. Organet ndërkombëtare si FMN-ja rekomandojnë në mënyrë të qartë vigjilencë të vazhdueshme dhe mbikëqyrje të fortë të sektorit financiar nga BQK-ja për të menaxhuar rreziqet e mundshme që dalin nga ky zgjerim i shpejtë i kredisë, madje edhe mes treguesve aktualisht të shëndetshëm të sektorit.</w:t>
      </w:r>
      <w:r w:rsidRPr="001C2717">
        <w:rPr>
          <w:rFonts w:eastAsia="Google Sans Text" w:cs="Times New Roman"/>
          <w:color w:val="575B5F"/>
          <w:szCs w:val="24"/>
          <w:vertAlign w:val="superscript"/>
        </w:rPr>
        <w:t>55</w:t>
      </w:r>
      <w:r w:rsidRPr="001C2717">
        <w:t>.</w:t>
      </w:r>
    </w:p>
    <w:p w:rsidR="00B16F31" w:rsidRDefault="00B16F31"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1C2717"/>
    <w:p w:rsidR="001C2717" w:rsidRDefault="001C2717" w:rsidP="003838A9">
      <w:pPr>
        <w:pStyle w:val="Heading2"/>
      </w:pPr>
      <w:bookmarkStart w:id="13" w:name="_Toc198558474"/>
      <w:r w:rsidRPr="001C2717">
        <w:lastRenderedPageBreak/>
        <w:t xml:space="preserve">Seksioni 2.2: </w:t>
      </w:r>
      <w:r w:rsidR="006E0EA1" w:rsidRPr="006E0EA1">
        <w:t>Aktorët Kryesorë në Tregun e Kredive Personale</w:t>
      </w:r>
      <w:bookmarkEnd w:id="13"/>
    </w:p>
    <w:p w:rsidR="001C2717" w:rsidRPr="0014475F" w:rsidRDefault="0014475F" w:rsidP="0014475F">
      <w:pPr>
        <w:rPr>
          <w:lang w:val="en-US"/>
        </w:rPr>
      </w:pPr>
      <w:proofErr w:type="spellStart"/>
      <w:r w:rsidRPr="0014475F">
        <w:rPr>
          <w:lang w:val="en-US"/>
        </w:rPr>
        <w:t>Ofrimi</w:t>
      </w:r>
      <w:proofErr w:type="spellEnd"/>
      <w:r w:rsidRPr="0014475F">
        <w:rPr>
          <w:lang w:val="en-US"/>
        </w:rPr>
        <w:t xml:space="preserve"> </w:t>
      </w:r>
      <w:proofErr w:type="spellStart"/>
      <w:r w:rsidRPr="0014475F">
        <w:rPr>
          <w:lang w:val="en-US"/>
        </w:rPr>
        <w:t>i</w:t>
      </w:r>
      <w:proofErr w:type="spellEnd"/>
      <w:r w:rsidRPr="0014475F">
        <w:rPr>
          <w:lang w:val="en-US"/>
        </w:rPr>
        <w:t xml:space="preserve"> </w:t>
      </w:r>
      <w:proofErr w:type="spellStart"/>
      <w:r w:rsidRPr="0014475F">
        <w:rPr>
          <w:lang w:val="en-US"/>
        </w:rPr>
        <w:t>kredive</w:t>
      </w:r>
      <w:proofErr w:type="spellEnd"/>
      <w:r w:rsidRPr="0014475F">
        <w:rPr>
          <w:lang w:val="en-US"/>
        </w:rPr>
        <w:t xml:space="preserve"> </w:t>
      </w:r>
      <w:proofErr w:type="spellStart"/>
      <w:r w:rsidRPr="0014475F">
        <w:rPr>
          <w:lang w:val="en-US"/>
        </w:rPr>
        <w:t>personale</w:t>
      </w:r>
      <w:proofErr w:type="spellEnd"/>
      <w:r w:rsidRPr="0014475F">
        <w:rPr>
          <w:lang w:val="en-US"/>
        </w:rPr>
        <w:t xml:space="preserve"> </w:t>
      </w:r>
      <w:proofErr w:type="spellStart"/>
      <w:r w:rsidRPr="0014475F">
        <w:rPr>
          <w:lang w:val="en-US"/>
        </w:rPr>
        <w:t>në</w:t>
      </w:r>
      <w:proofErr w:type="spellEnd"/>
      <w:r w:rsidRPr="0014475F">
        <w:rPr>
          <w:lang w:val="en-US"/>
        </w:rPr>
        <w:t xml:space="preserve"> </w:t>
      </w:r>
      <w:proofErr w:type="spellStart"/>
      <w:r w:rsidRPr="0014475F">
        <w:rPr>
          <w:lang w:val="en-US"/>
        </w:rPr>
        <w:t>Kosovë</w:t>
      </w:r>
      <w:proofErr w:type="spellEnd"/>
      <w:r w:rsidRPr="0014475F">
        <w:rPr>
          <w:lang w:val="en-US"/>
        </w:rPr>
        <w:t xml:space="preserve"> </w:t>
      </w:r>
      <w:proofErr w:type="spellStart"/>
      <w:r w:rsidRPr="0014475F">
        <w:rPr>
          <w:lang w:val="en-US"/>
        </w:rPr>
        <w:t>dominohet</w:t>
      </w:r>
      <w:proofErr w:type="spellEnd"/>
      <w:r w:rsidRPr="0014475F">
        <w:rPr>
          <w:lang w:val="en-US"/>
        </w:rPr>
        <w:t xml:space="preserve"> </w:t>
      </w:r>
      <w:proofErr w:type="spellStart"/>
      <w:r w:rsidRPr="0014475F">
        <w:rPr>
          <w:lang w:val="en-US"/>
        </w:rPr>
        <w:t>nga</w:t>
      </w:r>
      <w:proofErr w:type="spellEnd"/>
      <w:r w:rsidRPr="0014475F">
        <w:rPr>
          <w:lang w:val="en-US"/>
        </w:rPr>
        <w:t xml:space="preserve"> </w:t>
      </w:r>
      <w:proofErr w:type="spellStart"/>
      <w:r w:rsidRPr="0014475F">
        <w:rPr>
          <w:lang w:val="en-US"/>
        </w:rPr>
        <w:t>bankat</w:t>
      </w:r>
      <w:proofErr w:type="spellEnd"/>
      <w:r w:rsidRPr="0014475F">
        <w:rPr>
          <w:lang w:val="en-US"/>
        </w:rPr>
        <w:t xml:space="preserve"> </w:t>
      </w:r>
      <w:proofErr w:type="spellStart"/>
      <w:r w:rsidRPr="0014475F">
        <w:rPr>
          <w:lang w:val="en-US"/>
        </w:rPr>
        <w:t>komerciale</w:t>
      </w:r>
      <w:proofErr w:type="spellEnd"/>
      <w:r w:rsidRPr="0014475F">
        <w:rPr>
          <w:lang w:val="en-US"/>
        </w:rPr>
        <w:t xml:space="preserve"> me </w:t>
      </w:r>
      <w:proofErr w:type="spellStart"/>
      <w:r w:rsidRPr="0014475F">
        <w:rPr>
          <w:lang w:val="en-US"/>
        </w:rPr>
        <w:t>pronësi</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huaj</w:t>
      </w:r>
      <w:proofErr w:type="spellEnd"/>
      <w:r w:rsidRPr="0014475F">
        <w:rPr>
          <w:lang w:val="en-US"/>
        </w:rPr>
        <w:t xml:space="preserve"> </w:t>
      </w:r>
      <w:proofErr w:type="spellStart"/>
      <w:r w:rsidRPr="0014475F">
        <w:rPr>
          <w:lang w:val="en-US"/>
        </w:rPr>
        <w:t>dhe</w:t>
      </w:r>
      <w:proofErr w:type="spellEnd"/>
      <w:r w:rsidRPr="0014475F">
        <w:rPr>
          <w:lang w:val="en-US"/>
        </w:rPr>
        <w:t xml:space="preserve"> </w:t>
      </w:r>
      <w:proofErr w:type="spellStart"/>
      <w:r w:rsidRPr="0014475F">
        <w:rPr>
          <w:lang w:val="en-US"/>
        </w:rPr>
        <w:t>institucione</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mikrofinancës</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cilat</w:t>
      </w:r>
      <w:proofErr w:type="spellEnd"/>
      <w:r w:rsidRPr="0014475F">
        <w:rPr>
          <w:lang w:val="en-US"/>
        </w:rPr>
        <w:t xml:space="preserve"> </w:t>
      </w:r>
      <w:proofErr w:type="spellStart"/>
      <w:r w:rsidRPr="0014475F">
        <w:rPr>
          <w:lang w:val="en-US"/>
        </w:rPr>
        <w:t>së</w:t>
      </w:r>
      <w:proofErr w:type="spellEnd"/>
      <w:r w:rsidRPr="0014475F">
        <w:rPr>
          <w:lang w:val="en-US"/>
        </w:rPr>
        <w:t xml:space="preserve"> </w:t>
      </w:r>
      <w:proofErr w:type="spellStart"/>
      <w:r w:rsidRPr="0014475F">
        <w:rPr>
          <w:lang w:val="en-US"/>
        </w:rPr>
        <w:t>bashku</w:t>
      </w:r>
      <w:proofErr w:type="spellEnd"/>
      <w:r w:rsidRPr="0014475F">
        <w:rPr>
          <w:lang w:val="en-US"/>
        </w:rPr>
        <w:t xml:space="preserve"> </w:t>
      </w:r>
      <w:proofErr w:type="spellStart"/>
      <w:r w:rsidRPr="0014475F">
        <w:rPr>
          <w:lang w:val="en-US"/>
        </w:rPr>
        <w:t>përbëjnë</w:t>
      </w:r>
      <w:proofErr w:type="spellEnd"/>
      <w:r w:rsidRPr="0014475F">
        <w:rPr>
          <w:lang w:val="en-US"/>
        </w:rPr>
        <w:t xml:space="preserve"> </w:t>
      </w:r>
      <w:proofErr w:type="spellStart"/>
      <w:r w:rsidRPr="0014475F">
        <w:rPr>
          <w:lang w:val="en-US"/>
        </w:rPr>
        <w:t>shtyllat</w:t>
      </w:r>
      <w:proofErr w:type="spellEnd"/>
      <w:r w:rsidRPr="0014475F">
        <w:rPr>
          <w:lang w:val="en-US"/>
        </w:rPr>
        <w:t xml:space="preserve"> </w:t>
      </w:r>
      <w:proofErr w:type="spellStart"/>
      <w:r w:rsidRPr="0014475F">
        <w:rPr>
          <w:lang w:val="en-US"/>
        </w:rPr>
        <w:t>kryesore</w:t>
      </w:r>
      <w:proofErr w:type="spellEnd"/>
      <w:r w:rsidRPr="0014475F">
        <w:rPr>
          <w:lang w:val="en-US"/>
        </w:rPr>
        <w:t xml:space="preserve"> </w:t>
      </w:r>
      <w:proofErr w:type="spellStart"/>
      <w:r w:rsidRPr="0014475F">
        <w:rPr>
          <w:lang w:val="en-US"/>
        </w:rPr>
        <w:t>të</w:t>
      </w:r>
      <w:proofErr w:type="spellEnd"/>
      <w:r w:rsidRPr="0014475F">
        <w:rPr>
          <w:lang w:val="en-US"/>
        </w:rPr>
        <w:t xml:space="preserve"> </w:t>
      </w:r>
      <w:proofErr w:type="spellStart"/>
      <w:r w:rsidRPr="0014475F">
        <w:rPr>
          <w:lang w:val="en-US"/>
        </w:rPr>
        <w:t>qasjes</w:t>
      </w:r>
      <w:proofErr w:type="spellEnd"/>
      <w:r w:rsidRPr="0014475F">
        <w:rPr>
          <w:lang w:val="en-US"/>
        </w:rPr>
        <w:t xml:space="preserve"> </w:t>
      </w:r>
      <w:proofErr w:type="spellStart"/>
      <w:r w:rsidRPr="0014475F">
        <w:rPr>
          <w:lang w:val="en-US"/>
        </w:rPr>
        <w:t>në</w:t>
      </w:r>
      <w:proofErr w:type="spellEnd"/>
      <w:r w:rsidRPr="0014475F">
        <w:rPr>
          <w:lang w:val="en-US"/>
        </w:rPr>
        <w:t xml:space="preserve"> </w:t>
      </w:r>
      <w:proofErr w:type="spellStart"/>
      <w:r w:rsidRPr="0014475F">
        <w:rPr>
          <w:lang w:val="en-US"/>
        </w:rPr>
        <w:t>financa</w:t>
      </w:r>
      <w:proofErr w:type="spellEnd"/>
      <w:r w:rsidRPr="0014475F">
        <w:rPr>
          <w:lang w:val="en-US"/>
        </w:rPr>
        <w:t xml:space="preserve"> </w:t>
      </w:r>
      <w:proofErr w:type="spellStart"/>
      <w:r w:rsidRPr="0014475F">
        <w:rPr>
          <w:lang w:val="en-US"/>
        </w:rPr>
        <w:t>për</w:t>
      </w:r>
      <w:proofErr w:type="spellEnd"/>
      <w:r w:rsidRPr="0014475F">
        <w:rPr>
          <w:lang w:val="en-US"/>
        </w:rPr>
        <w:t xml:space="preserve"> </w:t>
      </w:r>
      <w:proofErr w:type="spellStart"/>
      <w:r w:rsidRPr="0014475F">
        <w:rPr>
          <w:lang w:val="en-US"/>
        </w:rPr>
        <w:t>individët</w:t>
      </w:r>
      <w:proofErr w:type="spellEnd"/>
      <w:r w:rsidRPr="0014475F">
        <w:rPr>
          <w:lang w:val="en-US"/>
        </w:rPr>
        <w:t xml:space="preserve"> </w:t>
      </w:r>
      <w:proofErr w:type="spellStart"/>
      <w:r w:rsidRPr="0014475F">
        <w:rPr>
          <w:lang w:val="en-US"/>
        </w:rPr>
        <w:t>dhe</w:t>
      </w:r>
      <w:proofErr w:type="spellEnd"/>
      <w:r w:rsidRPr="0014475F">
        <w:rPr>
          <w:lang w:val="en-US"/>
        </w:rPr>
        <w:t xml:space="preserve"> </w:t>
      </w:r>
      <w:proofErr w:type="spellStart"/>
      <w:r w:rsidRPr="0014475F">
        <w:rPr>
          <w:lang w:val="en-US"/>
        </w:rPr>
        <w:t>familjet</w:t>
      </w:r>
      <w:proofErr w:type="spellEnd"/>
      <w:r w:rsidRPr="0014475F">
        <w:rPr>
          <w:lang w:val="en-US"/>
        </w:rPr>
        <w:t>.</w:t>
      </w:r>
    </w:p>
    <w:p w:rsidR="001C2717" w:rsidRPr="001C2717" w:rsidRDefault="001C2717" w:rsidP="008800BE">
      <w:pPr>
        <w:widowControl w:val="0"/>
        <w:numPr>
          <w:ilvl w:val="0"/>
          <w:numId w:val="29"/>
        </w:numPr>
        <w:pBdr>
          <w:top w:val="nil"/>
          <w:left w:val="nil"/>
          <w:bottom w:val="nil"/>
          <w:right w:val="nil"/>
          <w:between w:val="nil"/>
        </w:pBdr>
        <w:spacing w:after="120"/>
        <w:jc w:val="left"/>
        <w:rPr>
          <w:b/>
          <w:bCs/>
        </w:rPr>
      </w:pPr>
      <w:r w:rsidRPr="001C2717">
        <w:rPr>
          <w:b/>
          <w:bCs/>
        </w:rPr>
        <w:t>2.2.1 Bankat kryesore</w:t>
      </w:r>
      <w:r>
        <w:rPr>
          <w:rFonts w:ascii="Google Sans Text" w:eastAsia="Google Sans Text" w:hAnsi="Google Sans Text"/>
          <w:b/>
          <w:szCs w:val="24"/>
        </w:rPr>
        <w:t xml:space="preserve"> </w:t>
      </w:r>
      <w:r w:rsidRPr="001C2717">
        <w:rPr>
          <w:b/>
          <w:bCs/>
        </w:rPr>
        <w:t>tregtare</w:t>
      </w:r>
    </w:p>
    <w:p w:rsidR="001C2717" w:rsidRPr="001C2717" w:rsidRDefault="001C2717" w:rsidP="008800BE">
      <w:pPr>
        <w:pBdr>
          <w:top w:val="nil"/>
          <w:left w:val="nil"/>
          <w:bottom w:val="nil"/>
          <w:right w:val="nil"/>
          <w:between w:val="nil"/>
        </w:pBdr>
        <w:spacing w:before="240" w:after="120"/>
      </w:pPr>
      <w:r w:rsidRPr="001C2717">
        <w:t>Siç u përmend më parë, sektori bankar dominohet nga institucione me pronësi të huaj.</w:t>
      </w:r>
      <w:r w:rsidRPr="001C2717">
        <w:rPr>
          <w:rFonts w:eastAsia="Google Sans Text" w:cs="Times New Roman"/>
          <w:color w:val="575B5F"/>
          <w:szCs w:val="24"/>
          <w:vertAlign w:val="superscript"/>
        </w:rPr>
        <w:t>62</w:t>
      </w:r>
      <w:r w:rsidRPr="001C2717">
        <w:t xml:space="preserve"> Këto banka, duke shfrytëzuar rrjetet dhe ekspertizën e tyre ndërkombëtare, janë ofruesit kryesorë të produkteve të kredisë personale për konsumatorët kosovarë. Bankat kryesore tregtare aktive në treg përfshijnë:</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Banka Raiffeisen në Kosovë:</w:t>
      </w:r>
      <w:r w:rsidRPr="008800BE">
        <w:t xml:space="preserve"> Pjesë e grupit austriak Raiffeisen Bank International, ajo përshkruhet si banka më e madhe në Kosovë bazuar në treguesit financiarë.</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Banka ProCredit:</w:t>
      </w:r>
      <w:r w:rsidR="008800BE" w:rsidRPr="008800BE">
        <w:t xml:space="preserve"> </w:t>
      </w:r>
      <w:r w:rsidRPr="008800BE">
        <w:t>Një anëtar i grupit ProCredit me seli në Gjermani, i fokusuar në ndërmarrjet e vogla dhe të mesme, por edhe në shërbimin ndaj klientëve privatë.</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NLB Banka:</w:t>
      </w:r>
      <w:r w:rsidR="008800BE" w:rsidRPr="008800BE">
        <w:t xml:space="preserve"> </w:t>
      </w:r>
      <w:r w:rsidRPr="008800BE">
        <w:t>Pjesë e Grupit Slloven NLB</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TEB SH.A.:</w:t>
      </w:r>
      <w:r w:rsidR="008800BE" w:rsidRPr="008800BE">
        <w:t xml:space="preserve"> </w:t>
      </w:r>
      <w:r w:rsidRPr="008800BE">
        <w:t>Një degë e Bankës Turke të Ekonomisë</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Dega e Bankës Kombëtare Tregtare (BKT) në Kosovë:</w:t>
      </w:r>
      <w:r w:rsidR="008800BE" w:rsidRPr="008800BE">
        <w:t xml:space="preserve"> </w:t>
      </w:r>
      <w:r w:rsidRPr="008800BE">
        <w:t>Pjesë e BKT-së, e cila ka pronësi shqiptare dhe turke</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0"/>
        </w:numPr>
        <w:pBdr>
          <w:top w:val="nil"/>
          <w:left w:val="nil"/>
          <w:bottom w:val="nil"/>
          <w:right w:val="nil"/>
          <w:between w:val="nil"/>
        </w:pBdr>
        <w:spacing w:after="0"/>
        <w:jc w:val="left"/>
      </w:pPr>
      <w:r w:rsidRPr="008800BE">
        <w:rPr>
          <w:b/>
          <w:bCs/>
        </w:rPr>
        <w:t>Dega e Bankës Ziraat në Kosovë:</w:t>
      </w:r>
      <w:r w:rsidR="008800BE" w:rsidRPr="008800BE">
        <w:t xml:space="preserve"> </w:t>
      </w:r>
      <w:r w:rsidRPr="008800BE">
        <w:t>Pjesë e Bankës shtetërore turke Ziraat</w:t>
      </w:r>
      <w:r w:rsidRPr="008800BE">
        <w:rPr>
          <w:rFonts w:eastAsia="Google Sans Text" w:cs="Times New Roman"/>
          <w:color w:val="575B5F"/>
          <w:szCs w:val="24"/>
          <w:vertAlign w:val="superscript"/>
        </w:rPr>
        <w:t>65</w:t>
      </w:r>
      <w:r w:rsidRPr="008800BE">
        <w:t>.</w:t>
      </w:r>
    </w:p>
    <w:p w:rsidR="001C2717" w:rsidRPr="008800BE" w:rsidRDefault="001C2717" w:rsidP="008800BE">
      <w:pPr>
        <w:widowControl w:val="0"/>
        <w:numPr>
          <w:ilvl w:val="0"/>
          <w:numId w:val="30"/>
        </w:numPr>
        <w:pBdr>
          <w:top w:val="nil"/>
          <w:left w:val="nil"/>
          <w:bottom w:val="nil"/>
          <w:right w:val="nil"/>
          <w:between w:val="nil"/>
        </w:pBdr>
        <w:spacing w:after="120"/>
        <w:jc w:val="left"/>
      </w:pPr>
      <w:r w:rsidRPr="008800BE">
        <w:rPr>
          <w:b/>
          <w:bCs/>
        </w:rPr>
        <w:t>Banka Turkiye Is, Dega në Kosovë:</w:t>
      </w:r>
      <w:r w:rsidR="008800BE" w:rsidRPr="008800BE">
        <w:t xml:space="preserve"> </w:t>
      </w:r>
      <w:r w:rsidRPr="008800BE">
        <w:t>Pjesë e Isbank të Turqisë</w:t>
      </w:r>
      <w:r w:rsidRPr="008800BE">
        <w:rPr>
          <w:rFonts w:eastAsia="Google Sans Text" w:cs="Times New Roman"/>
          <w:color w:val="575B5F"/>
          <w:szCs w:val="24"/>
          <w:vertAlign w:val="superscript"/>
        </w:rPr>
        <w:t>51</w:t>
      </w:r>
      <w:r w:rsidRPr="008800BE">
        <w:t>.</w:t>
      </w:r>
    </w:p>
    <w:p w:rsidR="001C2717" w:rsidRDefault="001C2717" w:rsidP="008800BE">
      <w:r>
        <w:t>Përveç këtyre subjekteve në pronësi të huaj, në treg konkurrojnë edhe bankat vendase:</w:t>
      </w:r>
    </w:p>
    <w:p w:rsidR="001C2717" w:rsidRPr="008800BE" w:rsidRDefault="001C2717" w:rsidP="008800BE">
      <w:pPr>
        <w:widowControl w:val="0"/>
        <w:numPr>
          <w:ilvl w:val="0"/>
          <w:numId w:val="31"/>
        </w:numPr>
        <w:pBdr>
          <w:top w:val="nil"/>
          <w:left w:val="nil"/>
          <w:bottom w:val="nil"/>
          <w:right w:val="nil"/>
          <w:between w:val="nil"/>
        </w:pBdr>
        <w:spacing w:after="0"/>
        <w:jc w:val="left"/>
      </w:pPr>
      <w:r w:rsidRPr="008800BE">
        <w:rPr>
          <w:b/>
          <w:bCs/>
        </w:rPr>
        <w:t>Banka për Biznes (BPB):</w:t>
      </w:r>
      <w:r w:rsidR="008800BE" w:rsidRPr="008800BE">
        <w:t xml:space="preserve"> </w:t>
      </w:r>
      <w:r w:rsidRPr="008800BE">
        <w:t>Një bankë me seli në Kosovë</w:t>
      </w:r>
      <w:r w:rsidRPr="008800BE">
        <w:rPr>
          <w:rFonts w:eastAsia="Google Sans Text" w:cs="Times New Roman"/>
          <w:color w:val="575B5F"/>
          <w:szCs w:val="24"/>
          <w:vertAlign w:val="superscript"/>
        </w:rPr>
        <w:t>51</w:t>
      </w:r>
      <w:r w:rsidRPr="008800BE">
        <w:t>.</w:t>
      </w:r>
    </w:p>
    <w:p w:rsidR="001C2717" w:rsidRPr="008800BE" w:rsidRDefault="001C2717" w:rsidP="008800BE">
      <w:pPr>
        <w:widowControl w:val="0"/>
        <w:numPr>
          <w:ilvl w:val="0"/>
          <w:numId w:val="31"/>
        </w:numPr>
        <w:pBdr>
          <w:top w:val="nil"/>
          <w:left w:val="nil"/>
          <w:bottom w:val="nil"/>
          <w:right w:val="nil"/>
          <w:between w:val="nil"/>
        </w:pBdr>
        <w:spacing w:after="120"/>
        <w:jc w:val="left"/>
      </w:pPr>
      <w:r w:rsidRPr="008800BE">
        <w:rPr>
          <w:b/>
          <w:bCs/>
        </w:rPr>
        <w:t>Banka Ekonomike:</w:t>
      </w:r>
      <w:r w:rsidR="008800BE" w:rsidRPr="008800BE">
        <w:t xml:space="preserve"> </w:t>
      </w:r>
      <w:r w:rsidRPr="008800BE">
        <w:t>Një tjetër institucion vendas</w:t>
      </w:r>
      <w:r w:rsidRPr="008800BE">
        <w:rPr>
          <w:rFonts w:eastAsia="Google Sans Text" w:cs="Times New Roman"/>
          <w:color w:val="575B5F"/>
          <w:szCs w:val="24"/>
          <w:vertAlign w:val="superscript"/>
        </w:rPr>
        <w:t>51</w:t>
      </w:r>
      <w:r w:rsidRPr="008800BE">
        <w:t>.</w:t>
      </w:r>
    </w:p>
    <w:p w:rsidR="001C2717" w:rsidRPr="008800BE" w:rsidRDefault="001C2717" w:rsidP="00BE072C">
      <w:r w:rsidRPr="008800BE">
        <w:t xml:space="preserve">Këto banka komerciale ofrojnë </w:t>
      </w:r>
      <w:r w:rsidR="00BE072C" w:rsidRPr="00BE072C">
        <w:t xml:space="preserve">një </w:t>
      </w:r>
      <w:r w:rsidR="00BE072C" w:rsidRPr="00BE072C">
        <w:rPr>
          <w:b/>
          <w:bCs/>
        </w:rPr>
        <w:t>diapazon</w:t>
      </w:r>
      <w:r w:rsidR="00BE072C" w:rsidRPr="00BE072C">
        <w:t xml:space="preserve"> të gjerë shërbimesh financiare</w:t>
      </w:r>
      <w:r w:rsidRPr="008800BE">
        <w:t>, duke përfshirë kredi personale, për individë në të gjithë Kosovën.</w:t>
      </w:r>
      <w:r w:rsidRPr="008800BE">
        <w:rPr>
          <w:rFonts w:eastAsia="Google Sans Text" w:cs="Times New Roman"/>
          <w:color w:val="575B5F"/>
          <w:szCs w:val="24"/>
          <w:vertAlign w:val="superscript"/>
        </w:rPr>
        <w:t>63</w:t>
      </w:r>
      <w:r w:rsidRPr="008800BE">
        <w:t>.</w:t>
      </w:r>
    </w:p>
    <w:p w:rsidR="001C2717" w:rsidRPr="008800BE" w:rsidRDefault="001C2717" w:rsidP="008800BE">
      <w:pPr>
        <w:widowControl w:val="0"/>
        <w:numPr>
          <w:ilvl w:val="0"/>
          <w:numId w:val="32"/>
        </w:numPr>
        <w:pBdr>
          <w:top w:val="nil"/>
          <w:left w:val="nil"/>
          <w:bottom w:val="nil"/>
          <w:right w:val="nil"/>
          <w:between w:val="nil"/>
        </w:pBdr>
        <w:spacing w:after="120"/>
        <w:jc w:val="left"/>
        <w:rPr>
          <w:b/>
          <w:bCs/>
        </w:rPr>
      </w:pPr>
      <w:r w:rsidRPr="008800BE">
        <w:rPr>
          <w:b/>
          <w:bCs/>
        </w:rPr>
        <w:t>2.2.2 Institucionet e Mikrofinancës (IMF) dhe Institucionet Financiare Jo-Banka (I</w:t>
      </w:r>
      <w:r w:rsidR="008C7A18">
        <w:rPr>
          <w:b/>
          <w:bCs/>
        </w:rPr>
        <w:t>FJB</w:t>
      </w:r>
      <w:r w:rsidRPr="008800BE">
        <w:rPr>
          <w:b/>
          <w:bCs/>
        </w:rPr>
        <w:t>)</w:t>
      </w:r>
    </w:p>
    <w:p w:rsidR="001C2717" w:rsidRPr="008800BE" w:rsidRDefault="001C2717" w:rsidP="008800BE">
      <w:r w:rsidRPr="008800BE">
        <w:t>Ndërkohë që mbajnë një pjesë më të vogël të totalit të aseteve të sektorit financiar krahasuar me bankat, IMF-të dhe IFJ-të jobankare janë gjithashtu huadhënës aktivë në Kosovë.</w:t>
      </w:r>
      <w:r w:rsidRPr="008800BE">
        <w:rPr>
          <w:rFonts w:eastAsia="Google Sans Text" w:cs="Times New Roman"/>
          <w:color w:val="575B5F"/>
          <w:szCs w:val="24"/>
          <w:vertAlign w:val="superscript"/>
        </w:rPr>
        <w:t>62</w:t>
      </w:r>
      <w:r w:rsidR="008800BE" w:rsidRPr="008800BE">
        <w:t xml:space="preserve"> F</w:t>
      </w:r>
      <w:r w:rsidRPr="008800BE">
        <w:t xml:space="preserve">okusi i tyre kryesor tradicionalisht ka qenë ofrimi i kredive për bizneset mikro </w:t>
      </w:r>
      <w:r w:rsidRPr="008800BE">
        <w:lastRenderedPageBreak/>
        <w:t>dhe të vogla, duke kontribuar në sipërmarrje dhe krijimin e vendeve të punës.</w:t>
      </w:r>
      <w:r w:rsidRPr="008800BE">
        <w:rPr>
          <w:rFonts w:eastAsia="Google Sans Text" w:cs="Times New Roman"/>
          <w:color w:val="575B5F"/>
          <w:szCs w:val="24"/>
          <w:vertAlign w:val="superscript"/>
        </w:rPr>
        <w:t>72</w:t>
      </w:r>
      <w:r w:rsidR="008800BE" w:rsidRPr="008800BE">
        <w:t xml:space="preserve"> M</w:t>
      </w:r>
      <w:r w:rsidRPr="008800BE">
        <w:t xml:space="preserve">egjithatë, disa mund të ofrojnë edhe produkte kredie për konsumatorët ose personale, </w:t>
      </w:r>
      <w:r w:rsidRPr="001070D4">
        <w:t xml:space="preserve">veçanërisht shuma më të vogla kredie ose për segmente specifike të klientëve që </w:t>
      </w:r>
      <w:r w:rsidR="001070D4" w:rsidRPr="001070D4">
        <w:t xml:space="preserve">në disa raste </w:t>
      </w:r>
      <w:r w:rsidRPr="001070D4">
        <w:t>nuk janë të shërbyera nga bankat komerciale. Shoqata e Institucioneve të Mikrofinancës së Kosovës (AMIK) përfaqëson tetë IMF kryesore: Agjencia për Financa në Kosovë (AFK), FINCA Kosova, KEP Trust, Fondi i Mikrokreditit Grameen Missione Arcobaleno i Kosovës (KGMAMF</w:t>
      </w:r>
      <w:r w:rsidR="00A80D54">
        <w:t xml:space="preserve"> ose </w:t>
      </w:r>
      <w:r w:rsidR="00A80D54" w:rsidRPr="00A80D54">
        <w:t>Grameen Kosova</w:t>
      </w:r>
      <w:r w:rsidRPr="008800BE">
        <w:t>), KosInvest, Kreditimi Rural i Kosovës (KRK), QELIM Kosova dhe START Instituti Mikrofinanciar</w:t>
      </w:r>
      <w:r w:rsidRPr="008800BE">
        <w:rPr>
          <w:rFonts w:eastAsia="Google Sans Text" w:cs="Times New Roman"/>
          <w:color w:val="575B5F"/>
          <w:szCs w:val="24"/>
          <w:vertAlign w:val="superscript"/>
        </w:rPr>
        <w:t>72</w:t>
      </w:r>
      <w:r w:rsidR="008800BE" w:rsidRPr="008800BE">
        <w:t xml:space="preserve"> S</w:t>
      </w:r>
      <w:r w:rsidRPr="008800BE">
        <w:t>ektori ka treguar rritje të kreditimit, duke treguar rolin e tij të vazhdueshëm në peizazhin kreditor të Kosovës.</w:t>
      </w:r>
      <w:r w:rsidRPr="008800BE">
        <w:rPr>
          <w:rFonts w:eastAsia="Google Sans Text" w:cs="Times New Roman"/>
          <w:color w:val="575B5F"/>
          <w:szCs w:val="24"/>
          <w:vertAlign w:val="superscript"/>
        </w:rPr>
        <w:t>75</w:t>
      </w:r>
      <w:r w:rsidRPr="008800BE">
        <w:t>.</w:t>
      </w:r>
    </w:p>
    <w:p w:rsidR="001C2717" w:rsidRPr="008800BE" w:rsidRDefault="00000000" w:rsidP="008800BE">
      <w:pPr>
        <w:rPr>
          <w:b/>
          <w:bCs/>
        </w:rPr>
      </w:pPr>
      <w:r>
        <w:rPr>
          <w:b/>
          <w:bCs/>
        </w:rPr>
        <w:pict>
          <v:rect id="_x0000_i1027" style="width:0;height:1.5pt" o:hralign="center" o:hrstd="t" o:hr="t" fillcolor="#a0a0a0" stroked="f"/>
        </w:pict>
      </w:r>
      <w:r w:rsidR="001C2717" w:rsidRPr="008800BE">
        <w:rPr>
          <w:b/>
          <w:bCs/>
        </w:rPr>
        <w:t>Tabela 2: Ofruesit kryesorë të kredive personale në Kosovë</w:t>
      </w:r>
    </w:p>
    <w:p w:rsidR="001C2717" w:rsidRDefault="001C2717" w:rsidP="008800BE"/>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jc w:val="center"/>
              <w:rPr>
                <w:b/>
                <w:bCs/>
              </w:rPr>
            </w:pPr>
            <w:r w:rsidRPr="008800BE">
              <w:rPr>
                <w:b/>
                <w:bCs/>
              </w:rPr>
              <w:t>Emri i Institucionit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jc w:val="center"/>
              <w:rPr>
                <w:b/>
                <w:bCs/>
              </w:rPr>
            </w:pPr>
            <w:r w:rsidRPr="008800BE">
              <w:rPr>
                <w:b/>
                <w:bCs/>
              </w:rPr>
              <w:t>Lloji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jc w:val="center"/>
              <w:rPr>
                <w:b/>
                <w:bCs/>
              </w:rPr>
            </w:pPr>
            <w:r w:rsidRPr="008800BE">
              <w:rPr>
                <w:b/>
                <w:bCs/>
              </w:rPr>
              <w:t>Pronësia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jc w:val="center"/>
              <w:rPr>
                <w:b/>
                <w:bCs/>
              </w:rPr>
            </w:pPr>
            <w:r w:rsidRPr="008800BE">
              <w:rPr>
                <w:b/>
                <w:bCs/>
              </w:rPr>
              <w:t>Shënime</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Raiffeisen Bank Kosova Sh.A.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(Austri)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Banka më e madhe sipas treguesve financiarë</w:t>
            </w:r>
            <w:r w:rsidRPr="008800BE">
              <w:rPr>
                <w:rFonts w:eastAsia="Google Sans Text" w:cs="Times New Roman"/>
                <w:color w:val="575B5F"/>
                <w:szCs w:val="24"/>
                <w:vertAlign w:val="superscript"/>
              </w:rPr>
              <w:t>66</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Banka ProCredit SH.A.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(Gjermani)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Pjesë e ProCredit Holding</w:t>
            </w:r>
            <w:r w:rsidRPr="008800BE">
              <w:rPr>
                <w:rFonts w:eastAsia="Google Sans Text" w:cs="Times New Roman"/>
                <w:color w:val="575B5F"/>
                <w:szCs w:val="24"/>
                <w:vertAlign w:val="superscript"/>
              </w:rPr>
              <w:t>91</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NLB Banka SH.A.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(Slloveni)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Pjesë e Grupit NLB</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TEB SH.A.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(Turqi)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Filial i Bankës Turke të Ekonomisë</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Banka Kombëtare Tregtare (BKT) - Dega në Kosovë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(Shqip/Tur)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Dega e BKT-së</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Ziraat Bank - Dega në Kosovë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(Turqi)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Dega e Bankës Ziraat</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lastRenderedPageBreak/>
              <w:t>Turkiye Is Bankasi AS - Dega në Kosovë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(Turqi)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Dega e Isbank</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Banka për Biznes SH.A. (BPB)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Bankë me seli në Kosovë</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Banka Ekonomike SH.A.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Bankë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Bankë me seli në Kosovë</w:t>
            </w:r>
            <w:r w:rsidRPr="008800BE">
              <w:rPr>
                <w:rFonts w:eastAsia="Google Sans Text" w:cs="Times New Roman"/>
                <w:color w:val="575B5F"/>
                <w:szCs w:val="24"/>
                <w:vertAlign w:val="superscript"/>
              </w:rPr>
              <w:t>65</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Agjencia për Financa në Kosovë (AFK)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FINCA Kosovë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 huaj (Selia Qendrore e SHBA-së)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KEP Trust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KGMAMF (Kosovo Grameen Missione Arcobaleno Micro Credit Fund)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KosInvest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Kreditimi Rural i Kosovës (KRK)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QELIM Kosova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r w:rsidR="001C2717" w:rsidTr="001C271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START Institucioni Mikrofinanciar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IMF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sz w:val="20"/>
              </w:rPr>
            </w:pPr>
            <w:r w:rsidRPr="008800BE">
              <w:rPr>
                <w:rFonts w:eastAsia="Google Sans Text" w:cs="Times New Roman"/>
                <w:sz w:val="20"/>
              </w:rPr>
              <w:t>Vendase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1C2717" w:rsidRPr="008800BE" w:rsidRDefault="001C2717" w:rsidP="008800B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8800BE">
              <w:rPr>
                <w:rFonts w:eastAsia="Google Sans Text" w:cs="Times New Roman"/>
                <w:sz w:val="20"/>
              </w:rPr>
              <w:t>Anëtar i AMIK-ut</w:t>
            </w:r>
            <w:r w:rsidRPr="008800BE">
              <w:rPr>
                <w:rFonts w:eastAsia="Google Sans Text" w:cs="Times New Roman"/>
                <w:color w:val="575B5F"/>
                <w:szCs w:val="24"/>
                <w:vertAlign w:val="superscript"/>
              </w:rPr>
              <w:t>72</w:t>
            </w:r>
          </w:p>
        </w:tc>
      </w:tr>
    </w:tbl>
    <w:p w:rsidR="001C2717" w:rsidRDefault="00000000" w:rsidP="00E84F90">
      <w:r>
        <w:pict>
          <v:rect id="_x0000_i1028" style="width:0;height:1.5pt" o:hralign="center" o:hrstd="t" o:hr="t" fillcolor="#a0a0a0" stroked="f"/>
        </w:pict>
      </w:r>
    </w:p>
    <w:p w:rsidR="001C2717" w:rsidRDefault="001C2717" w:rsidP="00E84F90"/>
    <w:p w:rsidR="001C2717" w:rsidRDefault="001C2717" w:rsidP="00E84F90"/>
    <w:p w:rsidR="00B16F31" w:rsidRDefault="00B16F31" w:rsidP="00E84F90"/>
    <w:p w:rsidR="005D05F6" w:rsidRPr="008800BE" w:rsidRDefault="008800BE" w:rsidP="003838A9">
      <w:pPr>
        <w:pStyle w:val="Heading2"/>
      </w:pPr>
      <w:bookmarkStart w:id="14" w:name="_Toc198558475"/>
      <w:r w:rsidRPr="008800BE">
        <w:lastRenderedPageBreak/>
        <w:t xml:space="preserve">Seksioni 2.3: </w:t>
      </w:r>
      <w:r w:rsidR="006E0EA1" w:rsidRPr="006E0EA1">
        <w:t>Produktet e Kredive</w:t>
      </w:r>
      <w:r w:rsidR="009B74E1">
        <w:t xml:space="preserve">: </w:t>
      </w:r>
      <w:r w:rsidR="009B74E1" w:rsidRPr="009B74E1">
        <w:t>Tiparet, Normat dhe Kushtet</w:t>
      </w:r>
      <w:r w:rsidR="00BE072C">
        <w:rPr>
          <w:noProof/>
        </w:rPr>
        <w:t xml:space="preserve"> </w:t>
      </w:r>
      <w:r w:rsidR="00000000">
        <w:rPr>
          <w:noProof/>
        </w:rPr>
        <w:pict>
          <v:rect id="_x0000_s1026" style="position:absolute;left:0;text-align:left;margin-left:0;margin-top:0;width:0;height:1.5pt;z-index:251659264;mso-position-horizontal:left;mso-position-horizontal-relative:text;mso-position-vertical-relative:text" o:hralign="center" o:hrstd="t" o:hr="t" fillcolor="#a0a0a0" stroked="f">
            <w10:wrap type="square" side="right"/>
          </v:rect>
        </w:pict>
      </w:r>
      <w:bookmarkEnd w:id="14"/>
    </w:p>
    <w:p w:rsidR="008800BE" w:rsidRDefault="00BE072C" w:rsidP="00FB34A5">
      <w:r w:rsidRPr="00BE072C">
        <w:t>Karakteristikat e Produkteve të Kredive Personale: Norma, Kushtet dhe Praktikat e Huadhënies</w:t>
      </w:r>
      <w:r w:rsidR="008800BE">
        <w:t>.</w:t>
      </w:r>
    </w:p>
    <w:p w:rsidR="008800BE" w:rsidRPr="00E84F90" w:rsidRDefault="008800BE" w:rsidP="00FB34A5">
      <w:pPr>
        <w:widowControl w:val="0"/>
        <w:numPr>
          <w:ilvl w:val="0"/>
          <w:numId w:val="33"/>
        </w:numPr>
        <w:pBdr>
          <w:top w:val="nil"/>
          <w:left w:val="nil"/>
          <w:bottom w:val="nil"/>
          <w:right w:val="nil"/>
          <w:between w:val="nil"/>
        </w:pBdr>
        <w:spacing w:after="120"/>
        <w:jc w:val="left"/>
        <w:rPr>
          <w:b/>
          <w:bCs/>
        </w:rPr>
      </w:pPr>
      <w:r w:rsidRPr="00E84F90">
        <w:rPr>
          <w:b/>
          <w:bCs/>
        </w:rPr>
        <w:t>2.3.1 Normat tipike të interesit</w:t>
      </w:r>
    </w:p>
    <w:p w:rsidR="008800BE" w:rsidRPr="00E84F90" w:rsidRDefault="008800BE" w:rsidP="00FB34A5">
      <w:pPr>
        <w:pBdr>
          <w:top w:val="nil"/>
          <w:left w:val="nil"/>
          <w:bottom w:val="nil"/>
          <w:right w:val="nil"/>
          <w:between w:val="nil"/>
        </w:pBdr>
        <w:spacing w:before="240"/>
      </w:pPr>
      <w:r w:rsidRPr="00E84F90">
        <w:t>Normat e interesit për kreditë personale në Kosovë tregojnë ndryshueshmëri, por në përgjithësi kanë pasur një tendencë rënëse nga nivelet më të larta historike. Norma mesatare e kreditimit bankar për të gjitha llojet e kredive u raportua në 6.01% në vit në janar 2025, një rritje e lehtë nga 5.87% në dhjetor 2024.</w:t>
      </w:r>
      <w:r w:rsidRPr="00E84F90">
        <w:rPr>
          <w:rFonts w:eastAsia="Google Sans Text" w:cs="Times New Roman"/>
          <w:color w:val="575B5F"/>
          <w:szCs w:val="24"/>
          <w:vertAlign w:val="superscript"/>
        </w:rPr>
        <w:t>87</w:t>
      </w:r>
      <w:r w:rsidR="00E84F90" w:rsidRPr="00E84F90">
        <w:t xml:space="preserve"> D</w:t>
      </w:r>
      <w:r w:rsidRPr="00E84F90">
        <w:t>uke u përqendruar konkretisht te familjet, norma mesatare e interesit për kreditë e reja ishte 5.6% në tremujorin e tretë të vitit 2024, duke treguar një rënie nga 5.8% në gjysmën e parë të vitit, megjithëse mesatarja vjetore për vitin 2024 (6.2%) ishte pak më e lartë se ajo e vitit 2023 (5.9%).</w:t>
      </w:r>
      <w:r w:rsidRPr="00E84F90">
        <w:rPr>
          <w:rFonts w:eastAsia="Google Sans Text" w:cs="Times New Roman"/>
          <w:color w:val="575B5F"/>
          <w:szCs w:val="24"/>
          <w:vertAlign w:val="superscript"/>
        </w:rPr>
        <w:t>89</w:t>
      </w:r>
      <w:r w:rsidR="00E84F90" w:rsidRPr="00E84F90">
        <w:t xml:space="preserve"> N</w:t>
      </w:r>
      <w:r w:rsidRPr="00E84F90">
        <w:t>jë shifër e mëparshme nga shtatori 2020 e vendosi normën efektive të interesit për kreditë në 6.4%.</w:t>
      </w:r>
      <w:r w:rsidRPr="00E84F90">
        <w:rPr>
          <w:rFonts w:eastAsia="Google Sans Text" w:cs="Times New Roman"/>
          <w:color w:val="575B5F"/>
          <w:szCs w:val="24"/>
          <w:vertAlign w:val="superscript"/>
        </w:rPr>
        <w:t>75</w:t>
      </w:r>
      <w:r w:rsidRPr="00E84F90">
        <w:t>.</w:t>
      </w:r>
    </w:p>
    <w:p w:rsidR="008800BE" w:rsidRPr="00E84F90" w:rsidRDefault="008800BE" w:rsidP="00FB34A5">
      <w:pPr>
        <w:pBdr>
          <w:top w:val="nil"/>
          <w:left w:val="nil"/>
          <w:bottom w:val="nil"/>
          <w:right w:val="nil"/>
          <w:between w:val="nil"/>
        </w:pBdr>
      </w:pPr>
      <w:r w:rsidRPr="00E84F90">
        <w:t>Krahasuar me zonën e euros, rritjet e normave të interesit në Kosovë kanë qenë më të ulëta në përgjigje të shtrëngimit të politikave të fundit të Bankës Qendrore Evropiane (BQE). Midis korrikut 2022 dhe gushtit 2023, normat e kredive për korporatat jofinanciare (NFC) në Kosovë u rritën vetëm me 0.9 pikë përqindjeje, krahasuar me një rritje prej 3 pikësh përqindjeje në zonën e euros.</w:t>
      </w:r>
      <w:r w:rsidRPr="00E84F90">
        <w:rPr>
          <w:rFonts w:eastAsia="Google Sans Text" w:cs="Times New Roman"/>
          <w:color w:val="575B5F"/>
          <w:szCs w:val="24"/>
          <w:vertAlign w:val="superscript"/>
        </w:rPr>
        <w:t>86</w:t>
      </w:r>
      <w:r w:rsidR="00E84F90" w:rsidRPr="00E84F90">
        <w:t xml:space="preserve"> K</w:t>
      </w:r>
      <w:r w:rsidRPr="00E84F90">
        <w:t>jo sugjeron që faktorët e tregut lokal, siç janë nivelet e likuiditetit bankar dhe presionet konkurruese, mund të jenë duke e zbutur përçimin nga normat e politikës së BQE-së.</w:t>
      </w:r>
    </w:p>
    <w:p w:rsidR="008800BE" w:rsidRDefault="001070D4" w:rsidP="00FB34A5">
      <w:r w:rsidRPr="001070D4">
        <w:t>Ilustrime konkrete nga bankat përfaqësuese të tregut</w:t>
      </w:r>
      <w:r w:rsidR="008800BE">
        <w:t xml:space="preserve"> ilustrojnë gamën:</w:t>
      </w:r>
    </w:p>
    <w:p w:rsidR="008800BE" w:rsidRPr="00E84F90" w:rsidRDefault="008800BE" w:rsidP="00FB34A5">
      <w:pPr>
        <w:widowControl w:val="0"/>
        <w:numPr>
          <w:ilvl w:val="0"/>
          <w:numId w:val="34"/>
        </w:numPr>
        <w:pBdr>
          <w:top w:val="nil"/>
          <w:left w:val="nil"/>
          <w:bottom w:val="nil"/>
          <w:right w:val="nil"/>
          <w:between w:val="nil"/>
        </w:pBdr>
        <w:spacing w:after="0"/>
        <w:jc w:val="left"/>
      </w:pPr>
      <w:r w:rsidRPr="00E84F90">
        <w:rPr>
          <w:b/>
          <w:bCs/>
        </w:rPr>
        <w:t>Banka Raiffeisen në Kosovë:</w:t>
      </w:r>
      <w:r w:rsidR="00E84F90" w:rsidRPr="00E84F90">
        <w:t xml:space="preserve"> </w:t>
      </w:r>
      <w:r w:rsidRPr="00E84F90">
        <w:t>Ofron kredi personale deri në 50,000 € me një normë interesi fikse prej 5.5% në vit. Norma Neto Efektive e Interesit (NEI), e cila ka të ngjarë të përfshijë disa tarifa, fillon nga 5.64%.</w:t>
      </w:r>
      <w:r w:rsidRPr="00E84F90">
        <w:rPr>
          <w:rFonts w:eastAsia="Google Sans Text" w:cs="Times New Roman"/>
          <w:color w:val="575B5F"/>
          <w:szCs w:val="24"/>
          <w:vertAlign w:val="superscript"/>
        </w:rPr>
        <w:t>93</w:t>
      </w:r>
      <w:r w:rsidRPr="00E84F90">
        <w:t>.</w:t>
      </w:r>
    </w:p>
    <w:p w:rsidR="008800BE" w:rsidRPr="00E84F90" w:rsidRDefault="008800BE" w:rsidP="00FB34A5">
      <w:pPr>
        <w:widowControl w:val="0"/>
        <w:numPr>
          <w:ilvl w:val="0"/>
          <w:numId w:val="34"/>
        </w:numPr>
        <w:pBdr>
          <w:top w:val="nil"/>
          <w:left w:val="nil"/>
          <w:bottom w:val="nil"/>
          <w:right w:val="nil"/>
          <w:between w:val="nil"/>
        </w:pBdr>
        <w:spacing w:after="120"/>
        <w:jc w:val="left"/>
      </w:pPr>
      <w:r w:rsidRPr="00E84F90">
        <w:rPr>
          <w:b/>
          <w:bCs/>
        </w:rPr>
        <w:t>Banka ProCredit në Kosovë:</w:t>
      </w:r>
      <w:r w:rsidR="00E84F90" w:rsidRPr="00E84F90">
        <w:t xml:space="preserve"> </w:t>
      </w:r>
      <w:r w:rsidRPr="00E84F90">
        <w:t>Reklamimi i një oferte specifike për kredi personale deri në 10,000 € me një normë nominale prej 6.90% dhe një normë efektive interesi (NEI) prej 7.57%</w:t>
      </w:r>
      <w:r w:rsidRPr="00E84F90">
        <w:rPr>
          <w:rFonts w:eastAsia="Google Sans Text" w:cs="Times New Roman"/>
          <w:color w:val="575B5F"/>
          <w:szCs w:val="24"/>
          <w:vertAlign w:val="superscript"/>
        </w:rPr>
        <w:t>94</w:t>
      </w:r>
      <w:r w:rsidR="00E84F90" w:rsidRPr="00E84F90">
        <w:t xml:space="preserve"> P</w:t>
      </w:r>
      <w:r w:rsidRPr="00E84F90">
        <w:t>latforma e tyre online gjithashtu liston kredi investimi/personale (10 mijë euro - 30 mijë euro) me norma nominale që fillojnë nga 6.00% (efektive 6.71%).</w:t>
      </w:r>
      <w:r w:rsidRPr="00E84F90">
        <w:rPr>
          <w:rFonts w:eastAsia="Google Sans Text" w:cs="Times New Roman"/>
          <w:color w:val="575B5F"/>
          <w:szCs w:val="24"/>
          <w:vertAlign w:val="superscript"/>
        </w:rPr>
        <w:t>95</w:t>
      </w:r>
      <w:r w:rsidR="00E84F90" w:rsidRPr="00E84F90">
        <w:t xml:space="preserve"> M</w:t>
      </w:r>
      <w:r w:rsidRPr="00E84F90">
        <w:t xml:space="preserve">egjithatë, lista e tyre e detajuar e çmimeve nga marsi 2025 tregon norma </w:t>
      </w:r>
      <w:r w:rsidR="001070D4" w:rsidRPr="001070D4">
        <w:t>në disa raste</w:t>
      </w:r>
      <w:r w:rsidRPr="00E84F90">
        <w:t xml:space="preserve"> më të larta për kreditë standarde të </w:t>
      </w:r>
      <w:r w:rsidRPr="00E84F90">
        <w:lastRenderedPageBreak/>
        <w:t>konsumatorit (IR 12.29%) krahasuar me kreditë e investimit (IR 6.61% fikse / 6.11% minimale variabile).</w:t>
      </w:r>
      <w:r w:rsidRPr="00E84F90">
        <w:rPr>
          <w:rFonts w:eastAsia="Google Sans Text" w:cs="Times New Roman"/>
          <w:color w:val="575B5F"/>
          <w:szCs w:val="24"/>
          <w:vertAlign w:val="superscript"/>
        </w:rPr>
        <w:t>96</w:t>
      </w:r>
      <w:r w:rsidRPr="00E84F90">
        <w:t>.</w:t>
      </w:r>
    </w:p>
    <w:p w:rsidR="008800BE" w:rsidRPr="00E84F90" w:rsidRDefault="008800BE" w:rsidP="00FB34A5">
      <w:pPr>
        <w:pBdr>
          <w:top w:val="nil"/>
          <w:left w:val="nil"/>
          <w:bottom w:val="nil"/>
          <w:right w:val="nil"/>
          <w:between w:val="nil"/>
        </w:pBdr>
        <w:spacing w:before="240" w:after="120"/>
      </w:pPr>
      <w:r w:rsidRPr="00E84F90">
        <w:t xml:space="preserve">Të dhënat tregojnë se, ndërsa normat mesatare të kredive për familjet aktualisht janë rreth nivelit 6%, ekzistojnë ndryshime të konsiderueshme bazuar në huadhënësin specifik, produktin e kredisë (p.sh., konsumi i përgjithshëm kundrejt investimit), shumën e kredisë, afatin dhe profilin e huamarrësit. Disponueshmëria e opsioneve me normë fikse, siç ofrohen nga Raiffeisen dhe ProCredit, u ofron huamarrësve siguri pagese në një mjedis ku normat bazë </w:t>
      </w:r>
      <w:r w:rsidR="001070D4" w:rsidRPr="001070D4">
        <w:t>ka të ngjarë të</w:t>
      </w:r>
      <w:r w:rsidR="001070D4">
        <w:t xml:space="preserve"> </w:t>
      </w:r>
      <w:r w:rsidRPr="00E84F90">
        <w:t>luhaten.</w:t>
      </w:r>
      <w:r w:rsidRPr="00E84F90">
        <w:rPr>
          <w:rFonts w:eastAsia="Google Sans Text" w:cs="Times New Roman"/>
          <w:color w:val="575B5F"/>
          <w:szCs w:val="24"/>
          <w:vertAlign w:val="superscript"/>
        </w:rPr>
        <w:t>93</w:t>
      </w:r>
      <w:r w:rsidR="00E84F90" w:rsidRPr="00E84F90">
        <w:t xml:space="preserve"> P</w:t>
      </w:r>
      <w:r w:rsidRPr="00E84F90">
        <w:t>ërgjigja relativisht e heshtur ndaj rritjes së normave të BQE-së krahasuar me Eurozonën sugjeron një shkallë izolimi ose dinamikë specifike të tregut brenda sektorit bankar të Kosovës.</w:t>
      </w:r>
      <w:r w:rsidRPr="00E84F90">
        <w:rPr>
          <w:rFonts w:eastAsia="Google Sans Text" w:cs="Times New Roman"/>
          <w:color w:val="575B5F"/>
          <w:szCs w:val="24"/>
          <w:vertAlign w:val="superscript"/>
        </w:rPr>
        <w:t>86</w:t>
      </w:r>
      <w:r w:rsidRPr="00E84F90">
        <w:t>.</w:t>
      </w:r>
    </w:p>
    <w:p w:rsidR="008800BE" w:rsidRPr="00E84F90" w:rsidRDefault="008800BE" w:rsidP="00FB34A5">
      <w:pPr>
        <w:widowControl w:val="0"/>
        <w:numPr>
          <w:ilvl w:val="0"/>
          <w:numId w:val="35"/>
        </w:numPr>
        <w:pBdr>
          <w:top w:val="nil"/>
          <w:left w:val="nil"/>
          <w:bottom w:val="nil"/>
          <w:right w:val="nil"/>
          <w:between w:val="nil"/>
        </w:pBdr>
        <w:spacing w:after="120"/>
        <w:jc w:val="left"/>
        <w:rPr>
          <w:b/>
          <w:bCs/>
        </w:rPr>
      </w:pPr>
      <w:r w:rsidRPr="00E84F90">
        <w:rPr>
          <w:b/>
          <w:bCs/>
        </w:rPr>
        <w:t>2.3.2 Kushtet tipike të kredisë (Kohëzgjatja)</w:t>
      </w:r>
    </w:p>
    <w:p w:rsidR="008800BE" w:rsidRDefault="008800BE" w:rsidP="00FB34A5">
      <w:r>
        <w:t>Periudhat e ripagimit të ofruara për kreditë personale në Kosovë u ofrojnë huamarrësve një shkallë fleksibiliteti. Bazuar në shembujt e disponueshëm nga bankat kryesore:</w:t>
      </w:r>
    </w:p>
    <w:p w:rsidR="008800BE" w:rsidRPr="00E84F90" w:rsidRDefault="008800BE" w:rsidP="00FB34A5">
      <w:pPr>
        <w:widowControl w:val="0"/>
        <w:numPr>
          <w:ilvl w:val="0"/>
          <w:numId w:val="36"/>
        </w:numPr>
        <w:pBdr>
          <w:top w:val="nil"/>
          <w:left w:val="nil"/>
          <w:bottom w:val="nil"/>
          <w:right w:val="nil"/>
          <w:between w:val="nil"/>
        </w:pBdr>
        <w:spacing w:after="0"/>
        <w:jc w:val="left"/>
      </w:pPr>
      <w:r w:rsidRPr="00E84F90">
        <w:t>Raiffeisen Bank në Kosovë ofron afate kredie personale që shtrihen deri në maksimum 10 vjet (120 muaj)</w:t>
      </w:r>
      <w:r w:rsidRPr="00E84F90">
        <w:rPr>
          <w:rFonts w:eastAsia="Google Sans Text" w:cs="Times New Roman"/>
          <w:color w:val="575B5F"/>
          <w:szCs w:val="24"/>
          <w:vertAlign w:val="superscript"/>
        </w:rPr>
        <w:t>93</w:t>
      </w:r>
      <w:r w:rsidRPr="00E84F90">
        <w:t>.</w:t>
      </w:r>
    </w:p>
    <w:p w:rsidR="008800BE" w:rsidRPr="00E84F90" w:rsidRDefault="008800BE" w:rsidP="00FB34A5">
      <w:pPr>
        <w:widowControl w:val="0"/>
        <w:numPr>
          <w:ilvl w:val="0"/>
          <w:numId w:val="36"/>
        </w:numPr>
        <w:pBdr>
          <w:top w:val="nil"/>
          <w:left w:val="nil"/>
          <w:bottom w:val="nil"/>
          <w:right w:val="nil"/>
          <w:between w:val="nil"/>
        </w:pBdr>
        <w:spacing w:after="120"/>
        <w:jc w:val="left"/>
      </w:pPr>
      <w:r w:rsidRPr="00E84F90">
        <w:t>ProCredit Bank në Kosovë ofron kredi personale me afat deri në 5 vjet (60 muaj) për disa oferta.</w:t>
      </w:r>
      <w:r w:rsidRPr="00E84F90">
        <w:rPr>
          <w:rFonts w:eastAsia="Google Sans Text" w:cs="Times New Roman"/>
          <w:color w:val="575B5F"/>
          <w:szCs w:val="24"/>
          <w:vertAlign w:val="superscript"/>
        </w:rPr>
        <w:t>94</w:t>
      </w:r>
      <w:r w:rsidRPr="00E84F90">
        <w:t>, dhe deri në 7 vjet (84 muaj) për të tjerët e përmendur në faqen e tyre të drejtpërdrejtë bankare</w:t>
      </w:r>
      <w:r w:rsidRPr="00E84F90">
        <w:rPr>
          <w:rFonts w:eastAsia="Google Sans Text" w:cs="Times New Roman"/>
          <w:color w:val="575B5F"/>
          <w:szCs w:val="24"/>
          <w:vertAlign w:val="superscript"/>
        </w:rPr>
        <w:t>95</w:t>
      </w:r>
      <w:r w:rsidR="00E84F90" w:rsidRPr="00E84F90">
        <w:t xml:space="preserve"> K</w:t>
      </w:r>
      <w:r w:rsidRPr="00E84F90">
        <w:t>reditë e tyre të investimit kanë gjithashtu afate deri në 5 vjet.</w:t>
      </w:r>
      <w:r w:rsidRPr="00E84F90">
        <w:rPr>
          <w:rFonts w:eastAsia="Google Sans Text" w:cs="Times New Roman"/>
          <w:color w:val="575B5F"/>
          <w:szCs w:val="24"/>
          <w:vertAlign w:val="superscript"/>
        </w:rPr>
        <w:t>95</w:t>
      </w:r>
      <w:r w:rsidRPr="00E84F90">
        <w:t>.</w:t>
      </w:r>
    </w:p>
    <w:p w:rsidR="008800BE" w:rsidRPr="00E84F90" w:rsidRDefault="008800BE" w:rsidP="00FB34A5">
      <w:pPr>
        <w:pBdr>
          <w:top w:val="nil"/>
          <w:left w:val="nil"/>
          <w:bottom w:val="nil"/>
          <w:right w:val="nil"/>
          <w:between w:val="nil"/>
        </w:pBdr>
        <w:spacing w:before="240"/>
      </w:pPr>
      <w:r w:rsidRPr="00E84F90">
        <w:t>Burimet e edukimit financiar të përgjithshëm shpesh përmendin kushtet tipike të kredisë personale që variojnë nga 12 deri në 60 muaj (1 deri në 5 vjet).</w:t>
      </w:r>
      <w:r w:rsidRPr="00E84F90">
        <w:rPr>
          <w:rFonts w:eastAsia="Google Sans Text" w:cs="Times New Roman"/>
          <w:color w:val="575B5F"/>
          <w:szCs w:val="24"/>
          <w:vertAlign w:val="superscript"/>
        </w:rPr>
        <w:t>7</w:t>
      </w:r>
      <w:r w:rsidRPr="00E84F90">
        <w:t>.</w:t>
      </w:r>
    </w:p>
    <w:p w:rsidR="008800BE" w:rsidRDefault="008800BE" w:rsidP="00FB34A5">
      <w:pPr>
        <w:pBdr>
          <w:top w:val="nil"/>
          <w:left w:val="nil"/>
          <w:bottom w:val="nil"/>
          <w:right w:val="nil"/>
          <w:between w:val="nil"/>
        </w:pBdr>
        <w:spacing w:after="120"/>
      </w:pPr>
      <w:r w:rsidRPr="00E84F90">
        <w:t>Provat në dispozicion sugjerojnë se, ndërsa afatet deri në 5 ose 7 vjet janë të zakonshme, kohëzgjatjet maksimale mund të arrijnë 10 vjet në tregun e Kosovës. Ky diapazon u lejon huamarrësve të balancojnë madhësinë e pagesave të tyre mujore kundrejt kostos totale të interesit të shkaktuar gjatë jetëgjatësisë së kredisë. Afatet më të gjata zvogëlojnë shpenzimet mujore, por rrisin interesin e përgjithshëm të paguar, ndërsa afatet më të shkurtra kanë efekt të kundërt.</w:t>
      </w:r>
      <w:r w:rsidRPr="00E84F90">
        <w:rPr>
          <w:rFonts w:eastAsia="Google Sans Text" w:cs="Times New Roman"/>
          <w:color w:val="575B5F"/>
          <w:szCs w:val="24"/>
          <w:vertAlign w:val="superscript"/>
        </w:rPr>
        <w:t>93</w:t>
      </w:r>
      <w:r w:rsidRPr="00E84F90">
        <w:t>.</w:t>
      </w:r>
    </w:p>
    <w:p w:rsidR="009B74E1" w:rsidRDefault="009B74E1" w:rsidP="00FB34A5">
      <w:pPr>
        <w:pBdr>
          <w:top w:val="nil"/>
          <w:left w:val="nil"/>
          <w:bottom w:val="nil"/>
          <w:right w:val="nil"/>
          <w:between w:val="nil"/>
        </w:pBdr>
        <w:spacing w:after="120"/>
      </w:pPr>
    </w:p>
    <w:p w:rsidR="00E84F90" w:rsidRPr="00E84F90" w:rsidRDefault="00E84F90" w:rsidP="00FB34A5">
      <w:pPr>
        <w:pBdr>
          <w:top w:val="nil"/>
          <w:left w:val="nil"/>
          <w:bottom w:val="nil"/>
          <w:right w:val="nil"/>
          <w:between w:val="nil"/>
        </w:pBdr>
        <w:spacing w:after="120"/>
      </w:pPr>
    </w:p>
    <w:p w:rsidR="008800BE" w:rsidRPr="00E84F90" w:rsidRDefault="008800BE" w:rsidP="00FB34A5">
      <w:pPr>
        <w:widowControl w:val="0"/>
        <w:numPr>
          <w:ilvl w:val="0"/>
          <w:numId w:val="37"/>
        </w:numPr>
        <w:pBdr>
          <w:top w:val="nil"/>
          <w:left w:val="nil"/>
          <w:bottom w:val="nil"/>
          <w:right w:val="nil"/>
          <w:between w:val="nil"/>
        </w:pBdr>
        <w:spacing w:after="120"/>
        <w:jc w:val="left"/>
        <w:rPr>
          <w:b/>
          <w:bCs/>
        </w:rPr>
      </w:pPr>
      <w:r w:rsidRPr="00E84F90">
        <w:rPr>
          <w:b/>
          <w:bCs/>
        </w:rPr>
        <w:t>2.3.3 Kriteret e Përbashkëta të Huadhënies</w:t>
      </w:r>
    </w:p>
    <w:p w:rsidR="008800BE" w:rsidRDefault="008800BE" w:rsidP="00FB34A5">
      <w:r>
        <w:lastRenderedPageBreak/>
        <w:t>Huadhënësit në Kosovë përdorin kritere standarde për të vlerësuar të drejtën e aplikantëve për kredi personale, duke menaxhuar ekspozimin e tyre ndaj rrezikut. Kërkesat kryesore zakonisht përfshijnë:</w:t>
      </w:r>
    </w:p>
    <w:p w:rsidR="008800BE" w:rsidRPr="00E84F90" w:rsidRDefault="008800BE" w:rsidP="00FB34A5">
      <w:pPr>
        <w:widowControl w:val="0"/>
        <w:numPr>
          <w:ilvl w:val="0"/>
          <w:numId w:val="38"/>
        </w:numPr>
        <w:pBdr>
          <w:top w:val="nil"/>
          <w:left w:val="nil"/>
          <w:bottom w:val="nil"/>
          <w:right w:val="nil"/>
          <w:between w:val="nil"/>
        </w:pBdr>
        <w:spacing w:after="0"/>
        <w:jc w:val="left"/>
      </w:pPr>
      <w:r w:rsidRPr="00E84F90">
        <w:rPr>
          <w:b/>
          <w:bCs/>
        </w:rPr>
        <w:t>Verifikimi i të ardhurave:</w:t>
      </w:r>
      <w:r w:rsidR="00E84F90" w:rsidRPr="00E84F90">
        <w:t xml:space="preserve"> </w:t>
      </w:r>
      <w:r w:rsidRPr="00E84F90">
        <w:t>Aplikantët duhet të demonstrojnë një burim të qëndrueshëm dhe të mjaftueshëm të të ardhurave për të mbuluar shlyerjet e kredisë. Huadhënësit shpesh kërkojnë prova të të ardhurave (p.sh., kontrata pune, fletëpagesa) dhe mund të përcaktojnë që paga e huamarrësit të kanalizohet përmes një llogarie në bankën huadhënëse.93</w:t>
      </w:r>
      <w:r w:rsidR="00E84F90" w:rsidRPr="00E84F90">
        <w:t xml:space="preserve"> D</w:t>
      </w:r>
      <w:r w:rsidRPr="00E84F90">
        <w:t>isa banka, si Raiffeisen, zbatojnë pragje specifike minimale të pagës mujore neto për shuma më të mëdha kredish (p.sh., mbi 1,000 € për kredi 35,000-40,000 €, mbi 1,200 € për kredi 40,000-50,000 €).</w:t>
      </w:r>
      <w:r w:rsidRPr="00E84F90">
        <w:rPr>
          <w:rFonts w:eastAsia="Google Sans Text" w:cs="Times New Roman"/>
          <w:color w:val="575B5F"/>
          <w:szCs w:val="24"/>
          <w:vertAlign w:val="superscript"/>
        </w:rPr>
        <w:t>93</w:t>
      </w:r>
      <w:r w:rsidR="00E84F90" w:rsidRPr="00E84F90">
        <w:t xml:space="preserve"> K</w:t>
      </w:r>
      <w:r w:rsidRPr="00E84F90">
        <w:t>jo praktikë u ofron huadhënësve shikueshmëri të drejtpërdrejtë në fluksin e parave të huamarrësit dhe siguron një kapacitet minimal shlyerjeje për ekspozime më të mëdha.</w:t>
      </w:r>
    </w:p>
    <w:p w:rsidR="008800BE" w:rsidRPr="00E84F90" w:rsidRDefault="008800BE" w:rsidP="00FB34A5">
      <w:pPr>
        <w:widowControl w:val="0"/>
        <w:numPr>
          <w:ilvl w:val="0"/>
          <w:numId w:val="38"/>
        </w:numPr>
        <w:pBdr>
          <w:top w:val="nil"/>
          <w:left w:val="nil"/>
          <w:bottom w:val="nil"/>
          <w:right w:val="nil"/>
          <w:between w:val="nil"/>
        </w:pBdr>
        <w:spacing w:after="0"/>
        <w:jc w:val="left"/>
      </w:pPr>
      <w:r w:rsidRPr="00E84F90">
        <w:rPr>
          <w:b/>
          <w:bCs/>
        </w:rPr>
        <w:t>Vlerësimi i Kredibilitetit:</w:t>
      </w:r>
      <w:r w:rsidR="00E84F90" w:rsidRPr="00E84F90">
        <w:t xml:space="preserve"> </w:t>
      </w:r>
      <w:r w:rsidRPr="00E84F90">
        <w:t>Huadhënësit mbështeten shumë në historinë e kreditit të huamarrësit për të vlerësuar rrezikun e shlyerjes. Ata hyjnë në Regjistrin zyrtar të Kredive të Kosovës, të mirëmbajtur nga BQK-ja, për të shqyrtuar sjelljen e mëparshme të huamarrjes së aplikantit dhe detyrimet ekzistuese të borxhit.</w:t>
      </w:r>
      <w:r w:rsidRPr="00E84F90">
        <w:rPr>
          <w:rFonts w:eastAsia="Google Sans Text" w:cs="Times New Roman"/>
          <w:color w:val="575B5F"/>
          <w:szCs w:val="24"/>
          <w:vertAlign w:val="superscript"/>
        </w:rPr>
        <w:t>53</w:t>
      </w:r>
      <w:r w:rsidR="00E84F90" w:rsidRPr="00E84F90">
        <w:t xml:space="preserve"> R</w:t>
      </w:r>
      <w:r w:rsidRPr="00E84F90">
        <w:t>aportet përgjithësisht të ulëta të NPL-ve të raportuara në sektorin bankar sugjerojnë se, në përgjithësi, cilësia e kredisë është ruajtur, ose se bankat përdorin teknika efektive të vlerësimit dhe menaxhimit të rrezikut.</w:t>
      </w:r>
      <w:r w:rsidRPr="00E84F90">
        <w:rPr>
          <w:rFonts w:eastAsia="Google Sans Text" w:cs="Times New Roman"/>
          <w:color w:val="575B5F"/>
          <w:szCs w:val="24"/>
          <w:vertAlign w:val="superscript"/>
        </w:rPr>
        <w:t>55</w:t>
      </w:r>
      <w:r w:rsidRPr="00E84F90">
        <w:t>.</w:t>
      </w:r>
    </w:p>
    <w:p w:rsidR="008800BE" w:rsidRPr="00E84F90" w:rsidRDefault="008800BE" w:rsidP="00FB34A5">
      <w:pPr>
        <w:widowControl w:val="0"/>
        <w:numPr>
          <w:ilvl w:val="0"/>
          <w:numId w:val="38"/>
        </w:numPr>
        <w:pBdr>
          <w:top w:val="nil"/>
          <w:left w:val="nil"/>
          <w:bottom w:val="nil"/>
          <w:right w:val="nil"/>
          <w:between w:val="nil"/>
        </w:pBdr>
        <w:spacing w:after="0"/>
        <w:jc w:val="left"/>
      </w:pPr>
      <w:r w:rsidRPr="00671F59">
        <w:rPr>
          <w:b/>
          <w:bCs/>
        </w:rPr>
        <w:t>Kërkesat për kolateral ose garantues:</w:t>
      </w:r>
      <w:r w:rsidR="00E84F90" w:rsidRPr="00E84F90">
        <w:t xml:space="preserve"> </w:t>
      </w:r>
      <w:r w:rsidRPr="00E84F90">
        <w:t>Ndërsa shumë kredi personale, veçanërisht ato më të vogla, tregtohen si të pasigurta ose "pa hipotekë".</w:t>
      </w:r>
      <w:r w:rsidRPr="00E84F90">
        <w:rPr>
          <w:rFonts w:eastAsia="Google Sans Text" w:cs="Times New Roman"/>
          <w:color w:val="575B5F"/>
          <w:szCs w:val="24"/>
          <w:vertAlign w:val="superscript"/>
        </w:rPr>
        <w:t>97</w:t>
      </w:r>
      <w:r w:rsidRPr="00E84F90">
        <w:t>, huadhënësit mund të kërkojnë siguri shtesë për shuma më të mëdha kredish ose për aplikantët me profile më të dobëta krediti. ProCredit, për shembull, reklamon kredi deri në 10,000 € pa pasur nevojë për një bashkëhuamarrës.94</w:t>
      </w:r>
      <w:r w:rsidR="00E84F90" w:rsidRPr="00E84F90">
        <w:t xml:space="preserve"> M</w:t>
      </w:r>
      <w:r w:rsidRPr="00E84F90">
        <w:t>egjithatë, Raiffeisen kërkon një garantues (i cili duhet të përmbushë kritere specifike, duke përfshirë të pagës dhe të posedojë një makinë relativisht të re) për kreditë personale që tejkalojnë 35,000 €.</w:t>
      </w:r>
      <w:r w:rsidRPr="00E84F90">
        <w:rPr>
          <w:rFonts w:eastAsia="Google Sans Text" w:cs="Times New Roman"/>
          <w:color w:val="575B5F"/>
          <w:szCs w:val="24"/>
          <w:vertAlign w:val="superscript"/>
        </w:rPr>
        <w:t>93</w:t>
      </w:r>
      <w:r w:rsidR="00E84F90" w:rsidRPr="00E84F90">
        <w:t xml:space="preserve"> K</w:t>
      </w:r>
      <w:r w:rsidRPr="00E84F90">
        <w:t>jo kërkesë për një burim dytësor shlyerjeje (garantues) shërben për të zbutur rrezikun e huadhënësit kur përfshihen shuma të konsiderueshme të pasiguruara.</w:t>
      </w:r>
    </w:p>
    <w:p w:rsidR="008800BE" w:rsidRPr="00E84F90" w:rsidRDefault="008800BE" w:rsidP="00FB34A5">
      <w:pPr>
        <w:widowControl w:val="0"/>
        <w:numPr>
          <w:ilvl w:val="0"/>
          <w:numId w:val="38"/>
        </w:numPr>
        <w:pBdr>
          <w:top w:val="nil"/>
          <w:left w:val="nil"/>
          <w:bottom w:val="nil"/>
          <w:right w:val="nil"/>
          <w:between w:val="nil"/>
        </w:pBdr>
        <w:spacing w:after="120"/>
        <w:jc w:val="left"/>
      </w:pPr>
      <w:r w:rsidRPr="00E84F90">
        <w:rPr>
          <w:b/>
          <w:bCs/>
        </w:rPr>
        <w:t>Statusi i Rezidencës:</w:t>
      </w:r>
      <w:r w:rsidR="00E84F90" w:rsidRPr="00E84F90">
        <w:t xml:space="preserve"> </w:t>
      </w:r>
      <w:r w:rsidRPr="00E84F90">
        <w:t>Aplikantët në përgjithësi duhet të jenë banorë të Republikës së Kosovës.</w:t>
      </w:r>
      <w:r w:rsidRPr="00E84F90">
        <w:rPr>
          <w:rFonts w:eastAsia="Google Sans Text" w:cs="Times New Roman"/>
          <w:color w:val="575B5F"/>
          <w:szCs w:val="24"/>
          <w:vertAlign w:val="superscript"/>
        </w:rPr>
        <w:t>93</w:t>
      </w:r>
      <w:r w:rsidRPr="00E84F90">
        <w:t>.</w:t>
      </w:r>
    </w:p>
    <w:p w:rsidR="008800BE" w:rsidRPr="00FB34A5" w:rsidRDefault="008800BE" w:rsidP="00FB34A5">
      <w:r w:rsidRPr="00FB34A5">
        <w:t xml:space="preserve">Këto kritere pasqyrojnë praktikat standarde të huadhënies në nivel global, por pragjet specifike për të ardhurat dhe kërkesa për garantues për kreditë personale më të mëdha të </w:t>
      </w:r>
      <w:r w:rsidRPr="00FB34A5">
        <w:lastRenderedPageBreak/>
        <w:t>pasiguruara nxjerrin në pah strategjitë e menaxhimit të riskut të përdorura nga bankat që operojnë brenda kontekstit të tregut të Kosovës.</w:t>
      </w:r>
      <w:r w:rsidRPr="00FB34A5">
        <w:rPr>
          <w:rFonts w:eastAsia="Google Sans Text" w:cs="Times New Roman"/>
          <w:color w:val="575B5F"/>
          <w:szCs w:val="24"/>
          <w:vertAlign w:val="superscript"/>
        </w:rPr>
        <w:t>93</w:t>
      </w:r>
      <w:r w:rsidRPr="00FB34A5">
        <w:t>.</w:t>
      </w:r>
    </w:p>
    <w:p w:rsidR="008800BE" w:rsidRPr="00FB34A5" w:rsidRDefault="00000000" w:rsidP="00FB34A5">
      <w:pPr>
        <w:rPr>
          <w:b/>
          <w:bCs/>
        </w:rPr>
      </w:pPr>
      <w:r>
        <w:rPr>
          <w:b/>
          <w:bCs/>
        </w:rPr>
        <w:pict>
          <v:rect id="_x0000_i1029" style="width:0;height:1.5pt" o:hralign="center" o:hrstd="t" o:hr="t" fillcolor="#a0a0a0" stroked="f"/>
        </w:pict>
      </w:r>
      <w:r w:rsidR="008800BE" w:rsidRPr="00FB34A5">
        <w:rPr>
          <w:b/>
          <w:bCs/>
        </w:rPr>
        <w:t>Tabela 3: Përmbledhje e Kushteve Tipike të Kredive Personale në Kosovë</w:t>
      </w:r>
    </w:p>
    <w:p w:rsidR="008800BE" w:rsidRDefault="008800BE" w:rsidP="00FB34A5">
      <w:pPr>
        <w:rPr>
          <w:rFonts w:ascii="Google Sans Text" w:eastAsia="Google Sans Text" w:hAnsi="Google Sans Text"/>
          <w:b/>
          <w:szCs w:val="24"/>
        </w:rPr>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800BE" w:rsidTr="008800BE">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jc w:val="center"/>
              <w:rPr>
                <w:b/>
                <w:bCs/>
                <w:sz w:val="20"/>
              </w:rPr>
            </w:pPr>
            <w:r w:rsidRPr="00FB34A5">
              <w:rPr>
                <w:b/>
                <w:bCs/>
                <w:sz w:val="20"/>
              </w:rPr>
              <w:t>Lloji i ofruesit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jc w:val="center"/>
              <w:rPr>
                <w:b/>
                <w:bCs/>
                <w:sz w:val="20"/>
              </w:rPr>
            </w:pPr>
            <w:r w:rsidRPr="00FB34A5">
              <w:rPr>
                <w:b/>
                <w:bCs/>
                <w:sz w:val="20"/>
              </w:rPr>
              <w:t>Diapazoni tipik i normës së interesit (</w:t>
            </w:r>
            <w:r w:rsidR="00C56A5E">
              <w:rPr>
                <w:b/>
                <w:bCs/>
                <w:sz w:val="20"/>
              </w:rPr>
              <w:t>NVP</w:t>
            </w:r>
            <w:r w:rsidRPr="00FB34A5">
              <w:rPr>
                <w:b/>
                <w:bCs/>
                <w:sz w:val="20"/>
              </w:rPr>
              <w:t>/Nominale Fikse/Variabël)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jc w:val="center"/>
              <w:rPr>
                <w:b/>
                <w:bCs/>
                <w:sz w:val="20"/>
              </w:rPr>
            </w:pPr>
            <w:r w:rsidRPr="00FB34A5">
              <w:rPr>
                <w:b/>
                <w:bCs/>
                <w:sz w:val="20"/>
              </w:rPr>
              <w:t>Diapazoni tipik i afatit të kredisë (Muaj/Vite)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jc w:val="center"/>
              <w:rPr>
                <w:b/>
                <w:bCs/>
                <w:sz w:val="20"/>
              </w:rPr>
            </w:pPr>
            <w:r w:rsidRPr="00FB34A5">
              <w:rPr>
                <w:b/>
                <w:bCs/>
                <w:sz w:val="20"/>
              </w:rPr>
              <w:t>Kriteret e Përbashkëta të Huadhënies</w:t>
            </w:r>
          </w:p>
        </w:tc>
      </w:tr>
      <w:tr w:rsidR="008800BE" w:rsidTr="008800BE">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b/>
                <w:sz w:val="20"/>
              </w:rPr>
            </w:pPr>
            <w:r w:rsidRPr="00FB34A5">
              <w:rPr>
                <w:rFonts w:eastAsia="Google Sans Text" w:cs="Times New Roman"/>
                <w:b/>
                <w:sz w:val="20"/>
              </w:rPr>
              <w:t>Bankat Tregtare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sz w:val="20"/>
              </w:rPr>
            </w:pPr>
            <w:r w:rsidRPr="00FB34A5">
              <w:rPr>
                <w:rFonts w:eastAsia="Google Sans Text" w:cs="Times New Roman"/>
                <w:sz w:val="20"/>
              </w:rPr>
              <w:t>Shkalla Mesatare e Familjeve: ~5.6%-6.2%</w:t>
            </w:r>
            <w:r w:rsidRPr="00FB34A5">
              <w:rPr>
                <w:rFonts w:eastAsia="Google Sans Text" w:cs="Times New Roman"/>
                <w:color w:val="575B5F"/>
                <w:szCs w:val="24"/>
                <w:vertAlign w:val="superscript"/>
              </w:rPr>
              <w:t>89</w:t>
            </w:r>
            <w:r w:rsidRPr="00FB34A5">
              <w:rPr>
                <w:rFonts w:eastAsia="Google Sans Text" w:cs="Times New Roman"/>
                <w:sz w:val="20"/>
              </w:rPr>
              <w:t>Ofertat specifike ndryshojnë: p.sh., Raiffeisen 5.5% fikse</w:t>
            </w:r>
            <w:r w:rsidRPr="00FB34A5">
              <w:rPr>
                <w:rFonts w:eastAsia="Google Sans Text" w:cs="Times New Roman"/>
                <w:color w:val="575B5F"/>
                <w:szCs w:val="24"/>
                <w:vertAlign w:val="superscript"/>
              </w:rPr>
              <w:t>93</w:t>
            </w:r>
            <w:r w:rsidRPr="00FB34A5">
              <w:rPr>
                <w:rFonts w:eastAsia="Google Sans Text" w:cs="Times New Roman"/>
                <w:sz w:val="20"/>
              </w:rPr>
              <w:t>; ProCredit 6.9% nominale (7.57% normë interesi bazë) për kredi prej 10 mijë eurosh</w:t>
            </w:r>
            <w:r w:rsidRPr="00FB34A5">
              <w:rPr>
                <w:rFonts w:eastAsia="Google Sans Text" w:cs="Times New Roman"/>
                <w:color w:val="575B5F"/>
                <w:szCs w:val="24"/>
                <w:vertAlign w:val="superscript"/>
              </w:rPr>
              <w:t>94</w:t>
            </w:r>
            <w:r w:rsidRPr="00FB34A5">
              <w:rPr>
                <w:rFonts w:eastAsia="Google Sans Text" w:cs="Times New Roman"/>
                <w:sz w:val="20"/>
              </w:rPr>
              <w:t>, produktet e tjera ndryshojnë</w:t>
            </w:r>
            <w:r w:rsidRPr="00FB34A5">
              <w:rPr>
                <w:rFonts w:eastAsia="Google Sans Text" w:cs="Times New Roman"/>
                <w:color w:val="575B5F"/>
                <w:szCs w:val="24"/>
                <w:vertAlign w:val="superscript"/>
              </w:rPr>
              <w:t>95</w:t>
            </w:r>
            <w:r w:rsidRPr="00FB34A5">
              <w:rPr>
                <w:rFonts w:eastAsia="Google Sans Text" w:cs="Times New Roman"/>
                <w:sz w:val="20"/>
              </w:rPr>
              <w:t>Kalimi i kufizuar i normës së interesit nga BQE-ja</w:t>
            </w:r>
            <w:r w:rsidRPr="00FB34A5">
              <w:rPr>
                <w:rFonts w:eastAsia="Google Sans Text" w:cs="Times New Roman"/>
                <w:color w:val="575B5F"/>
                <w:szCs w:val="24"/>
                <w:vertAlign w:val="superscript"/>
              </w:rPr>
              <w:t>86</w:t>
            </w:r>
            <w:r w:rsidRPr="00FB34A5">
              <w:rPr>
                <w:rFonts w:eastAsia="Google Sans Text" w:cs="Times New Roman"/>
                <w:sz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sz w:val="20"/>
              </w:rPr>
            </w:pPr>
            <w:r w:rsidRPr="00FB34A5">
              <w:rPr>
                <w:rFonts w:eastAsia="Google Sans Text" w:cs="Times New Roman"/>
                <w:sz w:val="20"/>
              </w:rPr>
              <w:t>Deri në 120 muaj (10 vjet)</w:t>
            </w:r>
            <w:r w:rsidRPr="00FB34A5">
              <w:rPr>
                <w:rFonts w:eastAsia="Google Sans Text" w:cs="Times New Roman"/>
                <w:color w:val="575B5F"/>
                <w:szCs w:val="24"/>
                <w:vertAlign w:val="superscript"/>
              </w:rPr>
              <w:t>93</w:t>
            </w:r>
            <w:r w:rsidRPr="00FB34A5">
              <w:rPr>
                <w:rFonts w:eastAsia="Google Sans Text" w:cs="Times New Roman"/>
                <w:sz w:val="20"/>
              </w:rPr>
              <w:t>60-84 muaj (5-7 vjeç) gjithashtu e zakonshme</w:t>
            </w:r>
            <w:r w:rsidRPr="00FB34A5">
              <w:rPr>
                <w:rFonts w:eastAsia="Google Sans Text" w:cs="Times New Roman"/>
                <w:color w:val="575B5F"/>
                <w:szCs w:val="24"/>
                <w:vertAlign w:val="superscript"/>
              </w:rPr>
              <w:t>94</w:t>
            </w:r>
            <w:r w:rsidRPr="00FB34A5">
              <w:rPr>
                <w:rFonts w:eastAsia="Google Sans Text" w:cs="Times New Roman"/>
                <w:sz w:val="20"/>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sz w:val="20"/>
              </w:rPr>
            </w:pPr>
            <w:r w:rsidRPr="00FB34A5">
              <w:rPr>
                <w:rFonts w:eastAsia="Google Sans Text" w:cs="Times New Roman"/>
                <w:sz w:val="20"/>
              </w:rPr>
              <w:t>Banor i Kosovës</w:t>
            </w:r>
            <w:r w:rsidRPr="00FB34A5">
              <w:rPr>
                <w:rFonts w:eastAsia="Google Sans Text" w:cs="Times New Roman"/>
                <w:color w:val="575B5F"/>
                <w:szCs w:val="24"/>
                <w:vertAlign w:val="superscript"/>
              </w:rPr>
              <w:t>93</w:t>
            </w:r>
            <w:r w:rsidRPr="00FB34A5">
              <w:rPr>
                <w:rFonts w:eastAsia="Google Sans Text" w:cs="Times New Roman"/>
                <w:sz w:val="20"/>
              </w:rPr>
              <w:t>Të ardhura të rregullta (shpesh paga nëpërmjet bankës huadhënëse)</w:t>
            </w:r>
            <w:r w:rsidRPr="00FB34A5">
              <w:rPr>
                <w:rFonts w:eastAsia="Google Sans Text" w:cs="Times New Roman"/>
                <w:color w:val="575B5F"/>
                <w:szCs w:val="24"/>
                <w:vertAlign w:val="superscript"/>
              </w:rPr>
              <w:t>93</w:t>
            </w:r>
            <w:r w:rsidRPr="00FB34A5">
              <w:rPr>
                <w:rFonts w:eastAsia="Google Sans Text" w:cs="Times New Roman"/>
                <w:sz w:val="20"/>
              </w:rPr>
              <w:t>Kontroll krediti nëpërmjet Regjistrit të Kredive</w:t>
            </w:r>
            <w:r w:rsidRPr="00FB34A5">
              <w:rPr>
                <w:rFonts w:eastAsia="Google Sans Text" w:cs="Times New Roman"/>
                <w:color w:val="575B5F"/>
                <w:szCs w:val="24"/>
                <w:vertAlign w:val="superscript"/>
              </w:rPr>
              <w:t>53</w:t>
            </w:r>
            <w:r w:rsidRPr="00FB34A5">
              <w:rPr>
                <w:rFonts w:eastAsia="Google Sans Text" w:cs="Times New Roman"/>
                <w:sz w:val="20"/>
              </w:rPr>
              <w:t>; Garantuesi mund të kërkohet për shuma më të mëdha të pasiguruara (p.sh. &gt;35 mijë euro)</w:t>
            </w:r>
            <w:r w:rsidRPr="00FB34A5">
              <w:rPr>
                <w:rFonts w:eastAsia="Google Sans Text" w:cs="Times New Roman"/>
                <w:color w:val="575B5F"/>
                <w:szCs w:val="24"/>
                <w:vertAlign w:val="superscript"/>
              </w:rPr>
              <w:t>93</w:t>
            </w:r>
            <w:r w:rsidRPr="00FB34A5">
              <w:rPr>
                <w:rFonts w:eastAsia="Google Sans Text" w:cs="Times New Roman"/>
                <w:sz w:val="20"/>
              </w:rPr>
              <w:t>.</w:t>
            </w:r>
          </w:p>
        </w:tc>
      </w:tr>
      <w:tr w:rsidR="008800BE" w:rsidTr="008800BE">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b/>
                <w:sz w:val="20"/>
              </w:rPr>
            </w:pPr>
            <w:r w:rsidRPr="00FB34A5">
              <w:rPr>
                <w:rFonts w:eastAsia="Google Sans Text" w:cs="Times New Roman"/>
                <w:b/>
                <w:sz w:val="20"/>
              </w:rPr>
              <w:t>IMF-të / FI-të NB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1070D4" w:rsidP="00FB34A5">
            <w:pPr>
              <w:pBdr>
                <w:top w:val="nil"/>
                <w:left w:val="nil"/>
                <w:bottom w:val="nil"/>
                <w:right w:val="nil"/>
                <w:between w:val="nil"/>
              </w:pBdr>
              <w:spacing w:before="120" w:after="120" w:line="275" w:lineRule="auto"/>
              <w:jc w:val="center"/>
              <w:rPr>
                <w:rFonts w:eastAsia="Google Sans Text" w:cs="Times New Roman"/>
                <w:sz w:val="20"/>
              </w:rPr>
            </w:pPr>
            <w:r w:rsidRPr="001070D4">
              <w:rPr>
                <w:rFonts w:eastAsia="Google Sans Text" w:cs="Times New Roman"/>
                <w:sz w:val="20"/>
              </w:rPr>
              <w:t>Të dhënat e disponueshme për këtë segment janë më të kufizuara dhe më pak të standardizuara</w:t>
            </w:r>
            <w:r w:rsidRPr="001070D4">
              <w:rPr>
                <w:rFonts w:eastAsia="Google Sans Text" w:cs="Times New Roman"/>
                <w:b/>
                <w:bCs/>
                <w:sz w:val="20"/>
              </w:rPr>
              <w:t>,</w:t>
            </w:r>
            <w:r w:rsidRPr="001070D4">
              <w:rPr>
                <w:rFonts w:eastAsia="Google Sans Text" w:cs="Times New Roman"/>
                <w:sz w:val="20"/>
              </w:rPr>
              <w:t xml:space="preserve"> por sugjerojnë norma më të larta për shkak të profilit të rrezikut</w:t>
            </w:r>
            <w:r w:rsidR="008800BE" w:rsidRPr="00FB34A5">
              <w:rPr>
                <w:rFonts w:eastAsia="Google Sans Text" w:cs="Times New Roman"/>
                <w:sz w:val="20"/>
              </w:rPr>
              <w:t>. Norma të mundshme më të larta se bankat për kredi të krahasueshme të pasiguruara për shkak të klientelës/profilit të rrezikut të synuar.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sz w:val="20"/>
              </w:rPr>
            </w:pPr>
            <w:r w:rsidRPr="00FB34A5">
              <w:rPr>
                <w:rFonts w:eastAsia="Google Sans Text" w:cs="Times New Roman"/>
                <w:sz w:val="20"/>
              </w:rPr>
              <w:t>Afate të mundshme më të shkurtra krahasuar me maksimumet e bankave, duke u përqendruar potencialisht në kredi më të vogla dhe me afat më të shkurtër.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800BE" w:rsidRPr="00FB34A5" w:rsidRDefault="008800BE" w:rsidP="00FB34A5">
            <w:pPr>
              <w:pBdr>
                <w:top w:val="nil"/>
                <w:left w:val="nil"/>
                <w:bottom w:val="nil"/>
                <w:right w:val="nil"/>
                <w:between w:val="nil"/>
              </w:pBdr>
              <w:spacing w:before="120" w:after="120" w:line="275" w:lineRule="auto"/>
              <w:jc w:val="center"/>
              <w:rPr>
                <w:rFonts w:eastAsia="Google Sans Text" w:cs="Times New Roman"/>
                <w:sz w:val="20"/>
              </w:rPr>
            </w:pPr>
            <w:r w:rsidRPr="00FB34A5">
              <w:rPr>
                <w:rFonts w:eastAsia="Google Sans Text" w:cs="Times New Roman"/>
                <w:sz w:val="20"/>
              </w:rPr>
              <w:t>Përqendrohuni në segmentet e pashërbyera, kritere potencialisht më fleksibile, por ka të ngjarë të kërkojnë ende vërtetim të të ardhurave dhe kontroll krediti.</w:t>
            </w:r>
          </w:p>
        </w:tc>
      </w:tr>
    </w:tbl>
    <w:p w:rsidR="005D05F6" w:rsidRDefault="00000000" w:rsidP="003D4516">
      <w:r>
        <w:pict>
          <v:rect id="_x0000_i1030" style="width:0;height:1.5pt" o:hralign="center" o:hrstd="t" o:hr="t" fillcolor="#a0a0a0" stroked="f"/>
        </w:pict>
      </w:r>
    </w:p>
    <w:p w:rsidR="005D05F6" w:rsidRDefault="005D05F6" w:rsidP="003D4516"/>
    <w:p w:rsidR="005D05F6" w:rsidRDefault="00FB34A5" w:rsidP="003838A9">
      <w:pPr>
        <w:pStyle w:val="Heading2"/>
      </w:pPr>
      <w:bookmarkStart w:id="15" w:name="_Toc198558476"/>
      <w:r w:rsidRPr="00FB34A5">
        <w:lastRenderedPageBreak/>
        <w:t xml:space="preserve">Seksioni 2.4: </w:t>
      </w:r>
      <w:r w:rsidR="006E0EA1" w:rsidRPr="006E0EA1">
        <w:t>Dinamikat e Tregut: Madhësia, Rritja dhe Trendet</w:t>
      </w:r>
      <w:bookmarkEnd w:id="15"/>
    </w:p>
    <w:p w:rsidR="0021153C" w:rsidRPr="0021153C" w:rsidRDefault="0021153C" w:rsidP="003D4516">
      <w:pPr>
        <w:widowControl w:val="0"/>
        <w:numPr>
          <w:ilvl w:val="0"/>
          <w:numId w:val="39"/>
        </w:numPr>
        <w:pBdr>
          <w:top w:val="nil"/>
          <w:left w:val="nil"/>
          <w:bottom w:val="nil"/>
          <w:right w:val="nil"/>
          <w:between w:val="nil"/>
        </w:pBdr>
        <w:spacing w:after="120"/>
        <w:jc w:val="left"/>
        <w:rPr>
          <w:b/>
          <w:bCs/>
        </w:rPr>
      </w:pPr>
      <w:r w:rsidRPr="0021153C">
        <w:rPr>
          <w:b/>
          <w:bCs/>
        </w:rPr>
        <w:t>2.4.1 Madhësia dhe Rritja e Tregut</w:t>
      </w:r>
    </w:p>
    <w:p w:rsidR="0021153C" w:rsidRPr="0021153C" w:rsidRDefault="0021153C" w:rsidP="003D4516">
      <w:pPr>
        <w:pBdr>
          <w:top w:val="nil"/>
          <w:left w:val="nil"/>
          <w:bottom w:val="nil"/>
          <w:right w:val="nil"/>
          <w:between w:val="nil"/>
        </w:pBdr>
        <w:spacing w:before="240"/>
      </w:pPr>
      <w:r w:rsidRPr="0021153C">
        <w:t>Tregu i kredive në Kosovë ka përjetuar një zgjerim të ndjeshëm në vitet e fundit. Totali i kredive të papaguara në të gjithë sektorin bankar arriti në afërsisht 6.04 miliardë euro që nga janari 2025.</w:t>
      </w:r>
      <w:r w:rsidRPr="0021153C">
        <w:rPr>
          <w:rFonts w:eastAsia="Google Sans Text" w:cs="Times New Roman"/>
          <w:color w:val="575B5F"/>
          <w:szCs w:val="24"/>
          <w:vertAlign w:val="superscript"/>
        </w:rPr>
        <w:t>88</w:t>
      </w:r>
      <w:r w:rsidRPr="0021153C">
        <w:t xml:space="preserve"> Kjo përfaqëson një rritje të konsiderueshme nga viti në vit, e regjistruar në 18.74% në janar 2025.</w:t>
      </w:r>
      <w:r w:rsidRPr="0021153C">
        <w:rPr>
          <w:rFonts w:eastAsia="Google Sans Text" w:cs="Times New Roman"/>
          <w:color w:val="575B5F"/>
          <w:szCs w:val="24"/>
          <w:vertAlign w:val="superscript"/>
        </w:rPr>
        <w:t>88</w:t>
      </w:r>
      <w:r w:rsidRPr="0021153C">
        <w:t>, duke vazhduar një trend të zgjerimit të fortë të vërejtur në periudhat e mëparshme (p.sh., rritje prej 7.6% në krahasim me vitin e kaluar në shtator 2020)</w:t>
      </w:r>
      <w:r w:rsidRPr="0021153C">
        <w:rPr>
          <w:rFonts w:eastAsia="Google Sans Text" w:cs="Times New Roman"/>
          <w:color w:val="575B5F"/>
          <w:szCs w:val="24"/>
          <w:vertAlign w:val="superscript"/>
        </w:rPr>
        <w:t>75</w:t>
      </w:r>
      <w:r w:rsidRPr="0021153C">
        <w:t>).</w:t>
      </w:r>
    </w:p>
    <w:p w:rsidR="0021153C" w:rsidRPr="0021153C" w:rsidRDefault="0021153C" w:rsidP="003D4516">
      <w:pPr>
        <w:pBdr>
          <w:top w:val="nil"/>
          <w:left w:val="nil"/>
          <w:bottom w:val="nil"/>
          <w:right w:val="nil"/>
          <w:between w:val="nil"/>
        </w:pBdr>
      </w:pPr>
      <w:r w:rsidRPr="0021153C">
        <w:t>Kreditimi për familjet përbën një komponent të rëndësishëm të kësaj rritjeje. Vlera totale e kredive të papaguara për familjet ishte 2.34 miliardë euro në fund të tremujorit të katërt 2024.</w:t>
      </w:r>
      <w:r w:rsidRPr="0021153C">
        <w:rPr>
          <w:rFonts w:eastAsia="Google Sans Text" w:cs="Times New Roman"/>
          <w:color w:val="575B5F"/>
          <w:szCs w:val="24"/>
          <w:vertAlign w:val="superscript"/>
        </w:rPr>
        <w:t>89</w:t>
      </w:r>
      <w:r w:rsidRPr="0021153C">
        <w:t xml:space="preserve"> Masa më e gjerë e kredisë për sektorin privat ka treguar gjithashtu një rritje të fuqishme, duke u zgjeruar me 17% në terma realë gjatë vitit 2023 dhe duke tejkaluar 56% të PBB-së së Kosovës në vitin 2024.</w:t>
      </w:r>
      <w:r w:rsidRPr="0021153C">
        <w:rPr>
          <w:rFonts w:eastAsia="Google Sans Text" w:cs="Times New Roman"/>
          <w:color w:val="575B5F"/>
          <w:szCs w:val="24"/>
          <w:vertAlign w:val="superscript"/>
        </w:rPr>
        <w:t>55</w:t>
      </w:r>
      <w:r w:rsidRPr="0021153C">
        <w:t>.</w:t>
      </w:r>
    </w:p>
    <w:p w:rsidR="0021153C" w:rsidRPr="0021153C" w:rsidRDefault="0021153C" w:rsidP="003D4516">
      <w:pPr>
        <w:pBdr>
          <w:top w:val="nil"/>
          <w:left w:val="nil"/>
          <w:bottom w:val="nil"/>
          <w:right w:val="nil"/>
          <w:between w:val="nil"/>
        </w:pBdr>
        <w:spacing w:after="120"/>
      </w:pPr>
      <w:r w:rsidRPr="0021153C">
        <w:t xml:space="preserve">Ndërsa të dhënat e ofruara nuk e izolojnë madhësinë e saktë të tregut posaçërisht për kreditë personale brenda kategorisë së kredisë për familjet, tendencat e forta rritëse si në totalin e kredive ashtu edhe në kreditë për familjet sugjerojnë fuqimisht se tregu i kredive personale është zgjeruar me shpejtësi. Kjo përputhet me trendet globale, ku tregu i kredive personale parashikohet gjithashtu të përjetojë një rritje të konsiderueshme (p.sh., një </w:t>
      </w:r>
      <w:r w:rsidR="001070D4" w:rsidRPr="001070D4">
        <w:t>rritje mesatare vjetore e përbërë</w:t>
      </w:r>
      <w:r w:rsidRPr="0021153C">
        <w:t xml:space="preserve"> globale prej 10.6% e parashikuar për vitet 2024-2033)</w:t>
      </w:r>
      <w:r w:rsidRPr="0021153C">
        <w:rPr>
          <w:rFonts w:eastAsia="Google Sans Text" w:cs="Times New Roman"/>
          <w:color w:val="575B5F"/>
          <w:szCs w:val="24"/>
          <w:vertAlign w:val="superscript"/>
        </w:rPr>
        <w:t>98</w:t>
      </w:r>
      <w:r w:rsidRPr="0021153C">
        <w:t>), megjithëse rritja e fundit e kreditimit në Kosovë duket të jetë edhe më dinamike.</w:t>
      </w:r>
    </w:p>
    <w:p w:rsidR="0021153C" w:rsidRPr="0021153C" w:rsidRDefault="0021153C" w:rsidP="003D4516">
      <w:pPr>
        <w:widowControl w:val="0"/>
        <w:numPr>
          <w:ilvl w:val="0"/>
          <w:numId w:val="40"/>
        </w:numPr>
        <w:pBdr>
          <w:top w:val="nil"/>
          <w:left w:val="nil"/>
          <w:bottom w:val="nil"/>
          <w:right w:val="nil"/>
          <w:between w:val="nil"/>
        </w:pBdr>
        <w:spacing w:after="120"/>
        <w:jc w:val="left"/>
        <w:rPr>
          <w:b/>
          <w:bCs/>
        </w:rPr>
      </w:pPr>
      <w:r w:rsidRPr="0021153C">
        <w:rPr>
          <w:b/>
          <w:bCs/>
        </w:rPr>
        <w:t>2.4.2 Zhvillimet e fundit</w:t>
      </w:r>
    </w:p>
    <w:p w:rsidR="0021153C" w:rsidRDefault="0021153C" w:rsidP="003D4516">
      <w:r>
        <w:t>Disa zhvillime kyçe po formësojnë tregun e kredive personale të Kosovës dhe sektorin financiar në përgjithësi:</w:t>
      </w:r>
    </w:p>
    <w:p w:rsidR="0021153C" w:rsidRPr="0021153C" w:rsidRDefault="0021153C" w:rsidP="003D4516">
      <w:pPr>
        <w:widowControl w:val="0"/>
        <w:numPr>
          <w:ilvl w:val="0"/>
          <w:numId w:val="41"/>
        </w:numPr>
        <w:pBdr>
          <w:top w:val="nil"/>
          <w:left w:val="nil"/>
          <w:bottom w:val="nil"/>
          <w:right w:val="nil"/>
          <w:between w:val="nil"/>
        </w:pBdr>
        <w:spacing w:after="0"/>
        <w:jc w:val="left"/>
      </w:pPr>
      <w:r w:rsidRPr="0021153C">
        <w:rPr>
          <w:b/>
          <w:bCs/>
        </w:rPr>
        <w:t>Transformimi Dixhital:</w:t>
      </w:r>
      <w:r w:rsidRPr="0021153C">
        <w:t xml:space="preserve"> Bankat po investojnë në mënyrë aktive në kanale dixhitale për të përmirësuar përvojën e klientit dhe efikasitetin operacional. Shembuj përfshijnë platformën bankare mobile dhe web Raiffeisen Plus.</w:t>
      </w:r>
      <w:r w:rsidRPr="0021153C">
        <w:rPr>
          <w:rFonts w:eastAsia="Google Sans Text" w:cs="Times New Roman"/>
          <w:color w:val="575B5F"/>
          <w:szCs w:val="24"/>
          <w:vertAlign w:val="superscript"/>
        </w:rPr>
        <w:t>99</w:t>
      </w:r>
      <w:r w:rsidRPr="0021153C">
        <w:t xml:space="preserve"> dhe shërbimet e-Banking dhe zgjidhjet e pagesave të tregtisë elektronike të ProCredit Bank</w:t>
      </w:r>
      <w:r w:rsidRPr="0021153C">
        <w:rPr>
          <w:rFonts w:eastAsia="Google Sans Text" w:cs="Times New Roman"/>
          <w:color w:val="575B5F"/>
          <w:szCs w:val="24"/>
          <w:vertAlign w:val="superscript"/>
        </w:rPr>
        <w:t>100</w:t>
      </w:r>
      <w:r w:rsidRPr="0021153C">
        <w:t xml:space="preserve"> Ky dixhitalizim e bën aksesin në informacionin e kredisë dhe aplikimin për kredi potencialisht më të lehtë për konsumatorët.</w:t>
      </w:r>
    </w:p>
    <w:p w:rsidR="0021153C" w:rsidRPr="0021153C" w:rsidRDefault="0021153C" w:rsidP="003D4516">
      <w:pPr>
        <w:widowControl w:val="0"/>
        <w:numPr>
          <w:ilvl w:val="0"/>
          <w:numId w:val="41"/>
        </w:numPr>
        <w:pBdr>
          <w:top w:val="nil"/>
          <w:left w:val="nil"/>
          <w:bottom w:val="nil"/>
          <w:right w:val="nil"/>
          <w:between w:val="nil"/>
        </w:pBdr>
        <w:spacing w:after="0"/>
        <w:jc w:val="left"/>
      </w:pPr>
      <w:r w:rsidRPr="0021153C">
        <w:rPr>
          <w:b/>
          <w:bCs/>
        </w:rPr>
        <w:t>Iniciativat e Përfshirjes Financiare:</w:t>
      </w:r>
      <w:r w:rsidRPr="0021153C">
        <w:t xml:space="preserve"> BQK-ja po promovon një përfshirje më të </w:t>
      </w:r>
      <w:r w:rsidRPr="0021153C">
        <w:lastRenderedPageBreak/>
        <w:t>madhe financiare. Një masë kyçe është Rregullorja për aksesin në llogaritë e pagesave me shërbime bazë, e cila hyri në fuqi në gusht 2023 (me disa dispozita në fuqi nga janari 2024).</w:t>
      </w:r>
      <w:r w:rsidRPr="0021153C">
        <w:rPr>
          <w:rFonts w:eastAsia="Google Sans Text" w:cs="Times New Roman"/>
          <w:color w:val="575B5F"/>
          <w:szCs w:val="24"/>
          <w:vertAlign w:val="superscript"/>
        </w:rPr>
        <w:t>103</w:t>
      </w:r>
      <w:r w:rsidRPr="0021153C">
        <w:t xml:space="preserve"> Ky rregullore synon të sigurojë që të gjithë qytetarët, pavarësisht nga gjendja financiare, të kenë akses në shërbimet thelbësore bankare me një kosto të arsyeshme (tarifë mujore e kufizuar ose falas për grupet vulnerabël), duke sjellë potencialisht më shumë individë në sistemin formal financiar.</w:t>
      </w:r>
      <w:r w:rsidRPr="0021153C">
        <w:rPr>
          <w:rFonts w:eastAsia="Google Sans Text" w:cs="Times New Roman"/>
          <w:color w:val="575B5F"/>
          <w:szCs w:val="24"/>
          <w:vertAlign w:val="superscript"/>
        </w:rPr>
        <w:t>76</w:t>
      </w:r>
      <w:r w:rsidRPr="0021153C">
        <w:t>.</w:t>
      </w:r>
    </w:p>
    <w:p w:rsidR="0021153C" w:rsidRPr="0021153C" w:rsidRDefault="0021153C" w:rsidP="003D4516">
      <w:pPr>
        <w:widowControl w:val="0"/>
        <w:numPr>
          <w:ilvl w:val="0"/>
          <w:numId w:val="41"/>
        </w:numPr>
        <w:pBdr>
          <w:top w:val="nil"/>
          <w:left w:val="nil"/>
          <w:bottom w:val="nil"/>
          <w:right w:val="nil"/>
          <w:between w:val="nil"/>
        </w:pBdr>
        <w:spacing w:after="0"/>
        <w:jc w:val="left"/>
      </w:pPr>
      <w:r w:rsidRPr="0021153C">
        <w:rPr>
          <w:b/>
          <w:bCs/>
        </w:rPr>
        <w:t>Mbështetje dhe Reforma Ndërkombëtare:</w:t>
      </w:r>
      <w:r w:rsidRPr="0021153C">
        <w:t xml:space="preserve"> Kosova vazhdon të bashkëpunojë me institucionet financiare ndërkombëtare. Programet e vazhdueshme të FMN-së (Marrëveshja Stand-By dhe Faciliteti i Rezistencës dhe Qëndrueshmërisë) ofrojnë mbështetje financiare dhe mbështesin reformat strukturore, duke përfshirë ato që lidhen me zbutjen e ndryshimeve klimatike dhe stabilitetin e sektorit financiar.</w:t>
      </w:r>
      <w:r w:rsidRPr="0021153C">
        <w:rPr>
          <w:rFonts w:eastAsia="Google Sans Text" w:cs="Times New Roman"/>
          <w:color w:val="575B5F"/>
          <w:szCs w:val="24"/>
          <w:vertAlign w:val="superscript"/>
        </w:rPr>
        <w:t>55</w:t>
      </w:r>
      <w:r w:rsidRPr="0021153C">
        <w:t>.</w:t>
      </w:r>
    </w:p>
    <w:p w:rsidR="0021153C" w:rsidRPr="0021153C" w:rsidRDefault="0021153C" w:rsidP="003D4516">
      <w:pPr>
        <w:widowControl w:val="0"/>
        <w:numPr>
          <w:ilvl w:val="0"/>
          <w:numId w:val="41"/>
        </w:numPr>
        <w:pBdr>
          <w:top w:val="nil"/>
          <w:left w:val="nil"/>
          <w:bottom w:val="nil"/>
          <w:right w:val="nil"/>
          <w:between w:val="nil"/>
        </w:pBdr>
        <w:spacing w:after="0"/>
        <w:jc w:val="left"/>
      </w:pPr>
      <w:r w:rsidRPr="0021153C">
        <w:rPr>
          <w:b/>
          <w:bCs/>
        </w:rPr>
        <w:t>Mbikëqyrje Rregullatore e Përmirësuar:</w:t>
      </w:r>
      <w:r w:rsidRPr="0021153C">
        <w:t xml:space="preserve"> Duke njohur rreziqet që lidhen me rritjen e shpejtë të kredisë, BQK-ja po forcon kapacitetin e saj mbikëqyrës. Kjo përfshin zbatimin e kuadrit SREP të bazuar në rrezik, zhvillimin e mjeteve makroprudenciale, rritjen e përgatitjes për kriza dhe përafrimin e rregulloreve (si Ligji i ri për Bankat) me standardet e BE-së.</w:t>
      </w:r>
      <w:r w:rsidRPr="0021153C">
        <w:rPr>
          <w:rFonts w:eastAsia="Google Sans Text" w:cs="Times New Roman"/>
          <w:color w:val="575B5F"/>
          <w:szCs w:val="24"/>
          <w:vertAlign w:val="superscript"/>
        </w:rPr>
        <w:t>55</w:t>
      </w:r>
      <w:r w:rsidRPr="0021153C">
        <w:t>.</w:t>
      </w:r>
    </w:p>
    <w:p w:rsidR="0021153C" w:rsidRPr="0021153C" w:rsidRDefault="0021153C" w:rsidP="003D4516">
      <w:pPr>
        <w:widowControl w:val="0"/>
        <w:numPr>
          <w:ilvl w:val="0"/>
          <w:numId w:val="41"/>
        </w:numPr>
        <w:pBdr>
          <w:top w:val="nil"/>
          <w:left w:val="nil"/>
          <w:bottom w:val="nil"/>
          <w:right w:val="nil"/>
          <w:between w:val="nil"/>
        </w:pBdr>
        <w:spacing w:after="120"/>
        <w:jc w:val="left"/>
      </w:pPr>
      <w:r w:rsidRPr="0021153C">
        <w:rPr>
          <w:b/>
          <w:bCs/>
        </w:rPr>
        <w:t>Transparencë e rritur:</w:t>
      </w:r>
      <w:r w:rsidRPr="0021153C">
        <w:t xml:space="preserve"> BQK-ja lançoi një platformë online që u lejon konsumatorëve të krahasojnë produktet dhe shërbimet financiare të ofruara nga institucione të ndryshme.</w:t>
      </w:r>
      <w:r w:rsidRPr="0021153C">
        <w:rPr>
          <w:rFonts w:eastAsia="Google Sans Text" w:cs="Times New Roman"/>
          <w:color w:val="575B5F"/>
          <w:szCs w:val="24"/>
          <w:vertAlign w:val="superscript"/>
        </w:rPr>
        <w:t>53</w:t>
      </w:r>
      <w:r w:rsidRPr="0021153C">
        <w:t xml:space="preserve"> Kjo iniciativë synon të përmirësojë transparencën e tregut dhe të forcojë njohuritë financiare të konsumatorëve.</w:t>
      </w:r>
    </w:p>
    <w:p w:rsidR="0021153C" w:rsidRDefault="0021153C" w:rsidP="00BE072C">
      <w:pPr>
        <w:pBdr>
          <w:top w:val="nil"/>
          <w:left w:val="nil"/>
          <w:bottom w:val="nil"/>
          <w:right w:val="nil"/>
          <w:between w:val="nil"/>
        </w:pBdr>
        <w:spacing w:before="240"/>
      </w:pPr>
      <w:r w:rsidRPr="00BE072C">
        <w:t xml:space="preserve">Tregu i kredive personale në Kosovë ekziston brenda një mjedisi dinamik të karakterizuar nga zgjerimi i shpejtë i kredisë që tejkalon ndjeshëm rritjen e përgjithshme ekonomike. </w:t>
      </w:r>
      <w:r w:rsidR="00BE072C" w:rsidRPr="00BE072C">
        <w:t>Kjo rritje është e nxitur nga kërkesa e lartë konsumatore dhe mbështetet nga iniciativat gjithnjë e më të theksuara për dixhitalizim dhe përfshirje financiare, të ndërmarra nga bankat dhe autoritetet rregullatore</w:t>
      </w:r>
      <w:r w:rsidRPr="00BE072C">
        <w:t>. Ndërsa treguesit aktualë si kreditë e ulëta me probleme</w:t>
      </w:r>
      <w:r w:rsidRPr="0021153C">
        <w:t xml:space="preserve"> sugjerojnë shëndet të sektorit.</w:t>
      </w:r>
      <w:r w:rsidRPr="0021153C">
        <w:rPr>
          <w:rFonts w:eastAsia="Google Sans Text" w:cs="Times New Roman"/>
          <w:color w:val="575B5F"/>
          <w:szCs w:val="24"/>
          <w:vertAlign w:val="superscript"/>
        </w:rPr>
        <w:t>55</w:t>
      </w:r>
      <w:r w:rsidRPr="0021153C">
        <w:t>, shpejtësia e këtij zgjerimi kërkon shqyrtim të shtuar rregullator dhe modernizim të kuadrit që po ndiqet në mënyrë aktive nga BQK-ja, e mbështetur nga partnerët ndërkombëtarë.</w:t>
      </w:r>
      <w:r w:rsidRPr="0021153C">
        <w:rPr>
          <w:rFonts w:eastAsia="Google Sans Text" w:cs="Times New Roman"/>
          <w:color w:val="575B5F"/>
          <w:szCs w:val="24"/>
          <w:vertAlign w:val="superscript"/>
        </w:rPr>
        <w:t>55</w:t>
      </w:r>
      <w:r w:rsidRPr="0021153C">
        <w:t xml:space="preserve"> Kjo qasje proaktive synon të sigurojë që rritja të mbetet e qëndrueshme dhe të mos çojë në paqëndrueshmëri në të ardhmen.</w:t>
      </w:r>
    </w:p>
    <w:p w:rsidR="003D4516" w:rsidRPr="0021153C" w:rsidRDefault="003D4516" w:rsidP="003D4516">
      <w:pPr>
        <w:pBdr>
          <w:top w:val="nil"/>
          <w:left w:val="nil"/>
          <w:bottom w:val="nil"/>
          <w:right w:val="nil"/>
          <w:between w:val="nil"/>
        </w:pBdr>
        <w:spacing w:before="240"/>
      </w:pPr>
    </w:p>
    <w:p w:rsidR="0021153C" w:rsidRPr="003D4516" w:rsidRDefault="00000000" w:rsidP="003D4516">
      <w:pPr>
        <w:rPr>
          <w:b/>
          <w:bCs/>
        </w:rPr>
      </w:pPr>
      <w:r>
        <w:lastRenderedPageBreak/>
        <w:pict>
          <v:rect id="_x0000_i1031" style="width:0;height:1.5pt" o:hralign="center" o:hrstd="t" o:hr="t" fillcolor="#a0a0a0" stroked="f"/>
        </w:pict>
      </w:r>
      <w:r w:rsidR="0021153C" w:rsidRPr="003D4516">
        <w:rPr>
          <w:b/>
          <w:bCs/>
        </w:rPr>
        <w:t>Tabela 4: Sektori Financiar i Kosovës - Treguesit Kryesorë</w:t>
      </w:r>
    </w:p>
    <w:p w:rsidR="0021153C" w:rsidRDefault="0021153C" w:rsidP="003D4516"/>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jc w:val="center"/>
              <w:rPr>
                <w:b/>
                <w:bCs/>
              </w:rPr>
            </w:pPr>
            <w:r w:rsidRPr="003D4516">
              <w:rPr>
                <w:b/>
                <w:bCs/>
              </w:rPr>
              <w:t>Treguesi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jc w:val="center"/>
              <w:rPr>
                <w:b/>
                <w:bCs/>
              </w:rPr>
            </w:pPr>
            <w:r w:rsidRPr="003D4516">
              <w:rPr>
                <w:b/>
                <w:bCs/>
              </w:rPr>
              <w:t>Vlera e fundit (Periudha)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jc w:val="center"/>
              <w:rPr>
                <w:b/>
                <w:bCs/>
              </w:rPr>
            </w:pPr>
            <w:r w:rsidRPr="003D4516">
              <w:rPr>
                <w:b/>
                <w:bCs/>
              </w:rPr>
              <w:t>Trendi / Ndryshimi vjetor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jc w:val="center"/>
              <w:rPr>
                <w:b/>
                <w:bCs/>
              </w:rPr>
            </w:pPr>
            <w:r w:rsidRPr="003D4516">
              <w:rPr>
                <w:b/>
                <w:bCs/>
              </w:rPr>
              <w:t>Burimi(et)</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Totali i Kredive të Papaguara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6.04 miliardë euro (janar 2025)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+18.74%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Të dhënat e CEIC</w:t>
            </w:r>
            <w:r w:rsidRPr="003D4516">
              <w:rPr>
                <w:rFonts w:eastAsia="Google Sans Text" w:cs="Times New Roman"/>
                <w:color w:val="575B5F"/>
                <w:szCs w:val="24"/>
                <w:vertAlign w:val="superscript"/>
              </w:rPr>
              <w:t>88</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Rritja Totale e Kredisë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18.74% (Janar 2025)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Rritje nga 18.23% (Dhjetor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Të dhënat e CEIC</w:t>
            </w:r>
            <w:r w:rsidRPr="003D4516">
              <w:rPr>
                <w:rFonts w:eastAsia="Google Sans Text" w:cs="Times New Roman"/>
                <w:color w:val="575B5F"/>
                <w:szCs w:val="24"/>
                <w:vertAlign w:val="superscript"/>
              </w:rPr>
              <w:t>88</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Kredi për Familjet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2.34 miliardë euro (T4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Rritje nga 1.91 miliardë euro (T4 2023)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BQK</w:t>
            </w:r>
            <w:r w:rsidRPr="003D4516">
              <w:rPr>
                <w:rFonts w:eastAsia="Google Sans Text" w:cs="Times New Roman"/>
                <w:color w:val="575B5F"/>
                <w:szCs w:val="24"/>
                <w:vertAlign w:val="superscript"/>
              </w:rPr>
              <w:t>89</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Kreditë për Sektorin Privat / PBB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&gt;56%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Rritje (pas një rritjeje reale prej 17% në vitin 2023)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FMN</w:t>
            </w:r>
            <w:r w:rsidRPr="003D4516">
              <w:rPr>
                <w:rFonts w:eastAsia="Google Sans Text" w:cs="Times New Roman"/>
                <w:color w:val="575B5F"/>
                <w:szCs w:val="24"/>
                <w:vertAlign w:val="superscript"/>
              </w:rPr>
              <w:t>55</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Raporti i Kredive me Jo-Performuese (KKP)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1.8% (Dhjetor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E ulët / e qëndrueshme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Të dhënat e CEIC</w:t>
            </w:r>
            <w:r w:rsidRPr="003D4516">
              <w:rPr>
                <w:rFonts w:eastAsia="Google Sans Text" w:cs="Times New Roman"/>
                <w:color w:val="575B5F"/>
                <w:szCs w:val="24"/>
                <w:vertAlign w:val="superscript"/>
              </w:rPr>
              <w:t>87</w:t>
            </w:r>
            <w:r w:rsidRPr="003D4516">
              <w:rPr>
                <w:rFonts w:eastAsia="Google Sans Text" w:cs="Times New Roman"/>
                <w:sz w:val="20"/>
              </w:rPr>
              <w:t>(gjithashtu FMN-ja</w:t>
            </w:r>
            <w:r w:rsidRPr="003D4516">
              <w:rPr>
                <w:rFonts w:eastAsia="Google Sans Text" w:cs="Times New Roman"/>
                <w:color w:val="575B5F"/>
                <w:szCs w:val="24"/>
                <w:vertAlign w:val="superscript"/>
              </w:rPr>
              <w:t>55</w:t>
            </w:r>
            <w:r w:rsidRPr="003D4516">
              <w:rPr>
                <w:rFonts w:eastAsia="Google Sans Text" w:cs="Times New Roman"/>
                <w:sz w:val="20"/>
              </w:rPr>
              <w:t>, BQK</w:t>
            </w:r>
            <w:r w:rsidRPr="003D4516">
              <w:rPr>
                <w:rFonts w:eastAsia="Google Sans Text" w:cs="Times New Roman"/>
                <w:color w:val="575B5F"/>
                <w:szCs w:val="24"/>
                <w:vertAlign w:val="superscript"/>
              </w:rPr>
              <w:t>75</w:t>
            </w:r>
            <w:r w:rsidRPr="003D4516">
              <w:rPr>
                <w:rFonts w:eastAsia="Google Sans Text" w:cs="Times New Roman"/>
                <w:sz w:val="20"/>
              </w:rPr>
              <w:t>)</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Norma Mesatare e Huadhënies Bankare (Në përgjithësi)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6.01% në vit (Janar 2025)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Rritje nga 5.87% (Dhjetor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Të dhënat e CEIC</w:t>
            </w:r>
            <w:r w:rsidRPr="003D4516">
              <w:rPr>
                <w:rFonts w:eastAsia="Google Sans Text" w:cs="Times New Roman"/>
                <w:color w:val="575B5F"/>
                <w:szCs w:val="24"/>
                <w:vertAlign w:val="superscript"/>
              </w:rPr>
              <w:t>87</w:t>
            </w:r>
          </w:p>
        </w:tc>
      </w:tr>
      <w:tr w:rsidR="0021153C" w:rsidTr="0021153C">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Norma Mesatare e Interesit (Kreditë e Reja për Familjet)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5.6% në vit (T3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sz w:val="20"/>
              </w:rPr>
            </w:pPr>
            <w:r w:rsidRPr="003D4516">
              <w:rPr>
                <w:rFonts w:eastAsia="Google Sans Text" w:cs="Times New Roman"/>
                <w:sz w:val="20"/>
              </w:rPr>
              <w:t>Rënie nga 5.8% (T1/T2 2024)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21153C" w:rsidRPr="003D4516" w:rsidRDefault="0021153C" w:rsidP="003D4516">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3D4516">
              <w:rPr>
                <w:rFonts w:eastAsia="Google Sans Text" w:cs="Times New Roman"/>
                <w:sz w:val="20"/>
              </w:rPr>
              <w:t>BQK</w:t>
            </w:r>
            <w:r w:rsidRPr="003D4516">
              <w:rPr>
                <w:rFonts w:eastAsia="Google Sans Text" w:cs="Times New Roman"/>
                <w:color w:val="575B5F"/>
                <w:szCs w:val="24"/>
                <w:vertAlign w:val="superscript"/>
              </w:rPr>
              <w:t>89</w:t>
            </w:r>
          </w:p>
        </w:tc>
      </w:tr>
    </w:tbl>
    <w:p w:rsidR="005D05F6" w:rsidRDefault="00000000" w:rsidP="003D4516">
      <w:r>
        <w:pict>
          <v:rect id="_x0000_i1032" style="width:0;height:1.5pt" o:hralign="center" o:hrstd="t" o:hr="t" fillcolor="#a0a0a0" stroked="f"/>
        </w:pict>
      </w:r>
    </w:p>
    <w:p w:rsidR="005D05F6" w:rsidRDefault="005D05F6" w:rsidP="003D4516"/>
    <w:p w:rsidR="005D05F6" w:rsidRDefault="005D05F6" w:rsidP="003D4516"/>
    <w:p w:rsidR="003D4516" w:rsidRDefault="003D4516" w:rsidP="00A029DB"/>
    <w:p w:rsidR="003D4516" w:rsidRDefault="003D4516" w:rsidP="003838A9">
      <w:pPr>
        <w:pStyle w:val="Heading2"/>
      </w:pPr>
      <w:bookmarkStart w:id="16" w:name="_Toc198558477"/>
      <w:r w:rsidRPr="003D4516">
        <w:lastRenderedPageBreak/>
        <w:t xml:space="preserve">Seksioni 2.5: </w:t>
      </w:r>
      <w:r w:rsidR="006E0EA1" w:rsidRPr="006E0EA1">
        <w:t>Korniza Rregullatore dhe Mbrojtja e Konsumatorit</w:t>
      </w:r>
      <w:bookmarkEnd w:id="16"/>
    </w:p>
    <w:p w:rsidR="003D4516" w:rsidRDefault="003D4516" w:rsidP="00A029DB">
      <w:r>
        <w:t>Mjedisi ligjor dhe rregullator që rregullon kreditë personale dhe sektorin financiar në përgjithësi në Kosovë ka qenë në zhvillim e sipër, me një tendencë të qartë drejt harmonizimit me standardet e BE-së dhe forcimit të mbrojtjeve të konsumatorit.</w:t>
      </w:r>
    </w:p>
    <w:p w:rsidR="003D4516" w:rsidRPr="003D4516" w:rsidRDefault="003D4516" w:rsidP="00A029DB">
      <w:pPr>
        <w:widowControl w:val="0"/>
        <w:numPr>
          <w:ilvl w:val="0"/>
          <w:numId w:val="42"/>
        </w:numPr>
        <w:pBdr>
          <w:top w:val="nil"/>
          <w:left w:val="nil"/>
          <w:bottom w:val="nil"/>
          <w:right w:val="nil"/>
          <w:between w:val="nil"/>
        </w:pBdr>
        <w:spacing w:after="120"/>
        <w:jc w:val="left"/>
        <w:rPr>
          <w:b/>
          <w:bCs/>
        </w:rPr>
      </w:pPr>
      <w:r w:rsidRPr="003D4516">
        <w:rPr>
          <w:b/>
          <w:bCs/>
        </w:rPr>
        <w:t>2.5.1 Legjislacioni</w:t>
      </w:r>
      <w:r>
        <w:rPr>
          <w:rFonts w:ascii="Google Sans Text" w:eastAsia="Google Sans Text" w:hAnsi="Google Sans Text"/>
          <w:b/>
          <w:szCs w:val="24"/>
        </w:rPr>
        <w:t xml:space="preserve"> </w:t>
      </w:r>
      <w:r w:rsidRPr="003D4516">
        <w:rPr>
          <w:b/>
          <w:bCs/>
        </w:rPr>
        <w:t>Kryesor</w:t>
      </w:r>
    </w:p>
    <w:p w:rsidR="003D4516" w:rsidRDefault="003D4516" w:rsidP="00A029DB">
      <w:r>
        <w:t>Disa ligje formojnë themelin e rregullimit financiar dhe mbrojtjes së konsumatorit:</w:t>
      </w:r>
    </w:p>
    <w:p w:rsidR="003D4516" w:rsidRPr="003D4516" w:rsidRDefault="003D4516" w:rsidP="00A029DB">
      <w:pPr>
        <w:widowControl w:val="0"/>
        <w:numPr>
          <w:ilvl w:val="0"/>
          <w:numId w:val="43"/>
        </w:numPr>
        <w:pBdr>
          <w:top w:val="nil"/>
          <w:left w:val="nil"/>
          <w:bottom w:val="nil"/>
          <w:right w:val="nil"/>
          <w:between w:val="nil"/>
        </w:pBdr>
        <w:spacing w:after="0"/>
        <w:jc w:val="left"/>
      </w:pPr>
      <w:r w:rsidRPr="003D4516">
        <w:rPr>
          <w:b/>
          <w:bCs/>
        </w:rPr>
        <w:t>Ligji për Bankat, Institucionet Mikrofinanciare dhe Institucionet Financiare Jobankare:</w:t>
      </w:r>
      <w:r w:rsidRPr="003D4516">
        <w:t xml:space="preserve"> Ligji themelor që rregullonte funksionimin e institucioneve të kreditimit ishte </w:t>
      </w:r>
      <w:r w:rsidRPr="003D4516">
        <w:rPr>
          <w:b/>
          <w:bCs/>
          <w:i/>
          <w:iCs/>
        </w:rPr>
        <w:t>Ligji Nr. 04/L-093</w:t>
      </w:r>
      <w:r w:rsidRPr="003D4516">
        <w:rPr>
          <w:rFonts w:eastAsia="Google Sans Text" w:cs="Times New Roman"/>
          <w:color w:val="575B5F"/>
          <w:szCs w:val="24"/>
          <w:vertAlign w:val="superscript"/>
        </w:rPr>
        <w:t>56</w:t>
      </w:r>
      <w:r w:rsidRPr="003D4516">
        <w:t xml:space="preserve"> Ky ligj përcaktoi përgjegjësinë e BQK-së për licencim, vendosi kërkesat minimale të kapitalit dhe përcaktoi rregullat për menaxhim të kujdesshëm për të siguruar stabilitetin financiar dhe për të mbrojtur depozituesit.</w:t>
      </w:r>
      <w:r w:rsidRPr="003D4516">
        <w:rPr>
          <w:rFonts w:eastAsia="Google Sans Text" w:cs="Times New Roman"/>
          <w:color w:val="575B5F"/>
          <w:szCs w:val="24"/>
          <w:vertAlign w:val="superscript"/>
        </w:rPr>
        <w:t>56</w:t>
      </w:r>
      <w:r w:rsidRPr="003D4516">
        <w:t xml:space="preserve"> Kjo është përditësuar së fundmi dhe është zëvendësuar kryesisht nga </w:t>
      </w:r>
      <w:r w:rsidRPr="003D4516">
        <w:rPr>
          <w:b/>
          <w:bCs/>
          <w:i/>
          <w:iCs/>
        </w:rPr>
        <w:t>Ligji Nr. 08/L-304</w:t>
      </w:r>
      <w:r w:rsidRPr="003D4516">
        <w:t xml:space="preserve"> për Bankat.</w:t>
      </w:r>
      <w:r w:rsidRPr="003D4516">
        <w:rPr>
          <w:rFonts w:eastAsia="Google Sans Text" w:cs="Times New Roman"/>
          <w:color w:val="575B5F"/>
          <w:szCs w:val="24"/>
          <w:vertAlign w:val="superscript"/>
        </w:rPr>
        <w:t>58</w:t>
      </w:r>
      <w:r w:rsidRPr="003D4516">
        <w:t xml:space="preserve"> Ligji i ri përmirëson ndjeshëm kuadrin rregullator duke rritur kërkesat minimale të kapitalit për bankat me afërsisht 43%, duke i siguruar BQK-së mjete më të fuqishme për zgjidhjen e bankave (menaxhimin e bankave në dështim), duke forcuar në mënyrë të qartë mandatin e BQK-së për mbikëqyrjen e sjelljes financiare dhe mbrojtjen e konsumatorit, dhe duke e përafruar në përgjithësi sektorin më ngushtë me standardet ndërkombëtare dhe të BE-së.</w:t>
      </w:r>
      <w:r w:rsidRPr="003D4516">
        <w:rPr>
          <w:rFonts w:eastAsia="Google Sans Text" w:cs="Times New Roman"/>
          <w:color w:val="575B5F"/>
          <w:szCs w:val="24"/>
          <w:vertAlign w:val="superscript"/>
        </w:rPr>
        <w:t>58</w:t>
      </w:r>
      <w:r w:rsidRPr="003D4516">
        <w:t>.</w:t>
      </w:r>
    </w:p>
    <w:p w:rsidR="003D4516" w:rsidRPr="003D4516" w:rsidRDefault="003D4516" w:rsidP="00A029DB">
      <w:pPr>
        <w:widowControl w:val="0"/>
        <w:numPr>
          <w:ilvl w:val="0"/>
          <w:numId w:val="43"/>
        </w:numPr>
        <w:pBdr>
          <w:top w:val="nil"/>
          <w:left w:val="nil"/>
          <w:bottom w:val="nil"/>
          <w:right w:val="nil"/>
          <w:between w:val="nil"/>
        </w:pBdr>
        <w:spacing w:after="0"/>
        <w:jc w:val="left"/>
      </w:pPr>
      <w:r w:rsidRPr="003D4516">
        <w:rPr>
          <w:b/>
          <w:bCs/>
        </w:rPr>
        <w:t xml:space="preserve">Ligji për Mbrojtjen e Konsumatorit (p.sh., </w:t>
      </w:r>
      <w:r w:rsidRPr="003D4516">
        <w:rPr>
          <w:b/>
          <w:bCs/>
          <w:i/>
          <w:iCs/>
        </w:rPr>
        <w:t>Ligji Nr. 04/L-121</w:t>
      </w:r>
      <w:r w:rsidRPr="003D4516">
        <w:rPr>
          <w:b/>
          <w:bCs/>
        </w:rPr>
        <w:t xml:space="preserve">): </w:t>
      </w:r>
      <w:r w:rsidRPr="003D4516">
        <w:t>Ky ligj gjithëpërfshirës, ​​i zbatueshëm në sektorë të ndryshëm, përfshirë shërbimet financiare, përcakton të drejtat themelore për konsumatorët.52 Këto të drejta përfshijnë mbrojtjen e interesave ekonomike, sigurinë nga produktet/shërbimet e dëmshme, aksesin në informacion dhe arsim, të drejtën për t'u ankuar dhe për të kërkuar dëmshpërblim (përfshirë kompensimin) dhe të drejtën për t'u organizuar në shoqata konsumatorësh.</w:t>
      </w:r>
      <w:r w:rsidRPr="003D4516">
        <w:rPr>
          <w:rFonts w:eastAsia="Google Sans Text" w:cs="Times New Roman"/>
          <w:color w:val="575B5F"/>
          <w:szCs w:val="24"/>
          <w:vertAlign w:val="superscript"/>
        </w:rPr>
        <w:t>105</w:t>
      </w:r>
      <w:r w:rsidRPr="003D4516">
        <w:t xml:space="preserve"> Kritikisht për huadhënien, ligji kërkon transparencë nga shitësit (huadhënësit), duke kërkuar zbulim të qartë të kushteve dhe çmimeve.52 Ai përcakton detyrimet në lidhje me produktet/shërbimet me defekte (duke përfshirë garancitë) dhe ndalon në mënyrë të qartë praktikat e padrejta tregtare. Këto praktika të ndaluara përfshijnë veprime mashtruese (informacion të rremë, lëshime materiale) dhe taktika agresive (ngacmim, shtrëngim, ndikim të padrejtë) që mund të shtrembërojnë vendimmarrjen e konsumatorit.</w:t>
      </w:r>
      <w:r w:rsidRPr="003D4516">
        <w:rPr>
          <w:rFonts w:eastAsia="Google Sans Text" w:cs="Times New Roman"/>
          <w:color w:val="575B5F"/>
          <w:szCs w:val="24"/>
          <w:vertAlign w:val="superscript"/>
        </w:rPr>
        <w:t>105</w:t>
      </w:r>
      <w:r w:rsidRPr="003D4516">
        <w:t xml:space="preserve"> Ligji gjithashtu trajton kushtet </w:t>
      </w:r>
      <w:r w:rsidRPr="003D4516">
        <w:lastRenderedPageBreak/>
        <w:t>e padrejta të kontratës, veçanërisht në kontratat që nuk negociohen individualisht, duke dhënë shembuj të klauzolave ​​që krijojnë çekuilibra të konsiderueshme në dëm të konsumatorit.</w:t>
      </w:r>
      <w:r w:rsidRPr="003D4516">
        <w:rPr>
          <w:rFonts w:eastAsia="Google Sans Text" w:cs="Times New Roman"/>
          <w:color w:val="575B5F"/>
          <w:szCs w:val="24"/>
          <w:vertAlign w:val="superscript"/>
        </w:rPr>
        <w:t>105</w:t>
      </w:r>
      <w:r w:rsidRPr="003D4516">
        <w:t xml:space="preserve"> Ai përcakton procedurat e ankesave dhe cakton Ministrinë e Tregtisë dhe Industrisë (MTI) dhe një Këshill për Mbrojtjen e Konsumatorit si organe kryesore.</w:t>
      </w:r>
      <w:r w:rsidRPr="003D4516">
        <w:rPr>
          <w:rFonts w:eastAsia="Google Sans Text" w:cs="Times New Roman"/>
          <w:color w:val="575B5F"/>
          <w:szCs w:val="24"/>
          <w:vertAlign w:val="superscript"/>
        </w:rPr>
        <w:t>105</w:t>
      </w:r>
      <w:r w:rsidRPr="003D4516">
        <w:t>.</w:t>
      </w:r>
    </w:p>
    <w:p w:rsidR="003D4516" w:rsidRPr="003D4516" w:rsidRDefault="003D4516" w:rsidP="00A029DB">
      <w:pPr>
        <w:widowControl w:val="0"/>
        <w:numPr>
          <w:ilvl w:val="0"/>
          <w:numId w:val="43"/>
        </w:numPr>
        <w:pBdr>
          <w:top w:val="nil"/>
          <w:left w:val="nil"/>
          <w:bottom w:val="nil"/>
          <w:right w:val="nil"/>
          <w:between w:val="nil"/>
        </w:pBdr>
        <w:spacing w:after="0"/>
        <w:jc w:val="left"/>
      </w:pPr>
      <w:r w:rsidRPr="003D4516">
        <w:rPr>
          <w:b/>
          <w:bCs/>
        </w:rPr>
        <w:t>Ligji për Shërbimet e Pagesave (</w:t>
      </w:r>
      <w:r w:rsidRPr="003D4516">
        <w:rPr>
          <w:b/>
          <w:bCs/>
          <w:i/>
          <w:iCs/>
        </w:rPr>
        <w:t>Ligji Nr. 08/L-328</w:t>
      </w:r>
      <w:r w:rsidRPr="003D4516">
        <w:rPr>
          <w:b/>
          <w:bCs/>
        </w:rPr>
        <w:t>):</w:t>
      </w:r>
      <w:r>
        <w:rPr>
          <w:rFonts w:ascii="Google Sans Text" w:eastAsia="Google Sans Text" w:hAnsi="Google Sans Text"/>
          <w:b/>
          <w:szCs w:val="24"/>
        </w:rPr>
        <w:t xml:space="preserve"> </w:t>
      </w:r>
      <w:r w:rsidRPr="003D4516">
        <w:t>Ky ligj modernizues rregullon ofrimin e shërbimeve të pagesave, duke synuar krijimin e një sistemi më të sigurt dhe efikas, të favorshëm për transaksionet ndërkufitare dhe integrimin me infrastrukturat evropiane të pagesave si SEPA.58 Një hyrje e rëndësishme është koncepti i Bankës së Hapur, i cili u lejon ofruesve të palëve të treta të rregulluara (me pëlqimin e klientit) të kenë akses në të dhënat e llogarisë bankare për të ofruar shërbime financiare inovative, një veçori që mungonte në legjislacionin e mëparshëm.</w:t>
      </w:r>
      <w:r w:rsidRPr="003D4516">
        <w:rPr>
          <w:rFonts w:eastAsia="Google Sans Text" w:cs="Times New Roman"/>
          <w:color w:val="575B5F"/>
          <w:szCs w:val="24"/>
          <w:vertAlign w:val="superscript"/>
        </w:rPr>
        <w:t>58</w:t>
      </w:r>
      <w:r w:rsidRPr="003D4516">
        <w:t>.</w:t>
      </w:r>
    </w:p>
    <w:p w:rsidR="003D4516" w:rsidRPr="003D4516" w:rsidRDefault="003D4516" w:rsidP="00A029DB">
      <w:pPr>
        <w:widowControl w:val="0"/>
        <w:numPr>
          <w:ilvl w:val="0"/>
          <w:numId w:val="43"/>
        </w:numPr>
        <w:pBdr>
          <w:top w:val="nil"/>
          <w:left w:val="nil"/>
          <w:bottom w:val="nil"/>
          <w:right w:val="nil"/>
          <w:between w:val="nil"/>
        </w:pBdr>
        <w:spacing w:after="0"/>
        <w:jc w:val="left"/>
      </w:pPr>
      <w:r w:rsidRPr="003D4516">
        <w:rPr>
          <w:b/>
          <w:bCs/>
        </w:rPr>
        <w:t>Legjislacioni tjetër përkatës:</w:t>
      </w:r>
      <w:r w:rsidRPr="003D4516">
        <w:t xml:space="preserve"> Ligjet plotësuese përfshijnë Ligjin për Parandalimin e Pastrimit të Parave dhe Luftimin e Financimit të Terrorizmit (i përditësuar nga </w:t>
      </w:r>
      <w:r w:rsidRPr="003D4516">
        <w:rPr>
          <w:b/>
          <w:bCs/>
          <w:i/>
          <w:iCs/>
        </w:rPr>
        <w:t>Ligji 08/L-333</w:t>
      </w:r>
      <w:r w:rsidRPr="003D4516">
        <w:t xml:space="preserve"> për të përfshirë subjekte si ofruesit e kripto-aseteve dhe për të rritur kërkesat e kujdesit të duhur).</w:t>
      </w:r>
      <w:r w:rsidRPr="003D4516">
        <w:rPr>
          <w:rFonts w:eastAsia="Google Sans Text" w:cs="Times New Roman"/>
          <w:color w:val="575B5F"/>
          <w:szCs w:val="24"/>
          <w:vertAlign w:val="superscript"/>
        </w:rPr>
        <w:t>58</w:t>
      </w:r>
      <w:r w:rsidRPr="003D4516">
        <w:t>, Ligji për Pronarët Përfitues Përfundimtarë (krijimi i një regjistri për transparencë)</w:t>
      </w:r>
      <w:r w:rsidRPr="003D4516">
        <w:rPr>
          <w:rFonts w:eastAsia="Google Sans Text" w:cs="Times New Roman"/>
          <w:color w:val="575B5F"/>
          <w:szCs w:val="24"/>
          <w:vertAlign w:val="superscript"/>
        </w:rPr>
        <w:t>58</w:t>
      </w:r>
      <w:r w:rsidRPr="003D4516">
        <w:t xml:space="preserve"> dhe Ligji për Administrimin e Procedurave Tatimore (i cili përfshin dispozita si kufizimi i transaksioneve me para në dorë)</w:t>
      </w:r>
      <w:r w:rsidRPr="003D4516">
        <w:rPr>
          <w:rFonts w:eastAsia="Google Sans Text" w:cs="Times New Roman"/>
          <w:color w:val="575B5F"/>
          <w:szCs w:val="24"/>
          <w:vertAlign w:val="superscript"/>
        </w:rPr>
        <w:t>83</w:t>
      </w:r>
      <w:r w:rsidRPr="003D4516">
        <w:t>.</w:t>
      </w:r>
    </w:p>
    <w:p w:rsidR="003D4516" w:rsidRPr="003D4516" w:rsidRDefault="003D4516" w:rsidP="00A029DB">
      <w:pPr>
        <w:widowControl w:val="0"/>
        <w:numPr>
          <w:ilvl w:val="0"/>
          <w:numId w:val="43"/>
        </w:numPr>
        <w:pBdr>
          <w:top w:val="nil"/>
          <w:left w:val="nil"/>
          <w:bottom w:val="nil"/>
          <w:right w:val="nil"/>
          <w:between w:val="nil"/>
        </w:pBdr>
        <w:spacing w:after="120"/>
        <w:jc w:val="left"/>
        <w:rPr>
          <w:b/>
          <w:bCs/>
        </w:rPr>
      </w:pPr>
      <w:r w:rsidRPr="003D4516">
        <w:rPr>
          <w:b/>
          <w:bCs/>
        </w:rPr>
        <w:t>2.5.2 Rregulloret dhe Mbikëqyrja e BQK-së</w:t>
      </w:r>
    </w:p>
    <w:p w:rsidR="003D4516" w:rsidRPr="003D4516" w:rsidRDefault="003D4516" w:rsidP="00A029DB">
      <w:pPr>
        <w:pBdr>
          <w:top w:val="nil"/>
          <w:left w:val="nil"/>
          <w:bottom w:val="nil"/>
          <w:right w:val="nil"/>
          <w:between w:val="nil"/>
        </w:pBdr>
        <w:spacing w:before="240"/>
      </w:pPr>
      <w:r w:rsidRPr="003D4516">
        <w:t>BQK-ja luan një rol qendror dhe në zgjerim në zbatimin dhe mbikëqyrjen e kuadrit rregullator financiar. Ajo lëshon rregullore specifike për të vënë në funksion ligjet e miratuara nga Kuvendi. Një shembull përkatës është Rregullorja për aksesin në llogaritë e pagesave me shërbime bazë, e hartuar për të promovuar përfshirjen financiare duke siguruar akses në shërbimet thelbësore bankare me çmime të drejta.</w:t>
      </w:r>
      <w:r w:rsidRPr="003D4516">
        <w:rPr>
          <w:rFonts w:eastAsia="Google Sans Text" w:cs="Times New Roman"/>
          <w:color w:val="575B5F"/>
          <w:szCs w:val="24"/>
          <w:vertAlign w:val="superscript"/>
        </w:rPr>
        <w:t>103</w:t>
      </w:r>
      <w:r w:rsidRPr="003D4516">
        <w:t>.</w:t>
      </w:r>
    </w:p>
    <w:p w:rsidR="003D4516" w:rsidRPr="005C3C01" w:rsidRDefault="003D4516" w:rsidP="00A029DB">
      <w:pPr>
        <w:pBdr>
          <w:top w:val="nil"/>
          <w:left w:val="nil"/>
          <w:bottom w:val="nil"/>
          <w:right w:val="nil"/>
          <w:between w:val="nil"/>
        </w:pBdr>
      </w:pPr>
      <w:r w:rsidRPr="005C3C01">
        <w:t>Funksionet mbikëqyrëse të BQK-së shtrihen përtej mbikëqyrjes prudenciale (sigurimi i qëndrueshmërisë financiare) për të përfshirë mbikëqyrjen e sjelljes së tregut.</w:t>
      </w:r>
      <w:r w:rsidRPr="005C3C01">
        <w:rPr>
          <w:rFonts w:eastAsia="Google Sans Text" w:cs="Times New Roman"/>
          <w:color w:val="575B5F"/>
          <w:szCs w:val="24"/>
          <w:vertAlign w:val="superscript"/>
        </w:rPr>
        <w:t>57</w:t>
      </w:r>
      <w:r w:rsidR="005C3C01" w:rsidRPr="005C3C01">
        <w:t xml:space="preserve"> K</w:t>
      </w:r>
      <w:r w:rsidRPr="005C3C01">
        <w:t>jo përfshin monitorimin e mënyrës se si institucionet financiare bashkëveprojnë me konsumatorët, duke siguruar drejtësi dhe transparencë në ofertat e produkteve dhe praktikat e shitjes. Zbatimi i kuadrit SREP rrit aftësinë e BQK-së për të kryer mbikëqyrje të bazuar në rrezik.</w:t>
      </w:r>
      <w:r w:rsidRPr="005C3C01">
        <w:rPr>
          <w:rFonts w:eastAsia="Google Sans Text" w:cs="Times New Roman"/>
          <w:color w:val="575B5F"/>
          <w:szCs w:val="24"/>
          <w:vertAlign w:val="superscript"/>
        </w:rPr>
        <w:t>55</w:t>
      </w:r>
      <w:r w:rsidR="005C3C01" w:rsidRPr="005C3C01">
        <w:t xml:space="preserve"> P</w:t>
      </w:r>
      <w:r w:rsidRPr="005C3C01">
        <w:t>ër më tepër, BQK-ja po zhvillon në mënyrë aktive kuadrin e saj të politikave makroprudenciale për të identifikuar dhe zbutur rreziqet sistemike brenda sektorit financiar.</w:t>
      </w:r>
      <w:r w:rsidRPr="005C3C01">
        <w:rPr>
          <w:rFonts w:eastAsia="Google Sans Text" w:cs="Times New Roman"/>
          <w:color w:val="575B5F"/>
          <w:szCs w:val="24"/>
          <w:vertAlign w:val="superscript"/>
        </w:rPr>
        <w:t>55</w:t>
      </w:r>
      <w:r w:rsidRPr="005C3C01">
        <w:t>.</w:t>
      </w:r>
    </w:p>
    <w:p w:rsidR="003D4516" w:rsidRPr="005C3C01" w:rsidRDefault="003D4516" w:rsidP="00A029DB">
      <w:pPr>
        <w:pBdr>
          <w:top w:val="nil"/>
          <w:left w:val="nil"/>
          <w:bottom w:val="nil"/>
          <w:right w:val="nil"/>
          <w:between w:val="nil"/>
        </w:pBdr>
        <w:spacing w:after="120"/>
      </w:pPr>
      <w:r w:rsidRPr="005C3C01">
        <w:lastRenderedPageBreak/>
        <w:t>Duke reflektuar fokusin e saj në rritje në çështjet e konsumatorëve, BQK-ja ka krijuar një Departament të dedikuar për Mbrojtjen e Konsumatorit brenda strukturës së saj organizative.</w:t>
      </w:r>
      <w:r w:rsidRPr="005C3C01">
        <w:rPr>
          <w:rFonts w:eastAsia="Google Sans Text" w:cs="Times New Roman"/>
          <w:color w:val="575B5F"/>
          <w:szCs w:val="24"/>
          <w:vertAlign w:val="superscript"/>
        </w:rPr>
        <w:t>57</w:t>
      </w:r>
      <w:r w:rsidR="005C3C01" w:rsidRPr="005C3C01">
        <w:t xml:space="preserve"> A</w:t>
      </w:r>
      <w:r w:rsidRPr="005C3C01">
        <w:t>nëtarësimi i saj i fundit në FinCoNet, Organizatën Ndërkombëtare të Mbrojtjes së Konsumatorit Financiar, nënvizon angazhimin e saj për të miratuar praktikat dhe standardet më të mira ndërkombëtare (si Parimet e Nivelit të Lartë të G20/OECD) në mbrojtjen financiare të konsumatorit.</w:t>
      </w:r>
      <w:r w:rsidRPr="005C3C01">
        <w:rPr>
          <w:rFonts w:eastAsia="Google Sans Text" w:cs="Times New Roman"/>
          <w:color w:val="575B5F"/>
          <w:szCs w:val="24"/>
          <w:vertAlign w:val="superscript"/>
        </w:rPr>
        <w:t>57</w:t>
      </w:r>
      <w:r w:rsidRPr="005C3C01">
        <w:t>.</w:t>
      </w:r>
    </w:p>
    <w:p w:rsidR="003D4516" w:rsidRPr="005C3C01" w:rsidRDefault="003D4516" w:rsidP="00A029DB">
      <w:pPr>
        <w:widowControl w:val="0"/>
        <w:numPr>
          <w:ilvl w:val="0"/>
          <w:numId w:val="44"/>
        </w:numPr>
        <w:pBdr>
          <w:top w:val="nil"/>
          <w:left w:val="nil"/>
          <w:bottom w:val="nil"/>
          <w:right w:val="nil"/>
          <w:between w:val="nil"/>
        </w:pBdr>
        <w:spacing w:after="120"/>
        <w:jc w:val="left"/>
        <w:rPr>
          <w:b/>
          <w:bCs/>
        </w:rPr>
      </w:pPr>
      <w:r w:rsidRPr="005C3C01">
        <w:rPr>
          <w:b/>
          <w:bCs/>
        </w:rPr>
        <w:t>2.5.3 Masat e Mbrojtjes së Konsumatorit</w:t>
      </w:r>
    </w:p>
    <w:p w:rsidR="003D4516" w:rsidRDefault="003D4516" w:rsidP="00A029DB">
      <w:r>
        <w:t>Korniza rregullatore përkthehet në disa masa specifike që synojnë mbrojtjen e konsumatorëve në marrëdhëniet e tyre me huadhënësit dhe institucionet e tjera financiare:</w:t>
      </w:r>
    </w:p>
    <w:p w:rsidR="003D4516" w:rsidRPr="00A278B0" w:rsidRDefault="003D4516" w:rsidP="00A029DB">
      <w:pPr>
        <w:widowControl w:val="0"/>
        <w:numPr>
          <w:ilvl w:val="0"/>
          <w:numId w:val="45"/>
        </w:numPr>
        <w:pBdr>
          <w:top w:val="nil"/>
          <w:left w:val="nil"/>
          <w:bottom w:val="nil"/>
          <w:right w:val="nil"/>
          <w:between w:val="nil"/>
        </w:pBdr>
        <w:spacing w:after="0"/>
        <w:jc w:val="left"/>
      </w:pPr>
      <w:r w:rsidRPr="00A278B0">
        <w:rPr>
          <w:b/>
          <w:bCs/>
        </w:rPr>
        <w:t>Transparenca dhe Informacioni:</w:t>
      </w:r>
      <w:r w:rsidR="005C3C01" w:rsidRPr="00A278B0">
        <w:t xml:space="preserve"> </w:t>
      </w:r>
      <w:r w:rsidRPr="00A278B0">
        <w:t>Konsumatorët kanë të drejtë për informacion të qartë, të saktë dhe të kuptueshëm në lidhje me produktet financiare, duke përfshirë kushtet e kredisë, normat e interesit (</w:t>
      </w:r>
      <w:r w:rsidR="00C56A5E">
        <w:t>NVP</w:t>
      </w:r>
      <w:r w:rsidRPr="00A278B0">
        <w:t>), tarifat dhe kushtet.</w:t>
      </w:r>
      <w:r w:rsidRPr="00A278B0">
        <w:rPr>
          <w:rFonts w:eastAsia="Google Sans Text" w:cs="Times New Roman"/>
          <w:color w:val="575B5F"/>
          <w:szCs w:val="24"/>
          <w:vertAlign w:val="superscript"/>
        </w:rPr>
        <w:t>52</w:t>
      </w:r>
      <w:r w:rsidR="00A278B0" w:rsidRPr="00A278B0">
        <w:t xml:space="preserve"> H</w:t>
      </w:r>
      <w:r w:rsidRPr="00A278B0">
        <w:t xml:space="preserve">uadhënësit janë të detyruar të japin këtë informacion. </w:t>
      </w:r>
      <w:r w:rsidR="001070D4" w:rsidRPr="001070D4">
        <w:t>Platforma dixhitale e BQK-së për krahasimin e produkteve financiare forcon më tej këtë të drejtë duke mundësuar</w:t>
      </w:r>
      <w:r w:rsidRPr="00A278B0">
        <w:t xml:space="preserve"> duke u lejuar konsumatorëve të krahasojnë lehtësisht ofertat.</w:t>
      </w:r>
      <w:r w:rsidRPr="00A278B0">
        <w:rPr>
          <w:rFonts w:eastAsia="Google Sans Text" w:cs="Times New Roman"/>
          <w:color w:val="575B5F"/>
          <w:szCs w:val="24"/>
          <w:vertAlign w:val="superscript"/>
        </w:rPr>
        <w:t>53</w:t>
      </w:r>
      <w:r w:rsidR="00A278B0">
        <w:t xml:space="preserve"> </w:t>
      </w:r>
    </w:p>
    <w:p w:rsidR="003D4516" w:rsidRPr="00A278B0" w:rsidRDefault="003D4516" w:rsidP="00A029DB">
      <w:pPr>
        <w:widowControl w:val="0"/>
        <w:numPr>
          <w:ilvl w:val="0"/>
          <w:numId w:val="45"/>
        </w:numPr>
        <w:pBdr>
          <w:top w:val="nil"/>
          <w:left w:val="nil"/>
          <w:bottom w:val="nil"/>
          <w:right w:val="nil"/>
          <w:between w:val="nil"/>
        </w:pBdr>
        <w:spacing w:after="0"/>
        <w:jc w:val="left"/>
      </w:pPr>
      <w:r w:rsidRPr="00A278B0">
        <w:rPr>
          <w:b/>
          <w:bCs/>
        </w:rPr>
        <w:t>Trajtim i Drejtë:</w:t>
      </w:r>
      <w:r w:rsidR="00A278B0" w:rsidRPr="00A278B0">
        <w:t xml:space="preserve"> </w:t>
      </w:r>
      <w:r w:rsidRPr="00A278B0">
        <w:t>Ligji për Mbrojtjen e Konsumatorit ndalon praktikat tregtare të padrejta, mashtruese ose agresive nga huadhënësit.</w:t>
      </w:r>
      <w:r w:rsidRPr="00A278B0">
        <w:rPr>
          <w:rFonts w:eastAsia="Google Sans Text" w:cs="Times New Roman"/>
          <w:color w:val="575B5F"/>
          <w:szCs w:val="24"/>
          <w:vertAlign w:val="superscript"/>
        </w:rPr>
        <w:t>105</w:t>
      </w:r>
      <w:r w:rsidR="00A278B0" w:rsidRPr="00A278B0">
        <w:t xml:space="preserve"> K</w:t>
      </w:r>
      <w:r w:rsidRPr="00A278B0">
        <w:t>ushtet e padrejta të kontratës që e dëmtojnë ndjeshëm konsumatorin janë gjithashtu të p</w:t>
      </w:r>
      <w:r w:rsidR="0014475F">
        <w:t>apr</w:t>
      </w:r>
      <w:r w:rsidRPr="00A278B0">
        <w:t>anueshme.</w:t>
      </w:r>
      <w:r w:rsidRPr="00A278B0">
        <w:rPr>
          <w:rFonts w:eastAsia="Google Sans Text" w:cs="Times New Roman"/>
          <w:color w:val="575B5F"/>
          <w:szCs w:val="24"/>
          <w:vertAlign w:val="superscript"/>
        </w:rPr>
        <w:t>105</w:t>
      </w:r>
      <w:r w:rsidR="00A278B0" w:rsidRPr="00A278B0">
        <w:t xml:space="preserve"> M</w:t>
      </w:r>
      <w:r w:rsidRPr="00A278B0">
        <w:t>bikëqyrja e sjelljes së tregut nga BQK-ja synon të zbatojë këto parime.</w:t>
      </w:r>
      <w:r w:rsidRPr="00A278B0">
        <w:rPr>
          <w:rFonts w:eastAsia="Google Sans Text" w:cs="Times New Roman"/>
          <w:color w:val="575B5F"/>
          <w:szCs w:val="24"/>
          <w:vertAlign w:val="superscript"/>
        </w:rPr>
        <w:t>57</w:t>
      </w:r>
      <w:r w:rsidRPr="00A278B0">
        <w:t>.</w:t>
      </w:r>
    </w:p>
    <w:p w:rsidR="003D4516" w:rsidRPr="00A029DB" w:rsidRDefault="003D4516" w:rsidP="00A029DB">
      <w:pPr>
        <w:widowControl w:val="0"/>
        <w:numPr>
          <w:ilvl w:val="0"/>
          <w:numId w:val="45"/>
        </w:numPr>
        <w:pBdr>
          <w:top w:val="nil"/>
          <w:left w:val="nil"/>
          <w:bottom w:val="nil"/>
          <w:right w:val="nil"/>
          <w:between w:val="nil"/>
        </w:pBdr>
        <w:spacing w:after="0"/>
        <w:jc w:val="left"/>
      </w:pPr>
      <w:r w:rsidRPr="00A029DB">
        <w:rPr>
          <w:b/>
          <w:bCs/>
        </w:rPr>
        <w:t>Mekanizmat e Ankesave:</w:t>
      </w:r>
      <w:r w:rsidR="00A278B0">
        <w:rPr>
          <w:rFonts w:ascii="Google Sans Text" w:eastAsia="Google Sans Text" w:hAnsi="Google Sans Text"/>
          <w:b/>
          <w:szCs w:val="24"/>
        </w:rPr>
        <w:t xml:space="preserve"> </w:t>
      </w:r>
      <w:r w:rsidRPr="00A029DB">
        <w:t>Konsumatorët kanë të drejtë të ankohen nëse hasin probleme</w:t>
      </w:r>
      <w:r w:rsidRPr="00A029DB">
        <w:rPr>
          <w:rFonts w:eastAsia="Google Sans Text" w:cs="Times New Roman"/>
          <w:color w:val="575B5F"/>
          <w:szCs w:val="24"/>
          <w:vertAlign w:val="superscript"/>
        </w:rPr>
        <w:t>105</w:t>
      </w:r>
      <w:r w:rsidR="00A029DB" w:rsidRPr="00A029DB">
        <w:t xml:space="preserve"> E</w:t>
      </w:r>
      <w:r w:rsidRPr="00A029DB">
        <w:t>kzistojnë mekanizma përmes strukturave të mbrojtjes së konsumatorit të MTI-së.</w:t>
      </w:r>
      <w:r w:rsidRPr="00A029DB">
        <w:rPr>
          <w:rFonts w:eastAsia="Google Sans Text" w:cs="Times New Roman"/>
          <w:color w:val="575B5F"/>
          <w:szCs w:val="24"/>
          <w:vertAlign w:val="superscript"/>
        </w:rPr>
        <w:t>105</w:t>
      </w:r>
      <w:r w:rsidR="00A029DB" w:rsidRPr="00A029DB">
        <w:t xml:space="preserve"> P</w:t>
      </w:r>
      <w:r w:rsidRPr="00A029DB">
        <w:t>ër më tepër, fokusi i shtuar i BQK-së në mbrojtjen e konsumatorit sugjeron një rol në trajtimin ose mbikëqyrjen e ankesave që lidhen me shërbimet financiare.</w:t>
      </w:r>
      <w:r w:rsidRPr="00A029DB">
        <w:rPr>
          <w:rFonts w:eastAsia="Google Sans Text" w:cs="Times New Roman"/>
          <w:color w:val="575B5F"/>
          <w:szCs w:val="24"/>
          <w:vertAlign w:val="superscript"/>
        </w:rPr>
        <w:t>57</w:t>
      </w:r>
      <w:r w:rsidRPr="00A029DB">
        <w:t>.</w:t>
      </w:r>
    </w:p>
    <w:p w:rsidR="003D4516" w:rsidRPr="00A029DB" w:rsidRDefault="003D4516" w:rsidP="00A029DB">
      <w:pPr>
        <w:widowControl w:val="0"/>
        <w:numPr>
          <w:ilvl w:val="0"/>
          <w:numId w:val="45"/>
        </w:numPr>
        <w:pBdr>
          <w:top w:val="nil"/>
          <w:left w:val="nil"/>
          <w:bottom w:val="nil"/>
          <w:right w:val="nil"/>
          <w:between w:val="nil"/>
        </w:pBdr>
        <w:spacing w:after="120"/>
        <w:jc w:val="left"/>
      </w:pPr>
      <w:r w:rsidRPr="00A029DB">
        <w:rPr>
          <w:b/>
          <w:bCs/>
        </w:rPr>
        <w:t>Qasja dhe Përballueshmëria:</w:t>
      </w:r>
      <w:r w:rsidR="00A029DB" w:rsidRPr="00A029DB">
        <w:t xml:space="preserve"> </w:t>
      </w:r>
      <w:r w:rsidRPr="00A029DB">
        <w:t>Rregullorja për llogaritë themelore të pagesave adreson drejtpërdrejt pengesat në akses dhe synon të sigurojë përballueshmërinë e shërbimeve thelbësore financiare për të gjithë qytetarët, përfshirë grupet vulnerabël.</w:t>
      </w:r>
      <w:r w:rsidRPr="00A029DB">
        <w:rPr>
          <w:rFonts w:eastAsia="Google Sans Text" w:cs="Times New Roman"/>
          <w:color w:val="575B5F"/>
          <w:szCs w:val="24"/>
          <w:vertAlign w:val="superscript"/>
        </w:rPr>
        <w:t>76</w:t>
      </w:r>
      <w:r w:rsidRPr="00A029DB">
        <w:t>.</w:t>
      </w:r>
    </w:p>
    <w:p w:rsidR="003D4516" w:rsidRPr="00A029DB" w:rsidRDefault="003D4516" w:rsidP="00D11F02">
      <w:pPr>
        <w:pBdr>
          <w:top w:val="nil"/>
          <w:left w:val="nil"/>
          <w:bottom w:val="nil"/>
          <w:right w:val="nil"/>
          <w:between w:val="nil"/>
        </w:pBdr>
        <w:spacing w:before="240"/>
      </w:pPr>
      <w:r w:rsidRPr="00A029DB">
        <w:t xml:space="preserve">Kosova ka bërë hapa të rëndësishëm në krijimin e një arkitekture formale ligjore dhe rregullatore për mbrojtjen e konsumatorit në sektorin financiar, veçanërisht në kreditim. Ky kuadër po përputhet gjithnjë e më shumë me direktivat e BE-së dhe praktikat më të </w:t>
      </w:r>
      <w:r w:rsidRPr="00A029DB">
        <w:lastRenderedPageBreak/>
        <w:t>mira ndërkombëtare, me BQK-në që po merr një rol më të spikatur në mbikëqyrje dhe zbatim.</w:t>
      </w:r>
      <w:r w:rsidRPr="00A029DB">
        <w:rPr>
          <w:rFonts w:eastAsia="Google Sans Text" w:cs="Times New Roman"/>
          <w:color w:val="575B5F"/>
          <w:szCs w:val="24"/>
          <w:vertAlign w:val="superscript"/>
        </w:rPr>
        <w:t>57</w:t>
      </w:r>
      <w:r w:rsidR="00A029DB" w:rsidRPr="00A029DB">
        <w:t xml:space="preserve"> N</w:t>
      </w:r>
      <w:r w:rsidRPr="00A029DB">
        <w:t>dalimi i qartë i praktikave të padrejta dhe theksi në transparencë janë pikat e forta kryesore.</w:t>
      </w:r>
      <w:r w:rsidRPr="00A029DB">
        <w:rPr>
          <w:rFonts w:eastAsia="Google Sans Text" w:cs="Times New Roman"/>
          <w:color w:val="575B5F"/>
          <w:szCs w:val="24"/>
          <w:vertAlign w:val="superscript"/>
        </w:rPr>
        <w:t>105</w:t>
      </w:r>
      <w:r w:rsidR="00A029DB" w:rsidRPr="00A029DB">
        <w:t xml:space="preserve"> M</w:t>
      </w:r>
      <w:r w:rsidRPr="00A029DB">
        <w:t>egjithatë, efektiviteti i çdo kuadri rregullator varet nga zbatimi i fuqishëm, zbatimi konsistent dhe, më e rëndësishmja, nga ndërgjegjësimi i konsumatorëve dhe njohuritë financiare. Sigurimi që konsumatorët i kuptojnë të drejtat e tyre dhe që institucionet i përmbushin plotësisht detyrimet e transparencës dhe drejtësisë mbetet një proces i vazhdueshëm. Përpjekjet e vazhdueshme në edukimin financiar, të nxitura nga organe si SHBK dhe BQK, janë plotësues të rëndësishëm të strukturës rregullatore.</w:t>
      </w:r>
      <w:r w:rsidRPr="00A029DB">
        <w:rPr>
          <w:rFonts w:eastAsia="Google Sans Text" w:cs="Times New Roman"/>
          <w:color w:val="575B5F"/>
          <w:szCs w:val="24"/>
          <w:vertAlign w:val="superscript"/>
        </w:rPr>
        <w:t>63</w:t>
      </w:r>
      <w:r w:rsidRPr="00A029DB">
        <w:t>.</w:t>
      </w:r>
    </w:p>
    <w:p w:rsidR="003D4516" w:rsidRDefault="003D4516"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5E21D1" w:rsidRDefault="005E21D1" w:rsidP="00D11F02"/>
    <w:p w:rsidR="009B74E1" w:rsidRDefault="009B74E1" w:rsidP="00D11F02"/>
    <w:p w:rsidR="005E21D1" w:rsidRDefault="005E21D1" w:rsidP="00D11F02"/>
    <w:p w:rsidR="005E21D1" w:rsidRDefault="005E21D1" w:rsidP="003838A9">
      <w:pPr>
        <w:pStyle w:val="Heading2"/>
      </w:pPr>
      <w:bookmarkStart w:id="17" w:name="_Toc198558478"/>
      <w:r w:rsidRPr="005E21D1">
        <w:lastRenderedPageBreak/>
        <w:t xml:space="preserve">Seksioni 2.6: </w:t>
      </w:r>
      <w:r w:rsidR="006E0EA1" w:rsidRPr="006E0EA1">
        <w:t>Faktorët që Nxisin Kërkesën për Kredi Personale</w:t>
      </w:r>
      <w:bookmarkEnd w:id="17"/>
    </w:p>
    <w:p w:rsidR="005E21D1" w:rsidRDefault="005E21D1" w:rsidP="00D11F02">
      <w:r>
        <w:t>Kërkesa për kredi personale në Kosovë duket se nxitet nga një bashkëveprim faktorësh ekonomikë, nevojave të familjeve dhe zhvillimeve brenda vetë sektorit financiar.</w:t>
      </w:r>
    </w:p>
    <w:p w:rsidR="005E21D1" w:rsidRPr="005E21D1" w:rsidRDefault="005E21D1" w:rsidP="00D11F02">
      <w:pPr>
        <w:widowControl w:val="0"/>
        <w:numPr>
          <w:ilvl w:val="0"/>
          <w:numId w:val="46"/>
        </w:numPr>
        <w:pBdr>
          <w:top w:val="nil"/>
          <w:left w:val="nil"/>
          <w:bottom w:val="nil"/>
          <w:right w:val="nil"/>
          <w:between w:val="nil"/>
        </w:pBdr>
        <w:spacing w:after="120"/>
        <w:jc w:val="left"/>
        <w:rPr>
          <w:b/>
          <w:bCs/>
        </w:rPr>
      </w:pPr>
      <w:r w:rsidRPr="005E21D1">
        <w:rPr>
          <w:b/>
          <w:bCs/>
        </w:rPr>
        <w:t>2.6.1 Konsumi i Familjeve</w:t>
      </w:r>
    </w:p>
    <w:p w:rsidR="005E21D1" w:rsidRPr="005E21D1" w:rsidRDefault="005E21D1" w:rsidP="00D11F02">
      <w:pPr>
        <w:pBdr>
          <w:top w:val="nil"/>
          <w:left w:val="nil"/>
          <w:bottom w:val="nil"/>
          <w:right w:val="nil"/>
          <w:between w:val="nil"/>
        </w:pBdr>
        <w:spacing w:before="240" w:after="120"/>
      </w:pPr>
      <w:r w:rsidRPr="005E21D1">
        <w:t>Një nxitës kryesor i rritjes së përgjithshme ekonomike të Kosovës është konsumi i fortë privat.</w:t>
      </w:r>
      <w:r w:rsidRPr="005E21D1">
        <w:rPr>
          <w:rFonts w:eastAsia="Google Sans Text" w:cs="Times New Roman"/>
          <w:color w:val="575B5F"/>
          <w:szCs w:val="24"/>
          <w:vertAlign w:val="superscript"/>
        </w:rPr>
        <w:t>81</w:t>
      </w:r>
      <w:r w:rsidRPr="005E21D1">
        <w:t xml:space="preserve"> </w:t>
      </w:r>
      <w:r w:rsidR="001070D4" w:rsidRPr="001070D4">
        <w:t>Kreditimi i konsumatorëve, duke përfshirë kreditë personale, kontribuon drejtpërdrejt në nxitjen e konsumit privat</w:t>
      </w:r>
      <w:r w:rsidRPr="005E21D1">
        <w:t>.</w:t>
      </w:r>
      <w:r w:rsidRPr="005E21D1">
        <w:rPr>
          <w:rFonts w:eastAsia="Google Sans Text" w:cs="Times New Roman"/>
          <w:color w:val="575B5F"/>
          <w:szCs w:val="24"/>
          <w:vertAlign w:val="superscript"/>
        </w:rPr>
        <w:t>81</w:t>
      </w:r>
      <w:r w:rsidRPr="005E21D1">
        <w:t xml:space="preserve"> Kur familjet kërkojnë të bëjnë blerje ose të financojnë shpenzime që tejkalojnë fluksin e tyre të menjëhershëm të parave të gatshme, kreditë personale ofrojnë një mjet për të kapërcyer hendekun. Faktorët që kohët e fundit kanë rritur konsumin, dhe për këtë arsye kërkesën e mundshme për kredi personale, përfshijnë </w:t>
      </w:r>
      <w:r w:rsidR="001070D4" w:rsidRPr="001070D4">
        <w:t>rritjen e të ardhurave reale të ndihmuar nga ulja e ndjeshme e inflacionit</w:t>
      </w:r>
      <w:r w:rsidRPr="005E21D1">
        <w:t>, përmirësimet në tregun e punës që çojnë në nivele më të ulëta papunësie dhe flukse të konsiderueshme të remitancave.</w:t>
      </w:r>
      <w:r w:rsidRPr="005E21D1">
        <w:rPr>
          <w:rFonts w:eastAsia="Google Sans Text" w:cs="Times New Roman"/>
          <w:color w:val="575B5F"/>
          <w:szCs w:val="24"/>
          <w:vertAlign w:val="superscript"/>
        </w:rPr>
        <w:t>81</w:t>
      </w:r>
      <w:r w:rsidRPr="005E21D1">
        <w:t>.</w:t>
      </w:r>
    </w:p>
    <w:p w:rsidR="005E21D1" w:rsidRPr="005E21D1" w:rsidRDefault="005E21D1" w:rsidP="00D11F02">
      <w:pPr>
        <w:widowControl w:val="0"/>
        <w:numPr>
          <w:ilvl w:val="0"/>
          <w:numId w:val="47"/>
        </w:numPr>
        <w:pBdr>
          <w:top w:val="nil"/>
          <w:left w:val="nil"/>
          <w:bottom w:val="nil"/>
          <w:right w:val="nil"/>
          <w:between w:val="nil"/>
        </w:pBdr>
        <w:spacing w:after="120"/>
        <w:jc w:val="left"/>
        <w:rPr>
          <w:b/>
          <w:bCs/>
        </w:rPr>
      </w:pPr>
      <w:r w:rsidRPr="005E21D1">
        <w:rPr>
          <w:b/>
          <w:bCs/>
        </w:rPr>
        <w:t>2.6.2 Remitancat</w:t>
      </w:r>
    </w:p>
    <w:p w:rsidR="005E21D1" w:rsidRPr="005E21D1" w:rsidRDefault="005E21D1" w:rsidP="00D11F02">
      <w:pPr>
        <w:pBdr>
          <w:top w:val="nil"/>
          <w:left w:val="nil"/>
          <w:bottom w:val="nil"/>
          <w:right w:val="nil"/>
          <w:between w:val="nil"/>
        </w:pBdr>
        <w:spacing w:before="240" w:after="120"/>
      </w:pPr>
      <w:r w:rsidRPr="005E21D1">
        <w:t>Kosova përfiton nga flukse të konsiderueshme të remitancave nga popullsia e saj e madhe e diasporës, kryesisht e vendosur në Evropën Perëndimore.</w:t>
      </w:r>
      <w:r w:rsidRPr="005E21D1">
        <w:rPr>
          <w:rFonts w:eastAsia="Google Sans Text" w:cs="Times New Roman"/>
          <w:color w:val="575B5F"/>
          <w:szCs w:val="24"/>
          <w:vertAlign w:val="superscript"/>
        </w:rPr>
        <w:t>81</w:t>
      </w:r>
      <w:r w:rsidRPr="005E21D1">
        <w:t xml:space="preserve"> Këto remitanca përbëjnë një pjesë thelbësore të të ardhurave familjare për shumë familje, duke rritur ndjeshëm fuqinë e tyre blerëse dhe duke kontribuar drejtpërdrejt në nivelet e konsumit.</w:t>
      </w:r>
      <w:r w:rsidRPr="005E21D1">
        <w:rPr>
          <w:rFonts w:eastAsia="Google Sans Text" w:cs="Times New Roman"/>
          <w:color w:val="575B5F"/>
          <w:szCs w:val="24"/>
          <w:vertAlign w:val="superscript"/>
        </w:rPr>
        <w:t>81</w:t>
      </w:r>
      <w:r w:rsidRPr="005E21D1">
        <w:t xml:space="preserve"> Vetëm në janar 2025, remitancat arritën në 86.14 milionë euro.</w:t>
      </w:r>
      <w:r w:rsidRPr="005E21D1">
        <w:rPr>
          <w:rFonts w:eastAsia="Google Sans Text" w:cs="Times New Roman"/>
          <w:color w:val="575B5F"/>
          <w:szCs w:val="24"/>
          <w:vertAlign w:val="superscript"/>
        </w:rPr>
        <w:t>108</w:t>
      </w:r>
      <w:r w:rsidRPr="005E21D1">
        <w:t xml:space="preserve"> </w:t>
      </w:r>
      <w:r w:rsidR="001070D4" w:rsidRPr="001070D4">
        <w:t>Edhe pse remitancat nuk përfaqësojnë një faktor të drejtpërdrejtë të huamarrjes, ato rrisin dukshëm kapacitetin e familjeve për të përballuar detyrimet kreditore</w:t>
      </w:r>
      <w:r w:rsidRPr="005E21D1">
        <w:t>, duke rritur potencialisht si gatishmërinë e tyre për të marrë hua ashtu edhe gatishmërinë e huadhënësve për të dhënë kredi, duke përfshirë kreditë personale.</w:t>
      </w:r>
    </w:p>
    <w:p w:rsidR="005E21D1" w:rsidRPr="005E21D1" w:rsidRDefault="005E21D1" w:rsidP="00D11F02">
      <w:pPr>
        <w:widowControl w:val="0"/>
        <w:numPr>
          <w:ilvl w:val="0"/>
          <w:numId w:val="48"/>
        </w:numPr>
        <w:pBdr>
          <w:top w:val="nil"/>
          <w:left w:val="nil"/>
          <w:bottom w:val="nil"/>
          <w:right w:val="nil"/>
          <w:between w:val="nil"/>
        </w:pBdr>
        <w:spacing w:after="120"/>
        <w:jc w:val="left"/>
        <w:rPr>
          <w:b/>
          <w:bCs/>
        </w:rPr>
      </w:pPr>
      <w:r w:rsidRPr="005E21D1">
        <w:rPr>
          <w:b/>
          <w:bCs/>
        </w:rPr>
        <w:t>2.6.3 Konsolidimi i Borxhit</w:t>
      </w:r>
    </w:p>
    <w:p w:rsidR="005E21D1" w:rsidRPr="005E21D1" w:rsidRDefault="005E21D1" w:rsidP="00D11F02">
      <w:pPr>
        <w:pBdr>
          <w:top w:val="nil"/>
          <w:left w:val="nil"/>
          <w:bottom w:val="nil"/>
          <w:right w:val="nil"/>
          <w:between w:val="nil"/>
        </w:pBdr>
        <w:spacing w:before="240" w:after="120"/>
      </w:pPr>
      <w:r w:rsidRPr="005E21D1">
        <w:t xml:space="preserve">Ngjashëm me trendet e vërejtura në shumë tregje të tjera të kreditit, konsolidimi i borxhit është një </w:t>
      </w:r>
      <w:r w:rsidR="001070D4" w:rsidRPr="001070D4">
        <w:t>faktor kontribues</w:t>
      </w:r>
      <w:r w:rsidRPr="005E21D1">
        <w:t xml:space="preserve"> i kërkesës për kredi personale në Kosovë. Konsumatorët mund të kërkojnë kredi personale për të konsoliduar borxhe të shumëfishta ekzistuese, veçanërisht detyrime me interesa më të larta si bilancet e kartave të kreditit, në një kredi të vetme me potencialisht një normë interesi më të ulët dhe një pagesë të vetme mujore </w:t>
      </w:r>
      <w:r w:rsidRPr="005E21D1">
        <w:lastRenderedPageBreak/>
        <w:t>më të menaxhueshme.</w:t>
      </w:r>
      <w:r w:rsidRPr="005E21D1">
        <w:rPr>
          <w:rFonts w:eastAsia="Google Sans Text" w:cs="Times New Roman"/>
          <w:color w:val="575B5F"/>
          <w:szCs w:val="24"/>
          <w:vertAlign w:val="superscript"/>
        </w:rPr>
        <w:t>7</w:t>
      </w:r>
      <w:r w:rsidRPr="005E21D1">
        <w:t xml:space="preserve"> Kjo strategji mund të thjeshtojë financat dhe të zvogëlojë kostot e përgjithshme të interesit.</w:t>
      </w:r>
    </w:p>
    <w:p w:rsidR="005E21D1" w:rsidRPr="005E21D1" w:rsidRDefault="005E21D1" w:rsidP="00D11F02">
      <w:pPr>
        <w:widowControl w:val="0"/>
        <w:numPr>
          <w:ilvl w:val="0"/>
          <w:numId w:val="49"/>
        </w:numPr>
        <w:pBdr>
          <w:top w:val="nil"/>
          <w:left w:val="nil"/>
          <w:bottom w:val="nil"/>
          <w:right w:val="nil"/>
          <w:between w:val="nil"/>
        </w:pBdr>
        <w:spacing w:after="120"/>
        <w:jc w:val="left"/>
        <w:rPr>
          <w:b/>
          <w:bCs/>
        </w:rPr>
      </w:pPr>
      <w:r w:rsidRPr="005E21D1">
        <w:rPr>
          <w:b/>
          <w:bCs/>
        </w:rPr>
        <w:t>2.6.4 Ngjarje dhe Blerje të Mëdha në Jetë</w:t>
      </w:r>
    </w:p>
    <w:p w:rsidR="005E21D1" w:rsidRPr="005E21D1" w:rsidRDefault="005E21D1" w:rsidP="00D11F02">
      <w:pPr>
        <w:pBdr>
          <w:top w:val="nil"/>
          <w:left w:val="nil"/>
          <w:bottom w:val="nil"/>
          <w:right w:val="nil"/>
          <w:between w:val="nil"/>
        </w:pBdr>
        <w:spacing w:before="240" w:after="120"/>
      </w:pPr>
      <w:r w:rsidRPr="005E21D1">
        <w:t>Kreditë personale ofrojnë financim për ngjarje të rëndësishme në jetë dhe blerje të mëdha që bien jashtë fushëveprimit të kredive me qëllim specifik, siç janë hipotekat ose kreditë për makina.</w:t>
      </w:r>
      <w:r w:rsidRPr="005E21D1">
        <w:rPr>
          <w:rFonts w:eastAsia="Google Sans Text" w:cs="Times New Roman"/>
          <w:color w:val="575B5F"/>
          <w:szCs w:val="24"/>
          <w:vertAlign w:val="superscript"/>
        </w:rPr>
        <w:t>7</w:t>
      </w:r>
      <w:r w:rsidRPr="005E21D1">
        <w:t xml:space="preserve"> </w:t>
      </w:r>
      <w:r w:rsidR="001070D4" w:rsidRPr="001070D4">
        <w:t>Shembuj përfshijnë financimin e dasmave, udhëtimeve, pushimeve</w:t>
      </w:r>
      <w:r w:rsidRPr="005E21D1">
        <w:t>, ndërmarrjen e përmirësimeve ose rinovimeve në shtëpi (veçanërisht nëse një HELOC nuk është i dëshirueshëm ose i disponueshëm), ose blerjen e mallrave të qëndrueshme të shtrenjta të konsumit. Fleksibiliteti i kredive personale i bën ato të përshtatshme për këto nevoja të ndryshme.</w:t>
      </w:r>
      <w:r w:rsidRPr="005E21D1">
        <w:rPr>
          <w:rFonts w:eastAsia="Google Sans Text" w:cs="Times New Roman"/>
          <w:color w:val="575B5F"/>
          <w:szCs w:val="24"/>
          <w:vertAlign w:val="superscript"/>
        </w:rPr>
        <w:t>7</w:t>
      </w:r>
      <w:r w:rsidRPr="005E21D1">
        <w:t>.</w:t>
      </w:r>
    </w:p>
    <w:p w:rsidR="005E21D1" w:rsidRPr="005E21D1" w:rsidRDefault="005E21D1" w:rsidP="00D11F02">
      <w:pPr>
        <w:widowControl w:val="0"/>
        <w:numPr>
          <w:ilvl w:val="0"/>
          <w:numId w:val="50"/>
        </w:numPr>
        <w:pBdr>
          <w:top w:val="nil"/>
          <w:left w:val="nil"/>
          <w:bottom w:val="nil"/>
          <w:right w:val="nil"/>
          <w:between w:val="nil"/>
        </w:pBdr>
        <w:spacing w:after="120"/>
        <w:jc w:val="left"/>
        <w:rPr>
          <w:b/>
          <w:bCs/>
        </w:rPr>
      </w:pPr>
      <w:r w:rsidRPr="005E21D1">
        <w:rPr>
          <w:b/>
          <w:bCs/>
        </w:rPr>
        <w:t>2.6.5 Përfshirja dhe Aksesueshmëria Financiare</w:t>
      </w:r>
    </w:p>
    <w:p w:rsidR="005E21D1" w:rsidRPr="005E21D1" w:rsidRDefault="005E21D1" w:rsidP="00D11F02">
      <w:pPr>
        <w:pBdr>
          <w:top w:val="nil"/>
          <w:left w:val="nil"/>
          <w:bottom w:val="nil"/>
          <w:right w:val="nil"/>
          <w:between w:val="nil"/>
        </w:pBdr>
        <w:spacing w:before="240"/>
      </w:pPr>
      <w:r w:rsidRPr="005E21D1">
        <w:t>Zhvillimi dhe zgjerimi i vazhdueshëm i sektorit financiar të Kosovës kontribuon në rritjen e kërkesës. Ndërsa bankat dhe IMF-të zgjerojnë shtrirjen dhe ofertat e tyre të produkteve, më shumë individë fitojnë qasje në kanalet formale të kreditimit.</w:t>
      </w:r>
      <w:r w:rsidRPr="005E21D1">
        <w:rPr>
          <w:rFonts w:eastAsia="Google Sans Text" w:cs="Times New Roman"/>
          <w:color w:val="575B5F"/>
          <w:szCs w:val="24"/>
          <w:vertAlign w:val="superscript"/>
        </w:rPr>
        <w:t>55</w:t>
      </w:r>
      <w:r w:rsidRPr="005E21D1">
        <w:t xml:space="preserve"> Përpjekjet e institucioneve financiare për dixhitalizim, duke thjeshtuar proceset e aplikimit dhe duke përmirësuar komoditetin përmes platformave online dhe mobile, ka të ngjarë të ulin barrierat për akses dhe të stimulojnë kërkesën.</w:t>
      </w:r>
      <w:r w:rsidRPr="005E21D1">
        <w:rPr>
          <w:rFonts w:eastAsia="Google Sans Text" w:cs="Times New Roman"/>
          <w:color w:val="575B5F"/>
          <w:szCs w:val="24"/>
          <w:vertAlign w:val="superscript"/>
        </w:rPr>
        <w:t>109</w:t>
      </w:r>
      <w:r w:rsidRPr="005E21D1">
        <w:t xml:space="preserve"> </w:t>
      </w:r>
      <w:r w:rsidR="001070D4" w:rsidRPr="001070D4">
        <w:t>Gjithashtu, masat rregullatore si rregullorja për llogaritë bazë të pagesave synojnë të zgjerojnë përfshirjen financiare</w:t>
      </w:r>
      <w:r w:rsidRPr="005E21D1">
        <w:t>, mund të sjellin individë që më parë nuk kishin qasje në shërbime bankare ose që nuk kishin qasje në shërbime bankare, në sistemin formal financiar, duke rritur potencialisht numrin e aplikantëve të ardhshëm për kredi personale.</w:t>
      </w:r>
      <w:r w:rsidRPr="005E21D1">
        <w:rPr>
          <w:rFonts w:eastAsia="Google Sans Text" w:cs="Times New Roman"/>
          <w:color w:val="575B5F"/>
          <w:szCs w:val="24"/>
          <w:vertAlign w:val="superscript"/>
        </w:rPr>
        <w:t>55</w:t>
      </w:r>
      <w:r w:rsidRPr="005E21D1">
        <w:t>.</w:t>
      </w:r>
    </w:p>
    <w:p w:rsidR="005E21D1" w:rsidRPr="00D11F02" w:rsidRDefault="005E21D1" w:rsidP="00D11F02">
      <w:pPr>
        <w:pBdr>
          <w:top w:val="nil"/>
          <w:left w:val="nil"/>
          <w:bottom w:val="nil"/>
          <w:right w:val="nil"/>
          <w:between w:val="nil"/>
        </w:pBdr>
      </w:pPr>
      <w:r w:rsidRPr="00D11F02">
        <w:t xml:space="preserve">Kërkesa e fortë për kredi personale në Kosovë duket se </w:t>
      </w:r>
      <w:r w:rsidR="001070D4" w:rsidRPr="001070D4">
        <w:t>është e lidhur ngushtë me përpjekjet e familjeve për të mbështetur konsumin dhe për të menaxhuar shpenzimet e papritura ose të mëdha</w:t>
      </w:r>
      <w:r w:rsidRPr="00D11F02">
        <w:t>. Ky konsum mbështetet nga një kombinim i faktorëve pozitivë të ekonomisë vendase (rritja e vendeve të punës, rritja e të ardhurave reale për shkak të inflacionit në rënie) dhe flukseve të konsiderueshme dhe të qëndrueshme të remitancave nga diaspora.</w:t>
      </w:r>
      <w:r w:rsidRPr="00D11F02">
        <w:rPr>
          <w:rFonts w:eastAsia="Google Sans Text" w:cs="Times New Roman"/>
          <w:color w:val="575B5F"/>
          <w:szCs w:val="24"/>
          <w:vertAlign w:val="superscript"/>
        </w:rPr>
        <w:t>81</w:t>
      </w:r>
      <w:r w:rsidR="00D11F02" w:rsidRPr="00D11F02">
        <w:t xml:space="preserve"> S</w:t>
      </w:r>
      <w:r w:rsidRPr="00D11F02">
        <w:t>ektori financiar në zhvillim, me rritjen e aksesit dhe dixhitalizimin, lehtëson në mënyrë efektive përmbushjen e kësaj kërkese.</w:t>
      </w:r>
      <w:r w:rsidRPr="00D11F02">
        <w:rPr>
          <w:rFonts w:eastAsia="Google Sans Text" w:cs="Times New Roman"/>
          <w:color w:val="575B5F"/>
          <w:szCs w:val="24"/>
          <w:vertAlign w:val="superscript"/>
        </w:rPr>
        <w:t>55</w:t>
      </w:r>
      <w:r w:rsidR="00D11F02" w:rsidRPr="00D11F02">
        <w:t xml:space="preserve"> N</w:t>
      </w:r>
      <w:r w:rsidRPr="00D11F02">
        <w:t>dërsa një studim akademik i vitit 2018 që mbulonte periudhën 2007-2017 gjeti një korrelacion negativ midis rritjes së kredisë konsumatore dhe konsumit si përqindje e PBB-së</w:t>
      </w:r>
      <w:r w:rsidRPr="00D11F02">
        <w:rPr>
          <w:rFonts w:eastAsia="Google Sans Text" w:cs="Times New Roman"/>
          <w:color w:val="575B5F"/>
          <w:szCs w:val="24"/>
          <w:vertAlign w:val="superscript"/>
        </w:rPr>
        <w:t>106</w:t>
      </w:r>
      <w:r w:rsidRPr="00D11F02">
        <w:t xml:space="preserve">, ky zbulim duket në kundërshtim me narrativën më të gjerë të paraqitur në raportet më të fundit nga FMN-ja </w:t>
      </w:r>
      <w:r w:rsidRPr="00D11F02">
        <w:lastRenderedPageBreak/>
        <w:t>dhe Banka Botërore, të cilat theksojnë rolin e kreditimit të konsumatorit në mbështetjen e konsumit.</w:t>
      </w:r>
      <w:r w:rsidRPr="00D11F02">
        <w:rPr>
          <w:rFonts w:eastAsia="Google Sans Text" w:cs="Times New Roman"/>
          <w:color w:val="575B5F"/>
          <w:szCs w:val="24"/>
          <w:vertAlign w:val="superscript"/>
        </w:rPr>
        <w:t>81</w:t>
      </w:r>
      <w:r w:rsidR="00D11F02" w:rsidRPr="00D11F02">
        <w:t xml:space="preserve"> R</w:t>
      </w:r>
      <w:r w:rsidRPr="00D11F02">
        <w:t>ezultati i studimit mund të jetë specifik për metodologjinë, afatin kohor ose përkufizimin e variablave të tij; provat mbizotëruese tregojnë se kreditë personale janë një mundësues kyç i konsumit në ekonominë e Kosovës.</w:t>
      </w:r>
    </w:p>
    <w:p w:rsidR="005E21D1" w:rsidRDefault="005E21D1" w:rsidP="003838A9"/>
    <w:p w:rsidR="003D4516" w:rsidRDefault="003D4516"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D11F02" w:rsidRDefault="00D11F02" w:rsidP="003838A9"/>
    <w:p w:rsidR="00FE66AE" w:rsidRDefault="00FE66AE" w:rsidP="003838A9"/>
    <w:p w:rsidR="00FE66AE" w:rsidRDefault="00FE66AE" w:rsidP="003838A9"/>
    <w:p w:rsidR="00FE66AE" w:rsidRDefault="00FE66AE" w:rsidP="003838A9"/>
    <w:p w:rsidR="00FE66AE" w:rsidRDefault="00FE66AE" w:rsidP="003838A9"/>
    <w:p w:rsidR="00D11F02" w:rsidRDefault="00D11F02" w:rsidP="003838A9"/>
    <w:p w:rsidR="00D11F02" w:rsidRDefault="00D11F02" w:rsidP="006E0EA1">
      <w:pPr>
        <w:pStyle w:val="Heading1"/>
      </w:pPr>
      <w:bookmarkStart w:id="18" w:name="_Toc198558479"/>
      <w:r w:rsidRPr="00D11F02">
        <w:lastRenderedPageBreak/>
        <w:t xml:space="preserve">Pjesa 3: </w:t>
      </w:r>
      <w:r w:rsidR="006E0EA1" w:rsidRPr="006E0EA1">
        <w:t>Përmbledhje Analitike dhe Rekomandime Kryesore</w:t>
      </w:r>
      <w:bookmarkEnd w:id="18"/>
    </w:p>
    <w:p w:rsidR="00D11F02" w:rsidRDefault="00D11F02" w:rsidP="003838A9">
      <w:pPr>
        <w:pStyle w:val="Heading2"/>
      </w:pPr>
      <w:bookmarkStart w:id="19" w:name="_Toc198558480"/>
      <w:r>
        <w:t xml:space="preserve">3.1 </w:t>
      </w:r>
      <w:r w:rsidR="006E0EA1" w:rsidRPr="006E0EA1">
        <w:t>Mësimet Kyçe nga Bazat e Kredisë</w:t>
      </w:r>
      <w:bookmarkEnd w:id="19"/>
    </w:p>
    <w:p w:rsidR="00D11F02" w:rsidRDefault="00D11F02" w:rsidP="003838A9">
      <w:r>
        <w:t>Kjo analizë ka përcaktuar parimet thelbësore që rregullojnë kreditë. Një kredi përfaqëson një marrëveshje kontraktuale për huazimin e një shume kryesore, e cila duhet të shlyhet gjatë një afati të përcaktuar, zakonisht me interes të llogaritur si përqindje (</w:t>
      </w:r>
      <w:r w:rsidR="00C56A5E">
        <w:t>NVP</w:t>
      </w:r>
      <w:r>
        <w:t>). Dallimi midis interesit të thjeshtë (i llogaritur vetëm mbi kryesoren) dhe interesit të përbërë (i llogaritur mbi kryesoren plus interesin e grumbulluar) është kritik, me interesin e përbërë që rrit ndjeshëm koston totale, veçanërisht në afate më të gjata. Kreditë kategorizohen si të siguruara (që kërkojnë kolateral, duke ofruar kushte potencialisht më të mira, por duke rrezikuar humbjen e aseteve) ose të pasiguruara (bazuar në besueshmërinë kreditore, shpesh me norma më të larta, por pa rrezik të drejtpërdrejtë të aseteve). Të kuptuarit e ciklit jetësor të kredisë - nga aplikimi dhe nënshkrimi (i ndikuar gjithnjë e më shumë nga Inteligjenca Artificiale) deri në disbursim dhe shlyerje (të qeverisur nga skemat e amortizimit) - është thelbësor. Në mënyrë kritike, huamarrësit duhet të njohin pasojat e rënda dhe afatgjata të mospërmbushjes së detyrimeve, duke përfshirë dëmtimin e kredisë, sekuestrimin e mundshëm të aseteve (për kreditë e siguruara) dhe veprimet ligjore.</w:t>
      </w:r>
    </w:p>
    <w:p w:rsidR="00D11F02" w:rsidRDefault="00D11F02" w:rsidP="003838A9"/>
    <w:p w:rsidR="00D11F02" w:rsidRDefault="00D11F02" w:rsidP="003838A9"/>
    <w:p w:rsidR="00D11F02" w:rsidRDefault="00D11F02" w:rsidP="003838A9"/>
    <w:p w:rsidR="00D11F02" w:rsidRDefault="00D11F02" w:rsidP="003838A9"/>
    <w:p w:rsidR="00073195" w:rsidRDefault="00073195" w:rsidP="003838A9"/>
    <w:p w:rsidR="00073195" w:rsidRDefault="00073195" w:rsidP="003838A9"/>
    <w:p w:rsidR="00073195" w:rsidRDefault="00073195" w:rsidP="003838A9"/>
    <w:p w:rsidR="00073195" w:rsidRDefault="00073195" w:rsidP="003838A9"/>
    <w:p w:rsidR="00073195" w:rsidRDefault="00073195" w:rsidP="003838A9"/>
    <w:p w:rsidR="00D11F02" w:rsidRDefault="00D11F02" w:rsidP="003838A9"/>
    <w:p w:rsidR="00D11F02" w:rsidRDefault="00D11F02" w:rsidP="003838A9">
      <w:pPr>
        <w:pStyle w:val="Heading2"/>
      </w:pPr>
      <w:bookmarkStart w:id="20" w:name="_Toc198558481"/>
      <w:r>
        <w:lastRenderedPageBreak/>
        <w:t xml:space="preserve">3.2 </w:t>
      </w:r>
      <w:r w:rsidR="006E0EA1" w:rsidRPr="006E0EA1">
        <w:t>Analiza Përmbledhëse e Tregut të Kredive në Kosovë</w:t>
      </w:r>
      <w:bookmarkEnd w:id="20"/>
    </w:p>
    <w:p w:rsidR="00D11F02" w:rsidRDefault="00D11F02" w:rsidP="003838A9">
      <w:r>
        <w:t>Tregu i kredive personale në Kosovë vepron brenda një sektori financiar dinamik dhe në zhvillim të shpejtë. Karakteristikat kryesore përfshijnë:</w:t>
      </w:r>
    </w:p>
    <w:p w:rsidR="00D11F02" w:rsidRPr="00D11F02" w:rsidRDefault="00D11F02" w:rsidP="003838A9">
      <w:pPr>
        <w:widowControl w:val="0"/>
        <w:numPr>
          <w:ilvl w:val="0"/>
          <w:numId w:val="53"/>
        </w:numPr>
        <w:pBdr>
          <w:top w:val="nil"/>
          <w:left w:val="nil"/>
          <w:bottom w:val="nil"/>
          <w:right w:val="nil"/>
          <w:between w:val="nil"/>
        </w:pBdr>
        <w:spacing w:after="0"/>
        <w:jc w:val="left"/>
      </w:pPr>
      <w:r w:rsidRPr="00D11F02">
        <w:rPr>
          <w:b/>
          <w:bCs/>
        </w:rPr>
        <w:t>Ofruesit:</w:t>
      </w:r>
      <w:r w:rsidRPr="00D11F02">
        <w:t xml:space="preserve"> Dominuar nga bankat komerciale me pronësi të huaj (p.sh., Raiffeisen, ProCredit, NLB, TEB), me banka dhe IMF vendase që marrin pjesë gjithashtu.</w:t>
      </w:r>
    </w:p>
    <w:p w:rsidR="00D11F02" w:rsidRPr="00D11F02" w:rsidRDefault="00D11F02" w:rsidP="003838A9">
      <w:pPr>
        <w:widowControl w:val="0"/>
        <w:numPr>
          <w:ilvl w:val="0"/>
          <w:numId w:val="53"/>
        </w:numPr>
        <w:pBdr>
          <w:top w:val="nil"/>
          <w:left w:val="nil"/>
          <w:bottom w:val="nil"/>
          <w:right w:val="nil"/>
          <w:between w:val="nil"/>
        </w:pBdr>
        <w:spacing w:after="0"/>
        <w:jc w:val="left"/>
      </w:pPr>
      <w:r w:rsidRPr="00D11F02">
        <w:rPr>
          <w:b/>
          <w:bCs/>
        </w:rPr>
        <w:t>Kushtet e kredisë:</w:t>
      </w:r>
      <w:r w:rsidRPr="00D11F02">
        <w:t xml:space="preserve"> Normat mesatare të interesit për kreditë e reja për familjet luhaten rreth 6%, duke treguar më pak ndjeshmëri ndaj rritjeve të fundit të normave të BQE-së krahasuar me zonën e euros. Janë në dispozicion norma fikse. Afatet e kredisë mund të zgjasin deri në 10 vjet, megjithëse 5-7 vjet janë të zakonshme.</w:t>
      </w:r>
    </w:p>
    <w:p w:rsidR="00D11F02" w:rsidRPr="00D11F02" w:rsidRDefault="00D11F02" w:rsidP="003838A9">
      <w:pPr>
        <w:widowControl w:val="0"/>
        <w:numPr>
          <w:ilvl w:val="0"/>
          <w:numId w:val="53"/>
        </w:numPr>
        <w:pBdr>
          <w:top w:val="nil"/>
          <w:left w:val="nil"/>
          <w:bottom w:val="nil"/>
          <w:right w:val="nil"/>
          <w:between w:val="nil"/>
        </w:pBdr>
        <w:spacing w:after="0"/>
        <w:jc w:val="left"/>
      </w:pPr>
      <w:r w:rsidRPr="00D11F02">
        <w:rPr>
          <w:b/>
          <w:bCs/>
        </w:rPr>
        <w:t>Kriteret e Kredisë:</w:t>
      </w:r>
      <w:r w:rsidRPr="00D11F02">
        <w:t xml:space="preserve"> Zbatohen kërkesat standarde në lidhje me verifikimin e të ardhurave dhe kontrollet e historikut të kreditit (nëpërmjet Regjistrit të Kredive). Garantuesit mund të jenë të nevojshëm për shuma më të mëdha kredish të pasiguruara.</w:t>
      </w:r>
    </w:p>
    <w:p w:rsidR="00D11F02" w:rsidRPr="003838A9" w:rsidRDefault="00D11F02" w:rsidP="003838A9">
      <w:pPr>
        <w:widowControl w:val="0"/>
        <w:numPr>
          <w:ilvl w:val="0"/>
          <w:numId w:val="53"/>
        </w:numPr>
        <w:pBdr>
          <w:top w:val="nil"/>
          <w:left w:val="nil"/>
          <w:bottom w:val="nil"/>
          <w:right w:val="nil"/>
          <w:between w:val="nil"/>
        </w:pBdr>
        <w:spacing w:after="0"/>
        <w:jc w:val="left"/>
      </w:pPr>
      <w:r w:rsidRPr="003838A9">
        <w:rPr>
          <w:b/>
          <w:bCs/>
        </w:rPr>
        <w:t>Dinamika e Tregut:</w:t>
      </w:r>
      <w:r w:rsidR="003838A9" w:rsidRPr="003838A9">
        <w:t xml:space="preserve"> </w:t>
      </w:r>
      <w:r w:rsidRPr="003838A9">
        <w:t>Tregu po përjeton një rritje të fuqishme, e dëshmuar nga zgjerimi i fortë i përgjithshëm i kredisë (18.7% në krahasim me të njëjtën periudhë të vitit të kaluar në fillim të vitit 2025) dhe një raport kredie ndaj PBB-së së sektorit privat që tejkalon 56%. Kjo rritje mbështet zgjerimin ekonomik të Kosovës të udhëhequr nga konsumi. Sektori bankar mbetet i qëndrueshëm dhe i kapitalizuar mirë me kredi të këqija (NPL) të ulëta.</w:t>
      </w:r>
    </w:p>
    <w:p w:rsidR="00D11F02" w:rsidRPr="003838A9" w:rsidRDefault="00D11F02" w:rsidP="003838A9">
      <w:pPr>
        <w:widowControl w:val="0"/>
        <w:numPr>
          <w:ilvl w:val="0"/>
          <w:numId w:val="53"/>
        </w:numPr>
        <w:pBdr>
          <w:top w:val="nil"/>
          <w:left w:val="nil"/>
          <w:bottom w:val="nil"/>
          <w:right w:val="nil"/>
          <w:between w:val="nil"/>
        </w:pBdr>
        <w:spacing w:after="0"/>
        <w:jc w:val="left"/>
      </w:pPr>
      <w:r w:rsidRPr="003838A9">
        <w:rPr>
          <w:b/>
          <w:bCs/>
        </w:rPr>
        <w:t>Mjedisi Rregullator:</w:t>
      </w:r>
      <w:r w:rsidR="003838A9" w:rsidRPr="003838A9">
        <w:t xml:space="preserve"> </w:t>
      </w:r>
      <w:r w:rsidRPr="003838A9">
        <w:t>Kosova po e forcon në mënyrë aktive kuadrin e saj rregullator financiar, duke u përafruar me standardet e BE-së përmes ligjeve të reja (p.sh., Ligji për Bankat, Ligji për Shërbimet e Pagesave) dhe mbikëqyrjes së shtuar të BQK-së që përqendrohet në stabilitetin, mbrojtjen e konsumatorit dhe përfshirjen financiare.</w:t>
      </w:r>
    </w:p>
    <w:p w:rsidR="00D11F02" w:rsidRDefault="00D11F02" w:rsidP="003838A9">
      <w:pPr>
        <w:widowControl w:val="0"/>
        <w:numPr>
          <w:ilvl w:val="0"/>
          <w:numId w:val="53"/>
        </w:numPr>
        <w:pBdr>
          <w:top w:val="nil"/>
          <w:left w:val="nil"/>
          <w:bottom w:val="nil"/>
          <w:right w:val="nil"/>
          <w:between w:val="nil"/>
        </w:pBdr>
        <w:spacing w:after="0"/>
        <w:jc w:val="left"/>
      </w:pPr>
      <w:r w:rsidRPr="003838A9">
        <w:rPr>
          <w:b/>
          <w:bCs/>
        </w:rPr>
        <w:t>Faktorët nxitës të kërkesës:</w:t>
      </w:r>
      <w:r w:rsidR="003838A9" w:rsidRPr="003838A9">
        <w:t xml:space="preserve"> </w:t>
      </w:r>
      <w:r w:rsidRPr="003838A9">
        <w:t>Kërkesa nxitet kryesisht nga konsumi i fortë i familjeve, i nxitur nga rritja e të ardhurave vendase, inflacioni në rënie dhe flukset e konsiderueshme të remitancave. Zhvillimi i sektorit financiar, dixhitalizimi dhe përdorimet e mundshme si konsolidimi i borxhit gjithashtu kontribuojnë.</w:t>
      </w:r>
    </w:p>
    <w:p w:rsidR="003838A9" w:rsidRDefault="003838A9" w:rsidP="003838A9">
      <w:pPr>
        <w:widowControl w:val="0"/>
        <w:pBdr>
          <w:top w:val="nil"/>
          <w:left w:val="nil"/>
          <w:bottom w:val="nil"/>
          <w:right w:val="nil"/>
          <w:between w:val="nil"/>
        </w:pBdr>
        <w:spacing w:after="0"/>
        <w:jc w:val="left"/>
      </w:pPr>
    </w:p>
    <w:p w:rsidR="003838A9" w:rsidRDefault="003838A9" w:rsidP="003838A9">
      <w:pPr>
        <w:widowControl w:val="0"/>
        <w:pBdr>
          <w:top w:val="nil"/>
          <w:left w:val="nil"/>
          <w:bottom w:val="nil"/>
          <w:right w:val="nil"/>
          <w:between w:val="nil"/>
        </w:pBdr>
        <w:spacing w:after="0"/>
        <w:jc w:val="left"/>
      </w:pPr>
    </w:p>
    <w:p w:rsidR="003838A9" w:rsidRDefault="003838A9" w:rsidP="003838A9">
      <w:pPr>
        <w:widowControl w:val="0"/>
        <w:pBdr>
          <w:top w:val="nil"/>
          <w:left w:val="nil"/>
          <w:bottom w:val="nil"/>
          <w:right w:val="nil"/>
          <w:between w:val="nil"/>
        </w:pBdr>
        <w:spacing w:after="0"/>
        <w:jc w:val="left"/>
      </w:pPr>
    </w:p>
    <w:p w:rsidR="003838A9" w:rsidRDefault="003838A9" w:rsidP="003838A9">
      <w:pPr>
        <w:widowControl w:val="0"/>
        <w:pBdr>
          <w:top w:val="nil"/>
          <w:left w:val="nil"/>
          <w:bottom w:val="nil"/>
          <w:right w:val="nil"/>
          <w:between w:val="nil"/>
        </w:pBdr>
        <w:spacing w:after="0" w:line="275" w:lineRule="auto"/>
        <w:jc w:val="left"/>
      </w:pPr>
    </w:p>
    <w:p w:rsidR="003838A9" w:rsidRPr="003838A9" w:rsidRDefault="003838A9" w:rsidP="003838A9">
      <w:pPr>
        <w:widowControl w:val="0"/>
        <w:pBdr>
          <w:top w:val="nil"/>
          <w:left w:val="nil"/>
          <w:bottom w:val="nil"/>
          <w:right w:val="nil"/>
          <w:between w:val="nil"/>
        </w:pBdr>
        <w:spacing w:after="0" w:line="275" w:lineRule="auto"/>
        <w:jc w:val="left"/>
      </w:pPr>
    </w:p>
    <w:p w:rsidR="00D11F02" w:rsidRDefault="00D11F02" w:rsidP="003838A9">
      <w:pPr>
        <w:pStyle w:val="Heading2"/>
      </w:pPr>
      <w:bookmarkStart w:id="21" w:name="_Toc198558482"/>
      <w:r>
        <w:lastRenderedPageBreak/>
        <w:t xml:space="preserve">3.3 </w:t>
      </w:r>
      <w:r w:rsidR="006E0EA1" w:rsidRPr="006E0EA1">
        <w:t>Reflektime dhe Rekomandime për Politikat Publike</w:t>
      </w:r>
      <w:bookmarkEnd w:id="21"/>
    </w:p>
    <w:p w:rsidR="00D11F02" w:rsidRDefault="00D11F02" w:rsidP="00A80D54">
      <w:r>
        <w:t xml:space="preserve">Tregu i kredive personale në Kosovë paraqet një pamje të rritjes dinamike brenda një </w:t>
      </w:r>
      <w:r w:rsidRPr="00A80D54">
        <w:t xml:space="preserve">mjedisi makroekonomik stabilizues dhe një kuadri rregullator në forcim. Zgjerimi i konsiderueshëm i kredisë, veçanërisht për familjet, po </w:t>
      </w:r>
      <w:r w:rsidR="00A80D54" w:rsidRPr="00A80D54">
        <w:t>përfaqëson një shtyllë të rëndësishme për nxitjen e aktivitetit ekonomik</w:t>
      </w:r>
      <w:r w:rsidRPr="00A80D54">
        <w:t>, kryesisht të nxitur nga konsumi. Sektori bankar duket i shëndetshëm dhe i aftë për të përmbushur këtë kërkesë, i lehtësuar nga dixhitalizimi dhe përpjekjet drejt përfshirjes më të madhe financiare.</w:t>
      </w:r>
    </w:p>
    <w:p w:rsidR="00D11F02" w:rsidRDefault="00D11F02" w:rsidP="00AA69D9">
      <w:r>
        <w:t xml:space="preserve">Megjithatë, ritmi i shpejtë i rritjes së kredisë, që tejkalon ndjeshëm rritjen e PBB-së, bën të domosdoshme vigjilencën e vazhdueshme dhe </w:t>
      </w:r>
      <w:r w:rsidR="00A80D54" w:rsidRPr="00A80D54">
        <w:t>kërkon një mbikëqyrje të vazhdueshme dhe proaktive nga ana e BQK-së</w:t>
      </w:r>
      <w:r>
        <w:t>. Ndërsa treguesit aktualë, si niveli i ulët i kredive me probleme, janë pozitivë, ruajtja e stabilitetit financiar kërkon monitorim të vazhdueshëm të rreziqeve të mundshme që lidhen me këtë zgjerim, veçanërisht duke pasur parasysh varësinë e ekonomisë nga konsumi dhe remitancat.</w:t>
      </w:r>
    </w:p>
    <w:p w:rsidR="00D11F02" w:rsidRDefault="00D11F02" w:rsidP="00AA69D9">
      <w:r>
        <w:t xml:space="preserve">Perspektiva për tregun duket pozitive, e mbështetur nga rritja ekonomike e parashikuar dhe reformat e vazhdueshme. </w:t>
      </w:r>
      <w:r w:rsidR="00A80D54" w:rsidRPr="00A80D54">
        <w:t>Përshtatja graduale me kuadrin rregullator të BE-së dhe perspektiva e integrimit të mëtejshëm</w:t>
      </w:r>
      <w:r>
        <w:t xml:space="preserve"> mund të forcojnë më tej stabilitetin dhe transparencën. Trendet kryesore të ardhshme ka të ngjarë të përfshijnë dixhitalizimin e mëtejshëm të proceseve të huadhënies, potencialisht rritjen e konkurrencës midis ofruesve dhe </w:t>
      </w:r>
      <w:r w:rsidR="00A80D54" w:rsidRPr="00A80D54">
        <w:t>sfidën e përhershme për rregullatorët dhe huadhënësit për të gjetur ekuilibrin mes</w:t>
      </w:r>
      <w:r>
        <w:t xml:space="preserve"> lehtësimin e aksesit në kredi me sigurimin e praktikave të përgjegjshme të huadhënies dhe mbrojtjen e fortë të konsumatorit në një treg që evoluon me shpejtësi.</w:t>
      </w:r>
    </w:p>
    <w:p w:rsidR="00D11F02" w:rsidRDefault="00D11F02" w:rsidP="00AA69D9"/>
    <w:p w:rsidR="003D4516" w:rsidRDefault="003D4516" w:rsidP="00AA69D9"/>
    <w:p w:rsidR="003D4516" w:rsidRDefault="003D4516" w:rsidP="00AA69D9"/>
    <w:p w:rsidR="003D4516" w:rsidRDefault="003D4516" w:rsidP="00AA69D9"/>
    <w:p w:rsidR="003D4516" w:rsidRDefault="003D4516" w:rsidP="00AA69D9"/>
    <w:p w:rsidR="003D4516" w:rsidRDefault="003D4516" w:rsidP="00AA69D9"/>
    <w:p w:rsidR="003D4516" w:rsidRDefault="003D4516" w:rsidP="003D4516"/>
    <w:p w:rsidR="00B37FC8" w:rsidRDefault="00B37FC8" w:rsidP="00B37FC8">
      <w:pPr>
        <w:pStyle w:val="Heading2"/>
      </w:pPr>
      <w:bookmarkStart w:id="22" w:name="_Toc198558483"/>
      <w:r>
        <w:lastRenderedPageBreak/>
        <w:t>Veprat e cituara</w:t>
      </w:r>
      <w:bookmarkEnd w:id="22"/>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është një kredi, si funksionon, llojet dhe këshilla për marrjen e saj, aksesuar më 25 prill 2025,</w:t>
      </w:r>
      <w:hyperlink r:id="rId9">
        <w:r w:rsidRPr="00B37FC8">
          <w:rPr>
            <w:rFonts w:eastAsia="Google Sans" w:cs="Times New Roman"/>
            <w:color w:val="0000EE"/>
            <w:szCs w:val="24"/>
            <w:u w:val="single"/>
          </w:rPr>
          <w:t>https://www.investopedia.com/terms/l/loan.asp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Parimi: Përkufizimi në Kredi, Obligacione, Investime dhe Transaksione, aksesuar më 25 Prill 2025,</w:t>
      </w:r>
      <w:hyperlink r:id="rId10">
        <w:r w:rsidRPr="00B37FC8">
          <w:rPr>
            <w:rFonts w:eastAsia="Google Sans" w:cs="Times New Roman"/>
            <w:color w:val="0000EE"/>
            <w:szCs w:val="24"/>
            <w:u w:val="single"/>
          </w:rPr>
          <w:t>https://www.investopedia.com/terms/p/principal.asp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Normat e Interesit: Llojet dhe Çfarë Domethënieje Ato kanë për Huamarrësit, aksesuar më 25 Prill 2025,</w:t>
      </w:r>
      <w:hyperlink r:id="rId11">
        <w:r w:rsidRPr="00B37FC8">
          <w:rPr>
            <w:rFonts w:eastAsia="Google Sans" w:cs="Times New Roman"/>
            <w:color w:val="0000EE"/>
            <w:szCs w:val="24"/>
            <w:u w:val="single"/>
          </w:rPr>
          <w:t>https://www.investopedia.com/terms/i/interestrate.asp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Interesi i thjeshtë kundrejt atij të përbërë: Përkufizimi dhe formulat - Investopedia, aksesuar më 25 prill 2025,</w:t>
      </w:r>
      <w:hyperlink r:id="rId12">
        <w:r w:rsidRPr="00B37FC8">
          <w:rPr>
            <w:rFonts w:eastAsia="Google Sans" w:cs="Times New Roman"/>
            <w:color w:val="0000EE"/>
            <w:szCs w:val="24"/>
            <w:u w:val="single"/>
          </w:rPr>
          <w:t>https://www.investopedia.com/articles/investing/020614/learn-simple-and-compound-interest.asp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Magjia Jetëndryshuese e Interesit të Përbërë - Forbes, aksesuar më 25 Prill 2025,</w:t>
      </w:r>
      <w:hyperlink r:id="rId13">
        <w:r w:rsidRPr="00B37FC8">
          <w:rPr>
            <w:rFonts w:eastAsia="Google Sans" w:cs="Times New Roman"/>
            <w:color w:val="0000EE"/>
            <w:szCs w:val="24"/>
            <w:u w:val="single"/>
          </w:rPr>
          <w:t>https://www.forbes.com/advisor/au/investing/compound-interest-in-australia/</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Zgjedhja jonë e investimeve më të mira me interes të përbërë – Forbes Advisor UK, aksesuar më 25 prill 2025,</w:t>
      </w:r>
      <w:hyperlink r:id="rId14">
        <w:r w:rsidRPr="00B37FC8">
          <w:rPr>
            <w:rFonts w:eastAsia="Google Sans" w:cs="Times New Roman"/>
            <w:color w:val="0000EE"/>
            <w:szCs w:val="24"/>
            <w:u w:val="single"/>
          </w:rPr>
          <w:t>https://www.forbes.com/uk/advisor/investing/best-compound-interest-investments/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Edukimi Financiar i Konsumatorit: Kredi të Tjera - DFPI, aksesuar më 25 Prill 2025,</w:t>
      </w:r>
      <w:hyperlink r:id="rId15">
        <w:r w:rsidRPr="00B37FC8">
          <w:rPr>
            <w:rFonts w:eastAsia="Google Sans" w:cs="Times New Roman"/>
            <w:color w:val="0000EE"/>
            <w:szCs w:val="24"/>
            <w:u w:val="single"/>
          </w:rPr>
          <w:t>https://dfpi.ca.gov/news/insights/consumer-financial-education-other-loans/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Kuptoni llojet e ndryshme të kredive në dispozicion | Konsumator ..., aksesuar më 25 prill 2025,</w:t>
      </w:r>
      <w:hyperlink r:id="rId16">
        <w:r w:rsidRPr="00B37FC8">
          <w:rPr>
            <w:rFonts w:eastAsia="Google Sans" w:cs="Times New Roman"/>
            <w:color w:val="0000EE"/>
            <w:szCs w:val="24"/>
            <w:u w:val="single"/>
          </w:rPr>
          <w:t>https://www.consumerfinance.gov/owning-a-home/explore/understand-the-different-kinds-of-loans-available/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e siguruar vs. e pasiguruar: Cili është ndryshimi? - NerdWallet, aksesuar më 25 prill 2025,</w:t>
      </w:r>
      <w:hyperlink r:id="rId17">
        <w:r w:rsidRPr="00B37FC8">
          <w:rPr>
            <w:rFonts w:eastAsia="Google Sans" w:cs="Times New Roman"/>
            <w:color w:val="0000EE"/>
            <w:szCs w:val="24"/>
            <w:u w:val="single"/>
          </w:rPr>
          <w:t>https://www.nerdwallet.com/article/loans/personal-loans/secured-vs-unsecured-loans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është një Kredi Personale e Pasiguruar? - NerdWallet, aksesuar më 25 Prill 2025,</w:t>
      </w:r>
      <w:hyperlink r:id="rId18">
        <w:r w:rsidRPr="00B37FC8">
          <w:rPr>
            <w:rFonts w:eastAsia="Google Sans" w:cs="Times New Roman"/>
            <w:color w:val="0000EE"/>
            <w:szCs w:val="24"/>
            <w:u w:val="single"/>
          </w:rPr>
          <w:t>https://www.nerdwallet.com/article/loans/personal-loans/unsecured-personal-loans-no-collateral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Personale: Çfarë është, Si Funksionon dhe Si ta Merrni një të tillë, aksesuar më 25 Prill 2025,</w:t>
      </w:r>
      <w:hyperlink r:id="rId19">
        <w:r w:rsidRPr="00B37FC8">
          <w:rPr>
            <w:rFonts w:eastAsia="Google Sans" w:cs="Times New Roman"/>
            <w:color w:val="0000EE"/>
            <w:szCs w:val="24"/>
            <w:u w:val="single"/>
          </w:rPr>
          <w:t>https://www.investopedia.com/personal-loan-5076027</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Bazat e Kredisë - Investopedia, aksesuar më 25 prill 2025,</w:t>
      </w:r>
      <w:hyperlink r:id="rId20">
        <w:r w:rsidRPr="00B37FC8">
          <w:rPr>
            <w:rFonts w:eastAsia="Google Sans" w:cs="Times New Roman"/>
            <w:color w:val="0000EE"/>
            <w:szCs w:val="24"/>
            <w:u w:val="single"/>
          </w:rPr>
          <w:t>https://www.investopedia.com/loan-basics-4689731</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 xml:space="preserve">Çfarë është një kredi e siguruar dhe si funksionon? - NerdWallet, aksesuar më 25 </w:t>
      </w:r>
      <w:r w:rsidRPr="00B37FC8">
        <w:rPr>
          <w:rFonts w:eastAsia="Google Sans" w:cs="Times New Roman"/>
          <w:szCs w:val="24"/>
        </w:rPr>
        <w:lastRenderedPageBreak/>
        <w:t>prill 2025,</w:t>
      </w:r>
      <w:hyperlink r:id="rId21">
        <w:r w:rsidRPr="00B37FC8">
          <w:rPr>
            <w:rFonts w:eastAsia="Google Sans" w:cs="Times New Roman"/>
            <w:color w:val="0000EE"/>
            <w:szCs w:val="24"/>
            <w:u w:val="single"/>
          </w:rPr>
          <w:t>https://www.nerdwallet.com/article/loans/personal-loans/what-is-a-secured-loan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ndodh nëse nuk e paguaj një kredi? - Experian, aksesuar më 25 prill 2025,</w:t>
      </w:r>
      <w:hyperlink r:id="rId22">
        <w:r w:rsidRPr="00B37FC8">
          <w:rPr>
            <w:rFonts w:eastAsia="Google Sans" w:cs="Times New Roman"/>
            <w:color w:val="0000EE"/>
            <w:szCs w:val="24"/>
            <w:u w:val="single"/>
          </w:rPr>
          <w:t>https://www.experian.com/blogs/ask-experian/what-does-it-mean-to-default-on-a-loan/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është rimarrja e pronës dhe si funksionon? - Equifax, aksesuar më 25 prill 2025,</w:t>
      </w:r>
      <w:hyperlink r:id="rId23">
        <w:r w:rsidRPr="00B37FC8">
          <w:rPr>
            <w:rFonts w:eastAsia="Google Sans" w:cs="Times New Roman"/>
            <w:color w:val="0000EE"/>
            <w:szCs w:val="24"/>
            <w:u w:val="single"/>
          </w:rPr>
          <w:t>https://www.equifax.com/personal/education/personal-finance/articles/-/learn/what-is-reposession/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ndodh nëse nuk e paguani një kredi personale? - Experian, aksesuar më 25 prill 2025,</w:t>
      </w:r>
      <w:hyperlink r:id="rId24">
        <w:r w:rsidRPr="00B37FC8">
          <w:rPr>
            <w:rFonts w:eastAsia="Google Sans" w:cs="Times New Roman"/>
            <w:color w:val="0000EE"/>
            <w:szCs w:val="24"/>
            <w:u w:val="single"/>
          </w:rPr>
          <w:t>https://www.experian.com/blogs/ask-experian/what-happens-if-i-default-on-personal-loan/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Si ndikon mospagimi i kredisë suaj? - Experian, aksesuar më 25 prill 2025,</w:t>
      </w:r>
      <w:hyperlink r:id="rId25">
        <w:r w:rsidRPr="00B37FC8">
          <w:rPr>
            <w:rFonts w:eastAsia="Google Sans" w:cs="Times New Roman"/>
            <w:color w:val="0000EE"/>
            <w:szCs w:val="24"/>
            <w:u w:val="single"/>
          </w:rPr>
          <w:t>https://www.experian.com/blogs/ask-experian/how-does-default-impact-credit/</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dhe Linja Krediti: Aplikoni për Personal, HELOC, Auto | Truist, aksesuar më 25 Prill 2025,</w:t>
      </w:r>
      <w:hyperlink r:id="rId26">
        <w:r w:rsidRPr="00B37FC8">
          <w:rPr>
            <w:rFonts w:eastAsia="Google Sans" w:cs="Times New Roman"/>
            <w:color w:val="0000EE"/>
            <w:szCs w:val="24"/>
            <w:u w:val="single"/>
          </w:rPr>
          <w:t>https://www.truist.com/loans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Procesi i Hipotekës, i Shpjeguar - Investopedia, aksesuar më 25 Prill 2025,</w:t>
      </w:r>
      <w:hyperlink r:id="rId27">
        <w:r w:rsidRPr="00B37FC8">
          <w:rPr>
            <w:rFonts w:eastAsia="Google Sans" w:cs="Times New Roman"/>
            <w:color w:val="0000EE"/>
            <w:szCs w:val="24"/>
            <w:u w:val="single"/>
          </w:rPr>
          <w:t>https://www.investopedia.com/mortgage-process-explained-5213694</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Sa e keqe është të mos pagosh një kredi për makinë? - Experian, aksesuar më 25 prill 2025,</w:t>
      </w:r>
      <w:hyperlink r:id="rId28">
        <w:r w:rsidRPr="00B37FC8">
          <w:rPr>
            <w:rFonts w:eastAsia="Google Sans" w:cs="Times New Roman"/>
            <w:color w:val="0000EE"/>
            <w:szCs w:val="24"/>
            <w:u w:val="single"/>
          </w:rPr>
          <w:t>https://www.experian.com/blogs/ask-experian/how-bad-is-it-to-default-on-a-car-loan/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Krahasimi i Opsioneve të Kredisë për Studentë | Within Reach - Sallie Mae, aksesuar më 25 Prill 2025,</w:t>
      </w:r>
      <w:hyperlink r:id="rId29">
        <w:r w:rsidRPr="00B37FC8">
          <w:rPr>
            <w:rFonts w:eastAsia="Google Sans" w:cs="Times New Roman"/>
            <w:color w:val="0000EE"/>
            <w:szCs w:val="24"/>
            <w:u w:val="single"/>
          </w:rPr>
          <w:t>https://www.salliemae.com/blog/comparing-student-loan-options/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Private për Studentë për Kolegj - Sallie Mae, aksesuar më 25 Prill 2025,</w:t>
      </w:r>
      <w:hyperlink r:id="rId30">
        <w:r w:rsidRPr="00B37FC8">
          <w:rPr>
            <w:rFonts w:eastAsia="Google Sans" w:cs="Times New Roman"/>
            <w:color w:val="0000EE"/>
            <w:szCs w:val="24"/>
            <w:u w:val="single"/>
          </w:rPr>
          <w:t>https://www.salliemae.com/student-loans/private-student-loans/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Për çfarë mund të përdoren kreditë studentore? - Sallie Mae, aksesuar më 25 prill 2025,</w:t>
      </w:r>
      <w:hyperlink r:id="rId31">
        <w:r w:rsidRPr="00B37FC8">
          <w:rPr>
            <w:rFonts w:eastAsia="Google Sans" w:cs="Times New Roman"/>
            <w:color w:val="0000EE"/>
            <w:szCs w:val="24"/>
            <w:u w:val="single"/>
          </w:rPr>
          <w:t>https://www.salliemae.com/blog/what-to-use-student-loans-for/</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Rishikimi i Kredive Studentore Sallie Mae për vitin 2025 - Research.com, aksesuar më 25 prill 2025,</w:t>
      </w:r>
      <w:hyperlink r:id="rId32">
        <w:r w:rsidRPr="00B37FC8">
          <w:rPr>
            <w:rFonts w:eastAsia="Google Sans" w:cs="Times New Roman"/>
            <w:color w:val="0000EE"/>
            <w:szCs w:val="24"/>
            <w:u w:val="single"/>
          </w:rPr>
          <w:t>https://research.com/student-loans/sallie-mae-student-loans-review</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Llojet e Kredive Studentore - Sallie Mae, aksesuar më 25 Prill 2025,</w:t>
      </w:r>
      <w:hyperlink r:id="rId33">
        <w:r w:rsidRPr="00B37FC8">
          <w:rPr>
            <w:rFonts w:eastAsia="Google Sans" w:cs="Times New Roman"/>
            <w:color w:val="0000EE"/>
            <w:szCs w:val="24"/>
            <w:u w:val="single"/>
          </w:rPr>
          <w:t>https://www.salliemae.com/college-planning/student-loans-and-borrowing/</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 xml:space="preserve">Gjëra të rëndësishme që duhet të dini rreth kredive private për studentë - Sallie </w:t>
      </w:r>
      <w:r w:rsidRPr="00B37FC8">
        <w:rPr>
          <w:rFonts w:eastAsia="Google Sans" w:cs="Times New Roman"/>
          <w:szCs w:val="24"/>
        </w:rPr>
        <w:lastRenderedPageBreak/>
        <w:t>Mae, aksesuar më 25 prill 2025,</w:t>
      </w:r>
      <w:hyperlink r:id="rId34">
        <w:r w:rsidRPr="00B37FC8">
          <w:rPr>
            <w:rFonts w:eastAsia="Google Sans" w:cs="Times New Roman"/>
            <w:color w:val="0000EE"/>
            <w:szCs w:val="24"/>
            <w:u w:val="single"/>
          </w:rPr>
          <w:t>https://www.salliemae.com/student-loans/information.aspxCachedSimilarNavigating</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Federale vs Kreditë Private për Studentë: Kuptimi i Dallimeve Kryesore | Sallie Mae, aksesuar më 25 Prill 2025,</w:t>
      </w:r>
      <w:hyperlink r:id="rId35">
        <w:r w:rsidRPr="00B37FC8">
          <w:rPr>
            <w:rFonts w:eastAsia="Google Sans" w:cs="Times New Roman"/>
            <w:color w:val="0000EE"/>
            <w:szCs w:val="24"/>
            <w:u w:val="single"/>
          </w:rPr>
          <w:t>https://www.salliemae.com/college-planning/student-loans-and-borrowing/compare-federal-vs-private-loans/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Kuptoni Kreditë Private për Studentë për Kolegj - Sallie Mae, aksesuar më 25 Prill 2025,</w:t>
      </w:r>
      <w:hyperlink r:id="rId36">
        <w:r w:rsidRPr="00B37FC8">
          <w:rPr>
            <w:rFonts w:eastAsia="Google Sans" w:cs="Times New Roman"/>
            <w:color w:val="0000EE"/>
            <w:szCs w:val="24"/>
            <w:u w:val="single"/>
          </w:rPr>
          <w:t>https://www.salliemae.com/college-planning/student-loans-and-borrowing/compare-federal-vs-private-loans/private-student-loans/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Sallie Mae | Kredi Arsimore, Planifikim Kolegji dhe Bankë Online, aksesuar më 25 Prill 2025,</w:t>
      </w:r>
      <w:hyperlink r:id="rId37">
        <w:r w:rsidRPr="00B37FC8">
          <w:rPr>
            <w:rFonts w:eastAsia="Google Sans" w:cs="Times New Roman"/>
            <w:color w:val="0000EE"/>
            <w:szCs w:val="24"/>
            <w:u w:val="single"/>
          </w:rPr>
          <w:t>https://www.salliemae.com/</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Kush është Sallie Mae — dhe kush nuk është, aksesuar më 25 prill 2025,</w:t>
      </w:r>
      <w:hyperlink r:id="rId38">
        <w:r w:rsidRPr="00B37FC8">
          <w:rPr>
            <w:rFonts w:eastAsia="Google Sans" w:cs="Times New Roman"/>
            <w:color w:val="0000EE"/>
            <w:szCs w:val="24"/>
            <w:u w:val="single"/>
          </w:rPr>
          <w:t>https://salliemakessense.com/who-sallie-mae-is-and-isnt/</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 Administrata Amerikane e Bizneseve të Vogla, aksesuar më 25 Prill 2025,</w:t>
      </w:r>
      <w:hyperlink r:id="rId39">
        <w:r w:rsidRPr="00B37FC8">
          <w:rPr>
            <w:rFonts w:eastAsia="Google Sans" w:cs="Times New Roman"/>
            <w:color w:val="0000EE"/>
            <w:szCs w:val="24"/>
            <w:u w:val="single"/>
          </w:rPr>
          <w:t>https://www.sba.gov/funding-programs/loans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është një kredi SBA dhe si kualifikohem? - Qendra për Fuqizimin e Biznesit - Banka e Amerikës, aksesuar më 25 prill 2025,</w:t>
      </w:r>
      <w:hyperlink r:id="rId40">
        <w:r w:rsidRPr="00B37FC8">
          <w:rPr>
            <w:rFonts w:eastAsia="Google Sans" w:cs="Times New Roman"/>
            <w:color w:val="0000EE"/>
            <w:szCs w:val="24"/>
            <w:u w:val="single"/>
          </w:rPr>
          <w:t>http://business.bankofamerica.com/en/resources/what-is-an-sba-loan.html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Çfarë është një Kredi për Biznese të Vogla? - Live Oak Bank, aksesuar më 25 Prill 2025,</w:t>
      </w:r>
      <w:hyperlink r:id="rId41">
        <w:r w:rsidRPr="00B37FC8">
          <w:rPr>
            <w:rFonts w:eastAsia="Google Sans" w:cs="Times New Roman"/>
            <w:color w:val="0000EE"/>
            <w:szCs w:val="24"/>
            <w:u w:val="single"/>
          </w:rPr>
          <w:t>https://resources.liveoak.bank/blog/what-is-a-small-business-loan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e Administrimit të Bizneseve të Vogla (SBA) - Banka Amerikane, aksesuar më 25 Prill 2025,</w:t>
      </w:r>
      <w:hyperlink r:id="rId42">
        <w:r w:rsidRPr="00B37FC8">
          <w:rPr>
            <w:rFonts w:eastAsia="Google Sans" w:cs="Times New Roman"/>
            <w:color w:val="0000EE"/>
            <w:szCs w:val="24"/>
            <w:u w:val="single"/>
          </w:rPr>
          <w:t>https://www.usbank.com/business-banking/business-lending/sba-loans.html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7(a) | Administrata e Biznesit të Vogël e SHBA-së, aksesuar më 25 prill 2025,</w:t>
      </w:r>
      <w:hyperlink r:id="rId43">
        <w:r w:rsidRPr="00B37FC8">
          <w:rPr>
            <w:rFonts w:eastAsia="Google Sans" w:cs="Times New Roman"/>
            <w:color w:val="0000EE"/>
            <w:szCs w:val="24"/>
            <w:u w:val="single"/>
          </w:rPr>
          <w:t>https://www.sba.gov/funding-programs/loans/7a-loans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SBA: Udhëzuesi Gjithëpërfshirës për Pronarët e Bizneseve të Vogla - Gusto, aksesuar më 25 Prill 2025,</w:t>
      </w:r>
      <w:hyperlink r:id="rId44">
        <w:r w:rsidRPr="00B37FC8">
          <w:rPr>
            <w:rFonts w:eastAsia="Google Sans" w:cs="Times New Roman"/>
            <w:color w:val="0000EE"/>
            <w:szCs w:val="24"/>
            <w:u w:val="single"/>
          </w:rPr>
          <w:t>https://gusto.com/resources/articles/business-finance/funding/sba-loans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Kreditë e Administrimit të Bizneseve të Vogla (SBA) - Lake City Bank, aksesuar më 25 prill 2025,</w:t>
      </w:r>
      <w:hyperlink r:id="rId45">
        <w:r w:rsidRPr="00B37FC8">
          <w:rPr>
            <w:rFonts w:eastAsia="Google Sans" w:cs="Times New Roman"/>
            <w:color w:val="0000EE"/>
            <w:szCs w:val="24"/>
            <w:u w:val="single"/>
          </w:rPr>
          <w:t>https://www.lakecitybank.com/business-banking/loans/sba-loans/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Kushtet, afatet dhe kriteret e përfitimit | Administrata Amerikane e Biznesit të Vogël, aksesuar më 25 prill 2025,</w:t>
      </w:r>
      <w:hyperlink r:id="rId46">
        <w:r w:rsidRPr="00B37FC8">
          <w:rPr>
            <w:rFonts w:eastAsia="Google Sans" w:cs="Times New Roman"/>
            <w:color w:val="0000EE"/>
            <w:szCs w:val="24"/>
            <w:u w:val="single"/>
          </w:rPr>
          <w:t>https://www.sba.gov/partners/lenders/7a-loan-program/terms-conditions-eligibility</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 xml:space="preserve">504 kredi | Administrata e Biznesit të Vogël e SHBA-së, aksesuar më 25 prill </w:t>
      </w:r>
      <w:r w:rsidRPr="00B37FC8">
        <w:rPr>
          <w:rFonts w:eastAsia="Google Sans" w:cs="Times New Roman"/>
          <w:szCs w:val="24"/>
        </w:rPr>
        <w:lastRenderedPageBreak/>
        <w:t>2025,</w:t>
      </w:r>
      <w:hyperlink r:id="rId47">
        <w:r w:rsidRPr="00B37FC8">
          <w:rPr>
            <w:rFonts w:eastAsia="Google Sans" w:cs="Times New Roman"/>
            <w:color w:val="0000EE"/>
            <w:szCs w:val="24"/>
            <w:u w:val="single"/>
          </w:rPr>
          <w:t>https://www.sba.gov/funding-programs/loans/504-loans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Origjina: Përkufizimi në Financë, Procesi i Kredisë dhe Kërkesat, aksesuar më 25 Prill 2025,</w:t>
      </w:r>
      <w:hyperlink r:id="rId48">
        <w:r w:rsidRPr="00B37FC8">
          <w:rPr>
            <w:rFonts w:eastAsia="Google Sans" w:cs="Times New Roman"/>
            <w:color w:val="0000EE"/>
            <w:szCs w:val="24"/>
            <w:u w:val="single"/>
          </w:rPr>
          <w:t>https://www.investopedia.com/terms/o/origination.asp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Sigurimi: Përkufizimi dhe Si Funksionojnë Llojet e Ndryshme, aksesuar më 25 Prill 2025,</w:t>
      </w:r>
      <w:hyperlink r:id="rId49">
        <w:r w:rsidRPr="00B37FC8">
          <w:rPr>
            <w:rFonts w:eastAsia="Google Sans" w:cs="Times New Roman"/>
            <w:color w:val="0000EE"/>
            <w:szCs w:val="24"/>
            <w:u w:val="single"/>
          </w:rPr>
          <w:t>https://www.investopedia.com/terms/u/underwriting.asp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IA në Fintech | IBM, aksesuar më 25 prill 2025,</w:t>
      </w:r>
      <w:hyperlink r:id="rId50">
        <w:r w:rsidRPr="00B37FC8">
          <w:rPr>
            <w:rFonts w:eastAsia="Google Sans" w:cs="Times New Roman"/>
            <w:color w:val="0000EE"/>
            <w:szCs w:val="24"/>
            <w:u w:val="single"/>
          </w:rPr>
          <w:t>https://www.ibm.com/think/topics/ai-in-fintech</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Pyetje+Përgjigje: Si po e ndryshon Teknologjia e Re e Huadhënies Sektorin Financiar? - Blogu i Lajmeve Drexel, aksesuar më 25 Prill 2025,</w:t>
      </w:r>
      <w:hyperlink r:id="rId51">
        <w:r w:rsidRPr="00B37FC8">
          <w:rPr>
            <w:rFonts w:eastAsia="Google Sans" w:cs="Times New Roman"/>
            <w:color w:val="0000EE"/>
            <w:szCs w:val="24"/>
            <w:u w:val="single"/>
          </w:rPr>
          <w:t>https://newsblog.drexel.edu/2025/01/17/qa-how-is-new-lending-technology-changing-the-financial-sector/</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Ndikimi i IA-së në Botën e Fintech | Revista Analytics - PubsOnLine, aksesuar më 25 Prill 2025,</w:t>
      </w:r>
      <w:hyperlink r:id="rId52">
        <w:r w:rsidRPr="00B37FC8">
          <w:rPr>
            <w:rFonts w:eastAsia="Google Sans" w:cs="Times New Roman"/>
            <w:color w:val="0000EE"/>
            <w:szCs w:val="24"/>
            <w:u w:val="single"/>
          </w:rPr>
          <w:t>https://pubsonline.informs.org/do/10.1287/LYTX.2024.02.13/full/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Si ndikojnë financat e integruara dhe inteligjenca artificiale në sektorin e huadhënies | EY ..., aksesuar më 25 prill 2025,</w:t>
      </w:r>
      <w:hyperlink r:id="rId53">
        <w:r w:rsidRPr="00B37FC8">
          <w:rPr>
            <w:rFonts w:eastAsia="Google Sans" w:cs="Times New Roman"/>
            <w:color w:val="0000EE"/>
            <w:szCs w:val="24"/>
            <w:u w:val="single"/>
          </w:rPr>
          <w:t>https://www.ey.com/en_be/insights/financial-services/how-embedded-finance-and-ai-impact-the-lending-sector</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IA në Sigurimin e Kredive | Udhëzuesi Përfundimtar - Inovacion i Shpejtë, aksesuar më 25 Prill 2025,</w:t>
      </w:r>
      <w:hyperlink r:id="rId54">
        <w:r w:rsidRPr="00B37FC8">
          <w:rPr>
            <w:rFonts w:eastAsia="Google Sans" w:cs="Times New Roman"/>
            <w:color w:val="0000EE"/>
            <w:szCs w:val="24"/>
            <w:u w:val="single"/>
          </w:rPr>
          <w:t>https://www.rapidinnovation.io/post/ai-in-loan-underwriting-use-cases-best-practices-and-future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Ngritja e Makinerive: Ndikimi i Sigurimit të Automatizuar ..., aksesuar më 25 Prill 2025,</w:t>
      </w:r>
      <w:hyperlink r:id="rId55">
        <w:r w:rsidRPr="00B37FC8">
          <w:rPr>
            <w:rFonts w:eastAsia="Google Sans" w:cs="Times New Roman"/>
            <w:color w:val="0000EE"/>
            <w:szCs w:val="24"/>
            <w:u w:val="single"/>
          </w:rPr>
          <w:t>https://pubsonline.informs.org/doi/10.1287/mnsc.2024.4986</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IA në Fintech: Riformësimi i Shërbimeve Financiare në Epokën Dixhitale - Neontri, aksesuar më 25 Prill 2025,</w:t>
      </w:r>
      <w:hyperlink r:id="rId56">
        <w:r w:rsidRPr="00B37FC8">
          <w:rPr>
            <w:rFonts w:eastAsia="Google Sans" w:cs="Times New Roman"/>
            <w:color w:val="0000EE"/>
            <w:szCs w:val="24"/>
            <w:u w:val="single"/>
          </w:rPr>
          <w:t>https://neontri.com/blog/artificial-intelligence-fintech/</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Kur Borxhi Bëhet i Papaguar? - Experian, aksesuar më 25 Prill 2025,</w:t>
      </w:r>
      <w:hyperlink r:id="rId57">
        <w:r w:rsidRPr="00B37FC8">
          <w:rPr>
            <w:rFonts w:eastAsia="Google Sans" w:cs="Times New Roman"/>
            <w:color w:val="0000EE"/>
            <w:szCs w:val="24"/>
            <w:u w:val="single"/>
          </w:rPr>
          <w:t>https://www.experian.com/blogs/ask-experian/when-does-debt-become-delinquent/</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 Qendrore e Republikës së Kosovës - Devex, aksesuar më 25 prill 2025,</w:t>
      </w:r>
      <w:hyperlink r:id="rId58">
        <w:r w:rsidRPr="00B37FC8">
          <w:rPr>
            <w:rFonts w:eastAsia="Google Sans" w:cs="Times New Roman"/>
            <w:color w:val="0000EE"/>
            <w:szCs w:val="24"/>
            <w:u w:val="single"/>
          </w:rPr>
          <w:t>https://www.devex.com/organizations/central-bank-of-the-republic-of-kosovo-128032</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 Qendrore e Kosovës - Wikipedia, qasur më 25 prill 2025,</w:t>
      </w:r>
      <w:hyperlink r:id="rId59">
        <w:r w:rsidRPr="00B37FC8">
          <w:rPr>
            <w:rFonts w:eastAsia="Google Sans" w:cs="Times New Roman"/>
            <w:color w:val="0000EE"/>
            <w:szCs w:val="24"/>
            <w:u w:val="single"/>
          </w:rPr>
          <w:t>https://en.wikipedia.org/wiki/Central_Bank_of_Kosovo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lastRenderedPageBreak/>
        <w:t>Bank Watch - Instituti GAP, aksesuar më 25 prill 2025,</w:t>
      </w:r>
      <w:hyperlink r:id="rId60">
        <w:r w:rsidRPr="00B37FC8">
          <w:rPr>
            <w:rFonts w:eastAsia="Google Sans" w:cs="Times New Roman"/>
            <w:color w:val="0000EE"/>
            <w:szCs w:val="24"/>
            <w:u w:val="single"/>
          </w:rPr>
          <w:t>https://www.institutigap.org/documents/97679_BANK%20WATCH%20-%20English%20-%20Final1.pdf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 Qendrore e Republikës së Kosovës është një institucion publik i pavarur dhe objektivi i saj kryesor është të promovojë dhe mirëmbajë një sistem financiar të qëndrueshëm, si dhe një sistem efikas pagesash - BQK, aksesuar më 25 prill 2025,</w:t>
      </w:r>
      <w:hyperlink r:id="rId61">
        <w:r w:rsidRPr="00B37FC8">
          <w:rPr>
            <w:rFonts w:eastAsia="Google Sans" w:cs="Times New Roman"/>
            <w:color w:val="0000EE"/>
            <w:szCs w:val="24"/>
            <w:u w:val="single"/>
          </w:rPr>
          <w:t>https://bqk-kos.org/?lang=en&amp;lang=en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 Qendrore e Republikës së Kosovës përmbylli “Javën Globale të Parasë 2025” - BQK, aksesuar më 25 prill 2025,</w:t>
      </w:r>
      <w:hyperlink r:id="rId62">
        <w:r w:rsidRPr="00B37FC8">
          <w:rPr>
            <w:rFonts w:eastAsia="Google Sans" w:cs="Times New Roman"/>
            <w:color w:val="0000EE"/>
            <w:szCs w:val="24"/>
            <w:u w:val="single"/>
          </w:rPr>
          <w:t>https://bqk-kos.org/?lang=en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pr2571-kosovo-review-sba-rsf - Fondi Monetar Ndërkombëtar (FMN), aksesuar më 25 prill 2025,</w:t>
      </w:r>
      <w:hyperlink r:id="rId63">
        <w:r w:rsidRPr="00B37FC8">
          <w:rPr>
            <w:rFonts w:eastAsia="Google Sans" w:cs="Times New Roman"/>
            <w:color w:val="0000EE"/>
            <w:szCs w:val="24"/>
            <w:u w:val="single"/>
          </w:rPr>
          <w:t>https://www.imf.org/en/News/Articles/2025/03/20/pr2571-kosovo-review-sba-rsf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REPUBLIKA E KOSOVËS, aksesuar më 25 prill 2025,</w:t>
      </w:r>
      <w:hyperlink r:id="rId64">
        <w:r w:rsidRPr="00B37FC8">
          <w:rPr>
            <w:rFonts w:eastAsia="Google Sans" w:cs="Times New Roman"/>
            <w:color w:val="0000EE"/>
            <w:szCs w:val="24"/>
            <w:u w:val="single"/>
          </w:rPr>
          <w:t>https://cps.rks-gov.net/wp-content/uploads/2020/09/LAW_NO._04_L-093_ON_BANKS_MICROFINANCE_INSTITUTIONS_AND_NON_BANK_FINANCIAL_INSTITUTIONS-1.pdf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BQK-ja i bashkohet Organizatës Ndërkombëtare për Mbrojtjen e Konsumatorëve Financiarë (FinCoNet) - BQK, aksesuar më 25 prill 2025,</w:t>
      </w:r>
      <w:hyperlink r:id="rId65">
        <w:r w:rsidRPr="00B37FC8">
          <w:rPr>
            <w:rFonts w:eastAsia="Google Sans" w:cs="Times New Roman"/>
            <w:color w:val="0000EE"/>
            <w:szCs w:val="24"/>
            <w:u w:val="single"/>
          </w:rPr>
          <w:t>https://bqk-kos.org/news/bqk-anetaresohet-ne-organizaten-nderkombetare-per-mbrojtje-te-konsumatoreve-financiare-finconet/?lang=en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Avancimi i Sektorit Financiar të Kosovës: Pikat Kryesore Legjislative në ..., qasur më 25 prill 2025,</w:t>
      </w:r>
      <w:hyperlink r:id="rId66">
        <w:r w:rsidRPr="00B37FC8">
          <w:rPr>
            <w:rFonts w:eastAsia="Google Sans" w:cs="Times New Roman"/>
            <w:color w:val="0000EE"/>
            <w:szCs w:val="24"/>
            <w:u w:val="single"/>
          </w:rPr>
          <w:t>https://rphs.law/advancing-kosovos-financial-sector-legislative-milestones-on-the-path-to-sepa-membership/</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Roli i bankave qendrore në mbrojtjen e klientëve bankarë: Një perspektivë ligjore dhe rregullative - Virtus InterPress, aksesuar më 25 prill 2025,</w:t>
      </w:r>
      <w:hyperlink r:id="rId67">
        <w:r w:rsidRPr="00B37FC8">
          <w:rPr>
            <w:rFonts w:eastAsia="Google Sans" w:cs="Times New Roman"/>
            <w:color w:val="0000EE"/>
            <w:szCs w:val="24"/>
            <w:u w:val="single"/>
          </w:rPr>
          <w:t>https://virtusinterpress.org/IMG/pdf/clgrv6i3p10.pdf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personale - ProCredit Bank, aksesuar më 25 Prill 2025,</w:t>
      </w:r>
      <w:hyperlink r:id="rId68">
        <w:r w:rsidRPr="00B37FC8">
          <w:rPr>
            <w:rFonts w:eastAsia="Google Sans" w:cs="Times New Roman"/>
            <w:color w:val="0000EE"/>
            <w:szCs w:val="24"/>
            <w:u w:val="single"/>
          </w:rPr>
          <w:t>https://procreditbank-kos.com/eng/apply-online/private-clients/kredi-personale/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Bankat në Kosovë - Wikipedia, qasur më 25 prill 2025,</w:t>
      </w:r>
      <w:hyperlink r:id="rId69">
        <w:r w:rsidRPr="00B37FC8">
          <w:rPr>
            <w:rFonts w:eastAsia="Google Sans" w:cs="Times New Roman"/>
            <w:color w:val="0000EE"/>
            <w:szCs w:val="24"/>
            <w:u w:val="single"/>
          </w:rPr>
          <w:t>https://en.wikipedia.org/wiki/Banking_in_Kosovo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Kosova - Financimi i Tregtisë, aksesuar më 25 prill 2025,</w:t>
      </w:r>
      <w:hyperlink r:id="rId70">
        <w:r w:rsidRPr="00B37FC8">
          <w:rPr>
            <w:rFonts w:eastAsia="Google Sans" w:cs="Times New Roman"/>
            <w:color w:val="0000EE"/>
            <w:szCs w:val="24"/>
            <w:u w:val="single"/>
          </w:rPr>
          <w:t>https://www.trade.gov/country-commercial-guides/kosovo-trade-financing</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 xml:space="preserve">Sektori Bankar - Shoqata e Bankave të Kosovës, qasur më 25 prill </w:t>
      </w:r>
      <w:r w:rsidRPr="00B37FC8">
        <w:rPr>
          <w:rFonts w:eastAsia="Google Sans" w:cs="Times New Roman"/>
          <w:szCs w:val="24"/>
        </w:rPr>
        <w:lastRenderedPageBreak/>
        <w:t>2025,</w:t>
      </w:r>
      <w:hyperlink r:id="rId71">
        <w:r w:rsidRPr="00B37FC8">
          <w:rPr>
            <w:rFonts w:eastAsia="Google Sans" w:cs="Times New Roman"/>
            <w:color w:val="0000EE"/>
            <w:szCs w:val="24"/>
            <w:u w:val="single"/>
          </w:rPr>
          <w:t>https://www.bankassoc-kos.com/En/sektori-bankar/</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FIF - PRS - Raiffeisen Bank Kosovo | Ne investojmë në ndryshimin e jetës - BERZH, aksesuar më 25 prill 2025,</w:t>
      </w:r>
      <w:hyperlink r:id="rId72">
        <w:r w:rsidRPr="00B37FC8">
          <w:rPr>
            <w:rFonts w:eastAsia="Google Sans" w:cs="Times New Roman"/>
            <w:color w:val="0000EE"/>
            <w:szCs w:val="24"/>
            <w:u w:val="single"/>
          </w:rPr>
          <w:t>https://www.ebrd.com/home/work-with-us/projects/psd/54879.html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Lista e bankave në Kosovë - Wikipedia, qasur më 25 prill 2025,</w:t>
      </w:r>
      <w:hyperlink r:id="rId73">
        <w:r w:rsidRPr="00B37FC8">
          <w:rPr>
            <w:rFonts w:eastAsia="Google Sans" w:cs="Times New Roman"/>
            <w:color w:val="0000EE"/>
            <w:szCs w:val="24"/>
            <w:u w:val="single"/>
          </w:rPr>
          <w:t>https://en.wikipedia.org/wiki/List_of_banks_in_Kosovo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Transferta - Raiffeisen Bank, aksesuar më 25 prill 2025,</w:t>
      </w:r>
      <w:hyperlink r:id="rId74">
        <w:r w:rsidRPr="00B37FC8">
          <w:rPr>
            <w:rFonts w:eastAsia="Google Sans" w:cs="Times New Roman"/>
            <w:color w:val="0000EE"/>
            <w:szCs w:val="24"/>
            <w:u w:val="single"/>
          </w:rPr>
          <w:t>https://www.raiffeisen-kosovo.com/en/corporate/transfers.html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Raiffeisen Bank, aksesuar më 25 prill 2025,</w:t>
      </w:r>
      <w:hyperlink r:id="rId75">
        <w:r w:rsidRPr="00B37FC8">
          <w:rPr>
            <w:rFonts w:eastAsia="Google Sans" w:cs="Times New Roman"/>
            <w:color w:val="0000EE"/>
            <w:szCs w:val="24"/>
            <w:u w:val="single"/>
          </w:rPr>
          <w:t>https://www.raiffeisen-kosovo.com/en/about-us/raiffeisen-bank.html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ProCredit Bank, aksesuar më 25 prill 2025,</w:t>
      </w:r>
      <w:hyperlink r:id="rId76">
        <w:r w:rsidRPr="00B37FC8">
          <w:rPr>
            <w:rFonts w:eastAsia="Google Sans" w:cs="Times New Roman"/>
            <w:color w:val="0000EE"/>
            <w:szCs w:val="24"/>
            <w:u w:val="single"/>
          </w:rPr>
          <w:t>https://procreditbank-kos.com/eng/homepage/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www.efse.lu, aksesuar më 25 prill 2025,</w:t>
      </w:r>
      <w:hyperlink r:id="rId77">
        <w:r w:rsidRPr="00B37FC8">
          <w:rPr>
            <w:rFonts w:eastAsia="Google Sans" w:cs="Times New Roman"/>
            <w:color w:val="0000EE"/>
            <w:szCs w:val="24"/>
            <w:u w:val="single"/>
          </w:rPr>
          <w:t>https://www.efse.lu/fileadmin/user_upload/efse/news_migration/2015-05_EFSE_DF_extends_support_for_the_Kosovo_banker_magazine_until_end_2016.pdf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Shoqata e Bankave të Kosovës - BKT Kosova, aksesuar më 25 prill 2025,</w:t>
      </w:r>
      <w:hyperlink r:id="rId78">
        <w:r w:rsidRPr="00B37FC8">
          <w:rPr>
            <w:rFonts w:eastAsia="Google Sans" w:cs="Times New Roman"/>
            <w:color w:val="0000EE"/>
            <w:szCs w:val="24"/>
            <w:u w:val="single"/>
          </w:rPr>
          <w:t>https://bkt-ks.com/en/kosovo-banking-association/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Lista e Bankave në Kosovë - Global Banking | Financa | Rishikimi, aksesuar më 25 prill 2025,</w:t>
      </w:r>
      <w:hyperlink r:id="rId79">
        <w:r w:rsidRPr="00B37FC8">
          <w:rPr>
            <w:rFonts w:eastAsia="Google Sans" w:cs="Times New Roman"/>
            <w:color w:val="0000EE"/>
            <w:szCs w:val="24"/>
            <w:u w:val="single"/>
          </w:rPr>
          <w:t>https://www.globalbankingandfinance.com/list-of-banks-in-kosovo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Rreth nesh - amik.org, aksesuar më 25 prill 2025,</w:t>
      </w:r>
      <w:hyperlink r:id="rId80">
        <w:r w:rsidRPr="00B37FC8">
          <w:rPr>
            <w:rFonts w:eastAsia="Google Sans" w:cs="Times New Roman"/>
            <w:color w:val="0000EE"/>
            <w:szCs w:val="24"/>
            <w:u w:val="single"/>
          </w:rPr>
          <w:t>https://www.amik.org/Home/SetLanguage?returnUrl=%2FAMIK%2FPer-ne&amp;culture=sr-Latn-RS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AMIK – Shoqata e Institucioneve Mikrofinanciare të Kosovës, qasur më 25 prill 2025,</w:t>
      </w:r>
      <w:hyperlink r:id="rId81">
        <w:r w:rsidRPr="00B37FC8">
          <w:rPr>
            <w:rFonts w:eastAsia="Google Sans" w:cs="Times New Roman"/>
            <w:color w:val="0000EE"/>
            <w:szCs w:val="24"/>
            <w:u w:val="single"/>
          </w:rPr>
          <w:t>https://www.european-microfinance.org/organisation/amik-association-of-microfinance-institutions-of-kosovo/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AMIK - Shoqata e Institucioneve Mikrofinanciare të Kosovës, qasur më 25 prill 2025,</w:t>
      </w:r>
      <w:hyperlink r:id="rId82">
        <w:r w:rsidRPr="00B37FC8">
          <w:rPr>
            <w:rFonts w:eastAsia="Google Sans" w:cs="Times New Roman"/>
            <w:color w:val="0000EE"/>
            <w:szCs w:val="24"/>
            <w:u w:val="single"/>
          </w:rPr>
          <w:t>https://www.european-microfinance.org/organisation/amik-association-microfinance-institutions-kosovo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Fehmi Mehmeti: Banka Qendrore e Republikës së Kosovës po monitoron nga afër zhvillimet në ekonominë e Kosovës, qasur më 25 prill 2025,</w:t>
      </w:r>
      <w:hyperlink r:id="rId83">
        <w:r w:rsidRPr="00B37FC8">
          <w:rPr>
            <w:rFonts w:eastAsia="Google Sans" w:cs="Times New Roman"/>
            <w:color w:val="0000EE"/>
            <w:szCs w:val="24"/>
            <w:u w:val="single"/>
          </w:rPr>
          <w:t>https://www.bis.org/review/r201118f.pdf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Guvernatori i Bankës Qendrore të Republikës së Kosovës u takua me drejtuesit e Shoqatës së Bankave të Kosovës - BQK, qasur më 25 prill 2025,</w:t>
      </w:r>
      <w:hyperlink r:id="rId84">
        <w:r w:rsidRPr="00B37FC8">
          <w:rPr>
            <w:rFonts w:eastAsia="Google Sans" w:cs="Times New Roman"/>
            <w:color w:val="0000EE"/>
            <w:szCs w:val="24"/>
            <w:u w:val="single"/>
          </w:rPr>
          <w:t>https://bqk-</w:t>
        </w:r>
        <w:r w:rsidRPr="00B37FC8">
          <w:rPr>
            <w:rFonts w:eastAsia="Google Sans" w:cs="Times New Roman"/>
            <w:color w:val="0000EE"/>
            <w:szCs w:val="24"/>
            <w:u w:val="single"/>
          </w:rPr>
          <w:lastRenderedPageBreak/>
          <w:t>kos.org/news/guvernatori-of-the-central-bank-of-the-republic-of-kosovo-takua-me-udhëheqësit-e-shoqatës-bankare-kosovare/?lang=en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THE KOSOVO BANKER - DREJT BANKINGUT GJITHËPËRFSHIRËS nga ..., aksesuar më 25 prill 2025,</w:t>
      </w:r>
      <w:hyperlink r:id="rId85">
        <w:r w:rsidRPr="00B37FC8">
          <w:rPr>
            <w:rFonts w:eastAsia="Google Sans" w:cs="Times New Roman"/>
            <w:color w:val="0000EE"/>
            <w:szCs w:val="24"/>
            <w:u w:val="single"/>
          </w:rPr>
          <w:t>https://issuu.com/shbk/docs/27_-_the_kosovo_banker_2024_-_eng_</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Komunikatë për shtyp - Shoqata e Bankave të Kosovës, aksesuar më 25 prill 2025,</w:t>
      </w:r>
      <w:hyperlink r:id="rId86">
        <w:r w:rsidRPr="00B37FC8">
          <w:rPr>
            <w:rFonts w:eastAsia="Google Sans" w:cs="Times New Roman"/>
            <w:color w:val="0000EE"/>
            <w:szCs w:val="24"/>
            <w:u w:val="single"/>
          </w:rPr>
          <w:t>https://www.bankassoc-kos.com/En/komunikatat/?faqe=4</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FINCA në revistën The Kosovo Banker, aksesuar më 25 prill 2025,</w:t>
      </w:r>
      <w:hyperlink r:id="rId87">
        <w:r w:rsidRPr="00B37FC8">
          <w:rPr>
            <w:rFonts w:eastAsia="Google Sans" w:cs="Times New Roman"/>
            <w:color w:val="0000EE"/>
            <w:szCs w:val="24"/>
            <w:u w:val="single"/>
          </w:rPr>
          <w:t>https://fincakosovo.org/en/news/finca-in-the-kosovo-banker-magazine/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Banka Botërore në Kosovë: Lajme zhvillimi, kërkime, të dhëna, aksesuar më 25 prill 2025,</w:t>
      </w:r>
      <w:hyperlink r:id="rId88">
        <w:r w:rsidRPr="00B37FC8">
          <w:rPr>
            <w:rFonts w:eastAsia="Google Sans" w:cs="Times New Roman"/>
            <w:color w:val="0000EE"/>
            <w:szCs w:val="24"/>
            <w:u w:val="single"/>
          </w:rPr>
          <w:t>https://www.worldbank.org/en/country/kosovo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Dokumenti Informativ i Programit Konceptual (PID) - Financat Publike dhe Rritja e Kosovës DPF, qasur më 25 prill 2025,</w:t>
      </w:r>
      <w:hyperlink r:id="rId89">
        <w:r w:rsidRPr="00B37FC8">
          <w:rPr>
            <w:rFonts w:eastAsia="Google Sans" w:cs="Times New Roman"/>
            <w:color w:val="0000EE"/>
            <w:szCs w:val="24"/>
            <w:u w:val="single"/>
          </w:rPr>
          <w:t>https://documents1.worldbank.org/curated/pt/171191561738338544/pdf/Concept-Program-Information-Document-PID-Kosovo-Public-Finances-and-Growth-DPF-P170113.pdf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Koncepti-Programi-Dokument-Informativ-PID-Kosovo-Public-Finances-and-Growth-DPF-P170113.docx, aksesuar më 25 prill 2025,</w:t>
      </w:r>
      <w:hyperlink r:id="rId90">
        <w:r w:rsidRPr="00B37FC8">
          <w:rPr>
            <w:rFonts w:eastAsia="Google Sans" w:cs="Times New Roman"/>
            <w:color w:val="0000EE"/>
            <w:szCs w:val="24"/>
            <w:u w:val="single"/>
          </w:rPr>
          <w:t>https://documents1.worldbank.org/curated/en/171191561738338544/Concept-Program-Information-Document-PID-Kosovo-Public-Finances-and-Growth-DPF-P170113.docx</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www.ebrd.com, aksesuar më 25 prill 2025,</w:t>
      </w:r>
      <w:hyperlink r:id="rId91">
        <w:r w:rsidRPr="00B37FC8">
          <w:rPr>
            <w:rFonts w:eastAsia="Google Sans" w:cs="Times New Roman"/>
            <w:color w:val="0000EE"/>
            <w:szCs w:val="24"/>
            <w:u w:val="single"/>
          </w:rPr>
          <w:t>https://www.ebrd.com/content/dam/ebrd_dxp/assets/pdfs/office-of-the-chief-economist/transition-report-archive/transition-report-2024/country-assessments-2023-24/south-eastern-europe.pdf-eastern-europe/Koovo520-Transition.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Republika e Kosovës - Fondi Monetar Ndërkombëtar (FMN), aksesuar më 25 prill 2025,</w:t>
      </w:r>
      <w:hyperlink r:id="rId92">
        <w:r w:rsidRPr="00B37FC8">
          <w:rPr>
            <w:rFonts w:eastAsia="Google Sans" w:cs="Times New Roman"/>
            <w:color w:val="0000EE"/>
            <w:szCs w:val="24"/>
            <w:u w:val="single"/>
          </w:rPr>
          <w:t>https://www.imf.org/-/media/Files/Publications/CR/2024/English/1kosea2024002-print-pdf.ashx</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Republika e Kosovës: Konsultimi i Nenit IV 2015 - Raporti i Stafit - Fondi Monetar Ndërkombëtar (FMN), aksesuar më 25 prill 2025,</w:t>
      </w:r>
      <w:hyperlink r:id="rId93">
        <w:r w:rsidRPr="00B37FC8">
          <w:rPr>
            <w:rFonts w:eastAsia="Google Sans" w:cs="Times New Roman"/>
            <w:color w:val="0000EE"/>
            <w:szCs w:val="24"/>
            <w:u w:val="single"/>
          </w:rPr>
          <w:t>https://www.imf.org/external/pubs/ft/scr/2015/cr15131.pdf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www.elibrary.imf.org, aksesuar më 25 prill 2025,</w:t>
      </w:r>
      <w:hyperlink r:id="rId94">
        <w:r w:rsidRPr="00B37FC8">
          <w:rPr>
            <w:rFonts w:eastAsia="Google Sans" w:cs="Times New Roman"/>
            <w:color w:val="0000EE"/>
            <w:szCs w:val="24"/>
            <w:u w:val="single"/>
          </w:rPr>
          <w:t>https://www.elibrary.imf.org/downloadpdf/view/journals/018/2025/004/018.</w:t>
        </w:r>
        <w:r w:rsidRPr="00B37FC8">
          <w:rPr>
            <w:rFonts w:eastAsia="Google Sans" w:cs="Times New Roman"/>
            <w:color w:val="0000EE"/>
            <w:szCs w:val="24"/>
            <w:u w:val="single"/>
          </w:rPr>
          <w:lastRenderedPageBreak/>
          <w:t>2025.issue-004-en.pdf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Norma e Huadhënies Bankare të Kosovës, 2004 - CEIC, aksesuar më 25 prill 2025,</w:t>
      </w:r>
      <w:hyperlink r:id="rId95">
        <w:r w:rsidRPr="00B37FC8">
          <w:rPr>
            <w:rFonts w:eastAsia="Google Sans" w:cs="Times New Roman"/>
            <w:color w:val="0000EE"/>
            <w:szCs w:val="24"/>
            <w:u w:val="single"/>
          </w:rPr>
          <w:t>https://www.ceicdata.com/en/indicator/kosovo/bank-lending-rate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Rritja Totale e Kredive në Kosovë | 2001 - 2025 | Treguesit Ekonomikë - CEIC, aksesuar më 25 Prill 2025,</w:t>
      </w:r>
      <w:hyperlink r:id="rId96">
        <w:r w:rsidRPr="00B37FC8">
          <w:rPr>
            <w:rFonts w:eastAsia="Google Sans" w:cs="Times New Roman"/>
            <w:color w:val="0000EE"/>
            <w:szCs w:val="24"/>
            <w:u w:val="single"/>
          </w:rPr>
          <w:t>https://www.ceicdata.com/en/indicator/kosovo/total-loans-growth</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Treguesit Makroekonomikë - BQK, aksesuar më 25 Prill 2025,</w:t>
      </w:r>
      <w:hyperlink r:id="rId97">
        <w:r w:rsidRPr="00B37FC8">
          <w:rPr>
            <w:rFonts w:eastAsia="Google Sans" w:cs="Times New Roman"/>
            <w:color w:val="0000EE"/>
            <w:szCs w:val="24"/>
            <w:u w:val="single"/>
          </w:rPr>
          <w:t>https://bqk-kos.org/statistikat/indikatoret-ekonomik/?lang=en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Na Kontaktoni - Raiffeisen Bank, aksesuar më 25 Prill 2025,</w:t>
      </w:r>
      <w:hyperlink r:id="rId98">
        <w:r w:rsidRPr="00B37FC8">
          <w:rPr>
            <w:rFonts w:eastAsia="Google Sans" w:cs="Times New Roman"/>
            <w:color w:val="0000EE"/>
            <w:szCs w:val="24"/>
            <w:u w:val="single"/>
          </w:rPr>
          <w:t>https://www.raiffeisen-kosovo.com/en/personal/help-tools/contact-us.html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Raporti Tremujor i Tremujorit të Tremujorit të Tremujorit të Tremujorit të Tretë 2024 - ProCredit Holding, aksesuar më 25 Prill 2025,</w:t>
      </w:r>
      <w:hyperlink r:id="rId99">
        <w:r w:rsidRPr="00B37FC8">
          <w:rPr>
            <w:rFonts w:eastAsia="Google Sans" w:cs="Times New Roman"/>
            <w:color w:val="0000EE"/>
            <w:szCs w:val="24"/>
            <w:u w:val="single"/>
          </w:rPr>
          <w:t>https://www.procredit-holding.com/wp-content/uploads/2024/11/PCH-Q3-2024-Quarterly-Report-EN.pdf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Klientë biznesi – ProCredit Bank Gjermani, aksesuar më 25 prill 2025,</w:t>
      </w:r>
      <w:hyperlink r:id="rId100">
        <w:r w:rsidRPr="00B37FC8">
          <w:rPr>
            <w:rFonts w:eastAsia="Google Sans" w:cs="Times New Roman"/>
            <w:color w:val="0000EE"/>
            <w:szCs w:val="24"/>
            <w:u w:val="single"/>
          </w:rPr>
          <w:t>https://www.procreditbank.de/en/business-clients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personale deri në 50,000 euro, pa hipotekë! - Raiffeisen Bank, aksesuar më 25 prill 2025,</w:t>
      </w:r>
      <w:hyperlink r:id="rId101">
        <w:r w:rsidRPr="00B37FC8">
          <w:rPr>
            <w:rFonts w:eastAsia="Google Sans" w:cs="Times New Roman"/>
            <w:color w:val="0000EE"/>
            <w:szCs w:val="24"/>
            <w:u w:val="single"/>
          </w:rPr>
          <w:t>https://www.raiffeisen-kosovo.com/en/personal/products/loans/personal-loan.html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Merrni një kredi personale deri në 10,000 €, përgjigje në vetëm 2 orë ..., aksesuar më 25 prill 2025,</w:t>
      </w:r>
      <w:hyperlink r:id="rId102">
        <w:r w:rsidRPr="00B37FC8">
          <w:rPr>
            <w:rFonts w:eastAsia="Google Sans" w:cs="Times New Roman"/>
            <w:color w:val="0000EE"/>
            <w:szCs w:val="24"/>
            <w:u w:val="single"/>
          </w:rPr>
          <w:t>https://procreditbank-kos.com/eng/news/get-a-personal-loan-of-up-to-10000-response-i-1755/</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ProCredit Bank Direct Kosovo, aksesuar më 25 prill 2025,</w:t>
      </w:r>
      <w:hyperlink r:id="rId103">
        <w:r w:rsidRPr="00B37FC8">
          <w:rPr>
            <w:rFonts w:eastAsia="Google Sans" w:cs="Times New Roman"/>
            <w:color w:val="0000EE"/>
            <w:szCs w:val="24"/>
            <w:u w:val="single"/>
          </w:rPr>
          <w:t>https://www.procreditbank-direct.com/kosovo/en/mobile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procreditbank-kos.com, aksesuar më 25 prill 2025,</w:t>
      </w:r>
      <w:hyperlink r:id="rId104">
        <w:r w:rsidRPr="00B37FC8">
          <w:rPr>
            <w:rFonts w:eastAsia="Google Sans" w:cs="Times New Roman"/>
            <w:color w:val="0000EE"/>
            <w:szCs w:val="24"/>
            <w:u w:val="single"/>
          </w:rPr>
          <w:t>https://procreditbank-kos.com/Uploads/Data/Files/113/PCB_Cmimore_KlientePrivat_14.03.2025_ENG_EfVjx3KTkG.pdf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Kredi personale deri në 50,000 euro, pa hipotekë! - Raiffeisen Bank, aksesuar më 25 prill 2025,</w:t>
      </w:r>
      <w:hyperlink r:id="rId105">
        <w:r w:rsidRPr="00B37FC8">
          <w:rPr>
            <w:rFonts w:eastAsia="Google Sans" w:cs="Times New Roman"/>
            <w:color w:val="0000EE"/>
            <w:szCs w:val="24"/>
            <w:u w:val="single"/>
          </w:rPr>
          <w:t>https://www.raiffeisen-kosovo.com/en/personal.html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Raporti Global i Tregut të Kredive Personale 2025 - Kompania e Kërkimeve të Biznesit, aksesuar më 25 Prill 2025,</w:t>
      </w:r>
      <w:hyperlink r:id="rId106">
        <w:r w:rsidRPr="00B37FC8">
          <w:rPr>
            <w:rFonts w:eastAsia="Google Sans" w:cs="Times New Roman"/>
            <w:color w:val="0000EE"/>
            <w:szCs w:val="24"/>
            <w:u w:val="single"/>
          </w:rPr>
          <w:t>https://www.thebusinessresearchcompany.com/report/personal-loans-global-market-report</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 xml:space="preserve">Raiffeisen Plus - : - Shërbime bankare në majë të gishtave tuaj, aksesuar më 25 </w:t>
      </w:r>
      <w:r w:rsidRPr="00B37FC8">
        <w:rPr>
          <w:rFonts w:eastAsia="Google Sans" w:cs="Times New Roman"/>
          <w:szCs w:val="24"/>
        </w:rPr>
        <w:lastRenderedPageBreak/>
        <w:t>prill 2025,</w:t>
      </w:r>
      <w:hyperlink r:id="rId107">
        <w:r w:rsidRPr="00B37FC8">
          <w:rPr>
            <w:rFonts w:eastAsia="Google Sans" w:cs="Times New Roman"/>
            <w:color w:val="0000EE"/>
            <w:szCs w:val="24"/>
            <w:u w:val="single"/>
          </w:rPr>
          <w:t>https://www.raiffeisen-kosovo.com/en/personal/ways-to-bank/e-banking.html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Tregtia elektronike - ProCredit Bank, aksesuar më 25 prill 2025,</w:t>
      </w:r>
      <w:hyperlink r:id="rId108">
        <w:r w:rsidRPr="00B37FC8">
          <w:rPr>
            <w:rFonts w:eastAsia="Google Sans" w:cs="Times New Roman"/>
            <w:color w:val="0000EE"/>
            <w:szCs w:val="24"/>
            <w:u w:val="single"/>
          </w:rPr>
          <w:t>https://procreditbank-kos.com/eng/business-clients/services/e-commerce/</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Llogaritë - ProCredit Bank, aksesuar më 25 prill 2025,</w:t>
      </w:r>
      <w:hyperlink r:id="rId109">
        <w:r w:rsidRPr="00B37FC8">
          <w:rPr>
            <w:rFonts w:eastAsia="Google Sans" w:cs="Times New Roman"/>
            <w:color w:val="0000EE"/>
            <w:szCs w:val="24"/>
            <w:u w:val="single"/>
          </w:rPr>
          <w:t>https://procreditbank-kos.com/eng/business-clients/accounts/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e-Banking dhe transferta - ProCredit Bank, aksesuar më 25 prill 2025,</w:t>
      </w:r>
      <w:hyperlink r:id="rId110">
        <w:r w:rsidRPr="00B37FC8">
          <w:rPr>
            <w:rFonts w:eastAsia="Google Sans" w:cs="Times New Roman"/>
            <w:color w:val="0000EE"/>
            <w:szCs w:val="24"/>
            <w:u w:val="single"/>
          </w:rPr>
          <w:t>https://procreditbank-kos.com/eng/business-clients/services/e-banking-transfers/</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Hyn në fuqi Rregullorja për përfshirjen e të gjithë qytetarëve në tregun financiar - BQK, aksesuar më 25 prill 2025,</w:t>
      </w:r>
      <w:hyperlink r:id="rId111">
        <w:r w:rsidRPr="00B37FC8">
          <w:rPr>
            <w:rFonts w:eastAsia="Google Sans" w:cs="Times New Roman"/>
            <w:color w:val="0000EE"/>
            <w:szCs w:val="24"/>
            <w:u w:val="single"/>
          </w:rPr>
          <w:t>https://bqk-kos.org/news/the-regulation-on-the-the-inclusion-of-all-citizens-in-the-financial-market-comes-into-force/?lang=en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Republika e Kosovës: Raporti i Stafit për Konsultimin e Nenit IV të vitit 2024 dhe Shqyrtimet e Treta sipas Marrëveshjes së Mbështetjes dhe Marrëveshjes sipas Instrumentit të Rezistencës dhe Qëndrueshmërisë—Shtojca Informative në - Biblioteka Elektronike e FMN-së, qasur më 25 prill 2025,</w:t>
      </w:r>
      <w:hyperlink r:id="rId112">
        <w:r w:rsidRPr="00B37FC8">
          <w:rPr>
            <w:rFonts w:eastAsia="Google Sans" w:cs="Times New Roman"/>
            <w:color w:val="0000EE"/>
            <w:szCs w:val="24"/>
            <w:u w:val="single"/>
          </w:rPr>
          <w:t>https://www.elibrary.imf.org/view/journals/002/2024/364/article-A002-en.xml</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ecommerce4all-ks.com, aksesuar më 25 prill 2025,</w:t>
      </w:r>
      <w:hyperlink r:id="rId113">
        <w:r w:rsidRPr="00B37FC8">
          <w:rPr>
            <w:rFonts w:eastAsia="Google Sans" w:cs="Times New Roman"/>
            <w:color w:val="0000EE"/>
            <w:szCs w:val="24"/>
            <w:u w:val="single"/>
          </w:rPr>
          <w:t>https://ecommerce4all-ks.com/wp-content/uploads/sites/5/2022/08/law_no._04_l-121_on_consumer_protection.pdf</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(PDF) Performanca e Kredisë Konsumatore në Periudhën 2007-2017 ..., aksesuar më 25 Prill 2025,</w:t>
      </w:r>
      <w:hyperlink r:id="rId114">
        <w:r w:rsidRPr="00B37FC8">
          <w:rPr>
            <w:rFonts w:eastAsia="Google Sans" w:cs="Times New Roman"/>
            <w:color w:val="0000EE"/>
            <w:szCs w:val="24"/>
            <w:u w:val="single"/>
          </w:rPr>
          <w:t>https://www.researchgate.net/publication/333944016_The_Performance_of_Consumer_Loan_in_the_Period_2007-2017_Correlation_with_Consumption_and_Economic_Growth_The_Case_of_Kosovo</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Rishikimi i Financave Publike të Kosovës: Politikat Fiskale për një Komb të Ri - Depozita e Njohurive të Hapura e Bankës Botërore, aksesuar më 25 Prill 2025,</w:t>
      </w:r>
      <w:hyperlink r:id="rId115">
        <w:r w:rsidRPr="00B37FC8">
          <w:rPr>
            <w:rFonts w:eastAsia="Google Sans" w:cs="Times New Roman"/>
            <w:color w:val="0000EE"/>
            <w:szCs w:val="24"/>
            <w:u w:val="single"/>
          </w:rPr>
          <w:t>https://openknowledge.worldbank.org/entities/publication/f0f94492-3052-5224-a937-da7caccc0e90</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Publikimi i statistikave të Sektorit të Jashtëm për tremujorin e katërt të vitit 2024 dhe Bilancit të Pagesave për muajin janar 2025 - BQK, aksesuar më 25 prill 2025,</w:t>
      </w:r>
      <w:hyperlink r:id="rId116">
        <w:r w:rsidRPr="00B37FC8">
          <w:rPr>
            <w:rFonts w:eastAsia="Google Sans" w:cs="Times New Roman"/>
            <w:color w:val="0000EE"/>
            <w:szCs w:val="24"/>
            <w:u w:val="single"/>
          </w:rPr>
          <w:t>https://bqk-kos.org/news/publikimi-i-statistikave-te-sektorit-te-jashtem-per-</w:t>
        </w:r>
        <w:r w:rsidRPr="00B37FC8">
          <w:rPr>
            <w:rFonts w:eastAsia="Google Sans" w:cs="Times New Roman"/>
            <w:color w:val="0000EE"/>
            <w:szCs w:val="24"/>
            <w:u w:val="single"/>
          </w:rPr>
          <w:lastRenderedPageBreak/>
          <w:t>tremujorin-e-kater-2024-dhe-bilancit-te-pagesave-per-muajin-janar-2025/?lang=en</w:t>
        </w:r>
      </w:hyperlink>
    </w:p>
    <w:p w:rsidR="00B37FC8" w:rsidRPr="00B37FC8" w:rsidRDefault="00B37FC8" w:rsidP="00B37FC8">
      <w:pPr>
        <w:widowControl w:val="0"/>
        <w:numPr>
          <w:ilvl w:val="0"/>
          <w:numId w:val="54"/>
        </w:numPr>
        <w:pBdr>
          <w:top w:val="nil"/>
          <w:left w:val="nil"/>
          <w:bottom w:val="nil"/>
          <w:right w:val="nil"/>
          <w:between w:val="nil"/>
        </w:pBdr>
        <w:spacing w:after="0"/>
        <w:jc w:val="left"/>
        <w:rPr>
          <w:rFonts w:cs="Times New Roman"/>
          <w:szCs w:val="24"/>
        </w:rPr>
      </w:pPr>
      <w:r w:rsidRPr="00B37FC8">
        <w:rPr>
          <w:rFonts w:eastAsia="Google Sans" w:cs="Times New Roman"/>
          <w:szCs w:val="24"/>
        </w:rPr>
        <w:t>Shoqata e Bankave të Kosovës dhe SBFN bashkë-organizojnë Forumin e Financave të Qëndrueshme, aksesuar më 25 prill 2025,</w:t>
      </w:r>
      <w:hyperlink r:id="rId117">
        <w:r w:rsidRPr="00B37FC8">
          <w:rPr>
            <w:rFonts w:eastAsia="Google Sans" w:cs="Times New Roman"/>
            <w:color w:val="0000EE"/>
            <w:szCs w:val="24"/>
            <w:u w:val="single"/>
          </w:rPr>
          <w:t>https://www.sbfnetwork.org/kosovo-banking-association-and-sbfn-co-host-sustainable-finance-forum/</w:t>
        </w:r>
      </w:hyperlink>
    </w:p>
    <w:p w:rsidR="003D4516" w:rsidRPr="00B37FC8" w:rsidRDefault="003D4516" w:rsidP="00B37FC8">
      <w:pPr>
        <w:jc w:val="left"/>
        <w:rPr>
          <w:rFonts w:cs="Times New Roman"/>
          <w:szCs w:val="24"/>
        </w:rPr>
      </w:pPr>
    </w:p>
    <w:p w:rsidR="003D4516" w:rsidRPr="00B37FC8" w:rsidRDefault="003D4516" w:rsidP="00B37FC8">
      <w:pPr>
        <w:jc w:val="left"/>
        <w:rPr>
          <w:rFonts w:cs="Times New Roman"/>
          <w:szCs w:val="24"/>
        </w:rPr>
      </w:pPr>
    </w:p>
    <w:p w:rsidR="003D4516" w:rsidRPr="00B37FC8" w:rsidRDefault="003D4516" w:rsidP="00B37FC8">
      <w:pPr>
        <w:jc w:val="left"/>
        <w:rPr>
          <w:rFonts w:cs="Times New Roman"/>
          <w:szCs w:val="24"/>
        </w:rPr>
      </w:pPr>
    </w:p>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3D4516" w:rsidRDefault="003D4516" w:rsidP="003D4516"/>
    <w:p w:rsidR="005D05F6" w:rsidRDefault="005D05F6" w:rsidP="003D4516"/>
    <w:p w:rsidR="005D05F6" w:rsidRDefault="005D05F6" w:rsidP="003D4516"/>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8800BE">
      <w:pPr>
        <w:pBdr>
          <w:top w:val="nil"/>
          <w:left w:val="nil"/>
          <w:bottom w:val="nil"/>
          <w:right w:val="nil"/>
          <w:between w:val="nil"/>
        </w:pBdr>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Default="005D05F6" w:rsidP="00CB14A5">
      <w:pPr>
        <w:pBdr>
          <w:top w:val="nil"/>
          <w:left w:val="nil"/>
          <w:bottom w:val="nil"/>
          <w:right w:val="nil"/>
          <w:between w:val="nil"/>
        </w:pBdr>
        <w:spacing w:line="275" w:lineRule="auto"/>
      </w:pPr>
    </w:p>
    <w:p w:rsidR="005D05F6" w:rsidRPr="005D05F6" w:rsidRDefault="005D05F6" w:rsidP="00CB14A5">
      <w:pPr>
        <w:pBdr>
          <w:top w:val="nil"/>
          <w:left w:val="nil"/>
          <w:bottom w:val="nil"/>
          <w:right w:val="nil"/>
          <w:between w:val="nil"/>
        </w:pBdr>
        <w:spacing w:line="275" w:lineRule="auto"/>
      </w:pPr>
    </w:p>
    <w:p w:rsidR="00CB14A5" w:rsidRPr="00CB14A5" w:rsidRDefault="00CB14A5" w:rsidP="00CB14A5"/>
    <w:sectPr w:rsidR="00CB14A5" w:rsidRPr="00CB14A5" w:rsidSect="002347D3">
      <w:footerReference w:type="default" r:id="rId118"/>
      <w:pgSz w:w="11907" w:h="16840" w:code="9"/>
      <w:pgMar w:top="1418" w:right="1701" w:bottom="1418" w:left="1701" w:header="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34D6" w:rsidRDefault="002F34D6" w:rsidP="00B16F31">
      <w:pPr>
        <w:spacing w:after="0" w:line="240" w:lineRule="auto"/>
      </w:pPr>
      <w:r>
        <w:separator/>
      </w:r>
    </w:p>
  </w:endnote>
  <w:endnote w:type="continuationSeparator" w:id="0">
    <w:p w:rsidR="002F34D6" w:rsidRDefault="002F34D6" w:rsidP="00B16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oogle Sans Text">
    <w:altName w:val="Calibri"/>
    <w:charset w:val="00"/>
    <w:family w:val="auto"/>
    <w:pitch w:val="default"/>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484330"/>
      <w:docPartObj>
        <w:docPartGallery w:val="Page Numbers (Bottom of Page)"/>
        <w:docPartUnique/>
      </w:docPartObj>
    </w:sdtPr>
    <w:sdtEndPr>
      <w:rPr>
        <w:noProof/>
      </w:rPr>
    </w:sdtEndPr>
    <w:sdtContent>
      <w:p w:rsidR="00B37FC8" w:rsidRDefault="00B37F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37FC8" w:rsidRDefault="00B37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34D6" w:rsidRDefault="002F34D6" w:rsidP="00B16F31">
      <w:pPr>
        <w:spacing w:after="0" w:line="240" w:lineRule="auto"/>
      </w:pPr>
      <w:r>
        <w:separator/>
      </w:r>
    </w:p>
  </w:footnote>
  <w:footnote w:type="continuationSeparator" w:id="0">
    <w:p w:rsidR="002F34D6" w:rsidRDefault="002F34D6" w:rsidP="00B16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830"/>
    <w:multiLevelType w:val="multilevel"/>
    <w:tmpl w:val="9EE404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716863"/>
    <w:multiLevelType w:val="multilevel"/>
    <w:tmpl w:val="C0DAE37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56E72F7"/>
    <w:multiLevelType w:val="multilevel"/>
    <w:tmpl w:val="7CE84A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7822B61"/>
    <w:multiLevelType w:val="multilevel"/>
    <w:tmpl w:val="B28C10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9D7229D"/>
    <w:multiLevelType w:val="multilevel"/>
    <w:tmpl w:val="403241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A1E5713"/>
    <w:multiLevelType w:val="multilevel"/>
    <w:tmpl w:val="56AA4FA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AC01C1F"/>
    <w:multiLevelType w:val="multilevel"/>
    <w:tmpl w:val="FB0C8C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F5E4511"/>
    <w:multiLevelType w:val="multilevel"/>
    <w:tmpl w:val="9B5814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299215B"/>
    <w:multiLevelType w:val="multilevel"/>
    <w:tmpl w:val="AE044E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4413423"/>
    <w:multiLevelType w:val="multilevel"/>
    <w:tmpl w:val="9E9065A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63D4B3F"/>
    <w:multiLevelType w:val="multilevel"/>
    <w:tmpl w:val="0134A6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A240741"/>
    <w:multiLevelType w:val="multilevel"/>
    <w:tmpl w:val="D3C83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1CFB7EF2"/>
    <w:multiLevelType w:val="multilevel"/>
    <w:tmpl w:val="DE2001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F91356E"/>
    <w:multiLevelType w:val="multilevel"/>
    <w:tmpl w:val="F9FE2F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21BE22AB"/>
    <w:multiLevelType w:val="multilevel"/>
    <w:tmpl w:val="40F2F1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23220325"/>
    <w:multiLevelType w:val="multilevel"/>
    <w:tmpl w:val="916424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29FB4A76"/>
    <w:multiLevelType w:val="multilevel"/>
    <w:tmpl w:val="9FD8A7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B0808CE"/>
    <w:multiLevelType w:val="multilevel"/>
    <w:tmpl w:val="15604F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D05546F"/>
    <w:multiLevelType w:val="multilevel"/>
    <w:tmpl w:val="D8167C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D875EE0"/>
    <w:multiLevelType w:val="multilevel"/>
    <w:tmpl w:val="0A6873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32ED6E7F"/>
    <w:multiLevelType w:val="multilevel"/>
    <w:tmpl w:val="A22C10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346536B4"/>
    <w:multiLevelType w:val="multilevel"/>
    <w:tmpl w:val="B2501A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5860C7C"/>
    <w:multiLevelType w:val="multilevel"/>
    <w:tmpl w:val="4C68A0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7E05C56"/>
    <w:multiLevelType w:val="multilevel"/>
    <w:tmpl w:val="28D61B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383F79CB"/>
    <w:multiLevelType w:val="multilevel"/>
    <w:tmpl w:val="7276BA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A2443BD"/>
    <w:multiLevelType w:val="multilevel"/>
    <w:tmpl w:val="BF2EDE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A2D7ED1"/>
    <w:multiLevelType w:val="multilevel"/>
    <w:tmpl w:val="E348EA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3B781F47"/>
    <w:multiLevelType w:val="multilevel"/>
    <w:tmpl w:val="24D093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43404261"/>
    <w:multiLevelType w:val="multilevel"/>
    <w:tmpl w:val="A260CF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47ED12A6"/>
    <w:multiLevelType w:val="multilevel"/>
    <w:tmpl w:val="490235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4F9F4FF7"/>
    <w:multiLevelType w:val="multilevel"/>
    <w:tmpl w:val="083AD5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4FEC4E84"/>
    <w:multiLevelType w:val="multilevel"/>
    <w:tmpl w:val="A7CE1C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501447DE"/>
    <w:multiLevelType w:val="multilevel"/>
    <w:tmpl w:val="CA5E14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51432E63"/>
    <w:multiLevelType w:val="multilevel"/>
    <w:tmpl w:val="6F545B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52861A12"/>
    <w:multiLevelType w:val="multilevel"/>
    <w:tmpl w:val="9CE45D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5701170F"/>
    <w:multiLevelType w:val="multilevel"/>
    <w:tmpl w:val="7EEED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59B07D3D"/>
    <w:multiLevelType w:val="multilevel"/>
    <w:tmpl w:val="A35468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59EB45CD"/>
    <w:multiLevelType w:val="multilevel"/>
    <w:tmpl w:val="1DE2A7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5BC83F2E"/>
    <w:multiLevelType w:val="multilevel"/>
    <w:tmpl w:val="36E097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61B405B5"/>
    <w:multiLevelType w:val="multilevel"/>
    <w:tmpl w:val="3BE42E3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61EC68A9"/>
    <w:multiLevelType w:val="multilevel"/>
    <w:tmpl w:val="C79AF1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64E028DA"/>
    <w:multiLevelType w:val="multilevel"/>
    <w:tmpl w:val="E4E007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68F4161A"/>
    <w:multiLevelType w:val="multilevel"/>
    <w:tmpl w:val="3F727AAC"/>
    <w:lvl w:ilvl="0">
      <w:start w:val="1"/>
      <w:numFmt w:val="decimal"/>
      <w:lvlText w:val="%1."/>
      <w:lvlJc w:val="left"/>
      <w:pPr>
        <w:ind w:left="600" w:hanging="360"/>
      </w:pPr>
      <w:rPr>
        <w:rFonts w:ascii="Arial" w:eastAsia="Arial" w:hAnsi="Arial" w:cs="Arial"/>
        <w:b/>
        <w:bCs/>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6D2164A4"/>
    <w:multiLevelType w:val="multilevel"/>
    <w:tmpl w:val="58F63F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71786BA3"/>
    <w:multiLevelType w:val="multilevel"/>
    <w:tmpl w:val="57A242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7221231F"/>
    <w:multiLevelType w:val="multilevel"/>
    <w:tmpl w:val="3D205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749C583F"/>
    <w:multiLevelType w:val="multilevel"/>
    <w:tmpl w:val="7D5A80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77507A47"/>
    <w:multiLevelType w:val="multilevel"/>
    <w:tmpl w:val="9AB0F6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779865F8"/>
    <w:multiLevelType w:val="multilevel"/>
    <w:tmpl w:val="6A6ADF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78005A70"/>
    <w:multiLevelType w:val="multilevel"/>
    <w:tmpl w:val="729ADE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78856137"/>
    <w:multiLevelType w:val="multilevel"/>
    <w:tmpl w:val="9DFA18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78DB3CA7"/>
    <w:multiLevelType w:val="multilevel"/>
    <w:tmpl w:val="0EF64D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7ADD395C"/>
    <w:multiLevelType w:val="multilevel"/>
    <w:tmpl w:val="9230AE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7F9C4D4F"/>
    <w:multiLevelType w:val="multilevel"/>
    <w:tmpl w:val="18DE46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51179319">
    <w:abstractNumId w:val="46"/>
  </w:num>
  <w:num w:numId="2" w16cid:durableId="1346711949">
    <w:abstractNumId w:val="47"/>
  </w:num>
  <w:num w:numId="3" w16cid:durableId="84157594">
    <w:abstractNumId w:val="45"/>
  </w:num>
  <w:num w:numId="4" w16cid:durableId="240677150">
    <w:abstractNumId w:val="2"/>
  </w:num>
  <w:num w:numId="5" w16cid:durableId="1147934380">
    <w:abstractNumId w:val="4"/>
  </w:num>
  <w:num w:numId="6" w16cid:durableId="1600942409">
    <w:abstractNumId w:val="24"/>
  </w:num>
  <w:num w:numId="7" w16cid:durableId="68429852">
    <w:abstractNumId w:val="11"/>
  </w:num>
  <w:num w:numId="8" w16cid:durableId="838621340">
    <w:abstractNumId w:val="12"/>
  </w:num>
  <w:num w:numId="9" w16cid:durableId="1191841900">
    <w:abstractNumId w:val="29"/>
  </w:num>
  <w:num w:numId="10" w16cid:durableId="1610509373">
    <w:abstractNumId w:val="33"/>
  </w:num>
  <w:num w:numId="11" w16cid:durableId="412090768">
    <w:abstractNumId w:val="52"/>
  </w:num>
  <w:num w:numId="12" w16cid:durableId="390037238">
    <w:abstractNumId w:val="32"/>
  </w:num>
  <w:num w:numId="13" w16cid:durableId="355497197">
    <w:abstractNumId w:val="49"/>
  </w:num>
  <w:num w:numId="14" w16cid:durableId="1334183132">
    <w:abstractNumId w:val="39"/>
  </w:num>
  <w:num w:numId="15" w16cid:durableId="29382171">
    <w:abstractNumId w:val="14"/>
  </w:num>
  <w:num w:numId="16" w16cid:durableId="2024278800">
    <w:abstractNumId w:val="19"/>
  </w:num>
  <w:num w:numId="17" w16cid:durableId="368796567">
    <w:abstractNumId w:val="30"/>
  </w:num>
  <w:num w:numId="18" w16cid:durableId="160895891">
    <w:abstractNumId w:val="5"/>
  </w:num>
  <w:num w:numId="19" w16cid:durableId="121311566">
    <w:abstractNumId w:val="22"/>
  </w:num>
  <w:num w:numId="20" w16cid:durableId="309941272">
    <w:abstractNumId w:val="41"/>
  </w:num>
  <w:num w:numId="21" w16cid:durableId="137192212">
    <w:abstractNumId w:val="38"/>
  </w:num>
  <w:num w:numId="22" w16cid:durableId="1736319812">
    <w:abstractNumId w:val="26"/>
  </w:num>
  <w:num w:numId="23" w16cid:durableId="1955206727">
    <w:abstractNumId w:val="25"/>
  </w:num>
  <w:num w:numId="24" w16cid:durableId="1287201966">
    <w:abstractNumId w:val="34"/>
  </w:num>
  <w:num w:numId="25" w16cid:durableId="970936902">
    <w:abstractNumId w:val="51"/>
  </w:num>
  <w:num w:numId="26" w16cid:durableId="743331197">
    <w:abstractNumId w:val="28"/>
  </w:num>
  <w:num w:numId="27" w16cid:durableId="1229727622">
    <w:abstractNumId w:val="6"/>
  </w:num>
  <w:num w:numId="28" w16cid:durableId="451246311">
    <w:abstractNumId w:val="1"/>
  </w:num>
  <w:num w:numId="29" w16cid:durableId="679963364">
    <w:abstractNumId w:val="44"/>
  </w:num>
  <w:num w:numId="30" w16cid:durableId="1698579235">
    <w:abstractNumId w:val="40"/>
  </w:num>
  <w:num w:numId="31" w16cid:durableId="169108818">
    <w:abstractNumId w:val="10"/>
  </w:num>
  <w:num w:numId="32" w16cid:durableId="195197990">
    <w:abstractNumId w:val="27"/>
  </w:num>
  <w:num w:numId="33" w16cid:durableId="267196910">
    <w:abstractNumId w:val="43"/>
  </w:num>
  <w:num w:numId="34" w16cid:durableId="177819378">
    <w:abstractNumId w:val="15"/>
  </w:num>
  <w:num w:numId="35" w16cid:durableId="866412035">
    <w:abstractNumId w:val="50"/>
  </w:num>
  <w:num w:numId="36" w16cid:durableId="1148597151">
    <w:abstractNumId w:val="31"/>
  </w:num>
  <w:num w:numId="37" w16cid:durableId="1328435257">
    <w:abstractNumId w:val="48"/>
  </w:num>
  <w:num w:numId="38" w16cid:durableId="681585532">
    <w:abstractNumId w:val="3"/>
  </w:num>
  <w:num w:numId="39" w16cid:durableId="1756853005">
    <w:abstractNumId w:val="35"/>
  </w:num>
  <w:num w:numId="40" w16cid:durableId="593828074">
    <w:abstractNumId w:val="0"/>
  </w:num>
  <w:num w:numId="41" w16cid:durableId="335039437">
    <w:abstractNumId w:val="21"/>
  </w:num>
  <w:num w:numId="42" w16cid:durableId="1026372353">
    <w:abstractNumId w:val="23"/>
  </w:num>
  <w:num w:numId="43" w16cid:durableId="605694151">
    <w:abstractNumId w:val="13"/>
  </w:num>
  <w:num w:numId="44" w16cid:durableId="1938555893">
    <w:abstractNumId w:val="53"/>
  </w:num>
  <w:num w:numId="45" w16cid:durableId="125125379">
    <w:abstractNumId w:val="37"/>
  </w:num>
  <w:num w:numId="46" w16cid:durableId="1806002752">
    <w:abstractNumId w:val="36"/>
  </w:num>
  <w:num w:numId="47" w16cid:durableId="233130442">
    <w:abstractNumId w:val="20"/>
  </w:num>
  <w:num w:numId="48" w16cid:durableId="1139685979">
    <w:abstractNumId w:val="7"/>
  </w:num>
  <w:num w:numId="49" w16cid:durableId="1421870394">
    <w:abstractNumId w:val="17"/>
  </w:num>
  <w:num w:numId="50" w16cid:durableId="1542093187">
    <w:abstractNumId w:val="9"/>
  </w:num>
  <w:num w:numId="51" w16cid:durableId="1826244312">
    <w:abstractNumId w:val="16"/>
  </w:num>
  <w:num w:numId="52" w16cid:durableId="2032609956">
    <w:abstractNumId w:val="18"/>
  </w:num>
  <w:num w:numId="53" w16cid:durableId="1916474951">
    <w:abstractNumId w:val="8"/>
  </w:num>
  <w:num w:numId="54" w16cid:durableId="11995151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A5"/>
    <w:rsid w:val="00046DA4"/>
    <w:rsid w:val="00073195"/>
    <w:rsid w:val="000D12CF"/>
    <w:rsid w:val="001070D4"/>
    <w:rsid w:val="00116C70"/>
    <w:rsid w:val="0014475F"/>
    <w:rsid w:val="001A5FF9"/>
    <w:rsid w:val="001B1698"/>
    <w:rsid w:val="001C2717"/>
    <w:rsid w:val="001E4A2F"/>
    <w:rsid w:val="0021153C"/>
    <w:rsid w:val="002347D3"/>
    <w:rsid w:val="002F34D6"/>
    <w:rsid w:val="00322813"/>
    <w:rsid w:val="00324869"/>
    <w:rsid w:val="003838A9"/>
    <w:rsid w:val="003924B8"/>
    <w:rsid w:val="003D4516"/>
    <w:rsid w:val="004A75B4"/>
    <w:rsid w:val="005C3C01"/>
    <w:rsid w:val="005D05F6"/>
    <w:rsid w:val="005E21D1"/>
    <w:rsid w:val="00623AAB"/>
    <w:rsid w:val="00671F59"/>
    <w:rsid w:val="00694919"/>
    <w:rsid w:val="006B7C25"/>
    <w:rsid w:val="006E0EA1"/>
    <w:rsid w:val="00724ACE"/>
    <w:rsid w:val="007F0636"/>
    <w:rsid w:val="00857D47"/>
    <w:rsid w:val="008800BE"/>
    <w:rsid w:val="00896BEB"/>
    <w:rsid w:val="008C7A18"/>
    <w:rsid w:val="00993466"/>
    <w:rsid w:val="009B74E1"/>
    <w:rsid w:val="00A029DB"/>
    <w:rsid w:val="00A278B0"/>
    <w:rsid w:val="00A80D54"/>
    <w:rsid w:val="00AA69D9"/>
    <w:rsid w:val="00AC3923"/>
    <w:rsid w:val="00AF4882"/>
    <w:rsid w:val="00B16F31"/>
    <w:rsid w:val="00B37FC8"/>
    <w:rsid w:val="00BE072C"/>
    <w:rsid w:val="00C56A5E"/>
    <w:rsid w:val="00C87AC7"/>
    <w:rsid w:val="00CB14A5"/>
    <w:rsid w:val="00CC21F0"/>
    <w:rsid w:val="00CC5010"/>
    <w:rsid w:val="00CF0005"/>
    <w:rsid w:val="00D11F02"/>
    <w:rsid w:val="00D3477D"/>
    <w:rsid w:val="00DB40B6"/>
    <w:rsid w:val="00DF6388"/>
    <w:rsid w:val="00E84F90"/>
    <w:rsid w:val="00EC6584"/>
    <w:rsid w:val="00ED1089"/>
    <w:rsid w:val="00FB34A5"/>
    <w:rsid w:val="00FE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BD2907E"/>
  <w15:chartTrackingRefBased/>
  <w15:docId w15:val="{CDB106A4-5CAA-418D-BA0D-93047DD4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Google Sans Text"/>
        <w:color w:val="1B1C1D"/>
        <w:kern w:val="2"/>
        <w:sz w:val="24"/>
        <w:lang w:val="en-US"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10"/>
    <w:pPr>
      <w:jc w:val="both"/>
    </w:pPr>
    <w:rPr>
      <w:lang w:val="sq-AL"/>
    </w:rPr>
  </w:style>
  <w:style w:type="paragraph" w:styleId="Heading1">
    <w:name w:val="heading 1"/>
    <w:basedOn w:val="Normal"/>
    <w:next w:val="Normal"/>
    <w:link w:val="Heading1Char"/>
    <w:autoRedefine/>
    <w:uiPriority w:val="9"/>
    <w:qFormat/>
    <w:rsid w:val="00CB14A5"/>
    <w:pPr>
      <w:widowControl w:val="0"/>
      <w:pBdr>
        <w:top w:val="nil"/>
        <w:left w:val="nil"/>
        <w:bottom w:val="nil"/>
        <w:right w:val="nil"/>
        <w:between w:val="nil"/>
      </w:pBdr>
      <w:spacing w:before="240"/>
      <w:jc w:val="center"/>
      <w:outlineLvl w:val="0"/>
    </w:pPr>
    <w:rPr>
      <w:rFonts w:ascii="Arial" w:eastAsia="Arial" w:hAnsi="Arial" w:cs="Arial"/>
      <w:b/>
      <w:color w:val="auto"/>
      <w:sz w:val="28"/>
      <w:szCs w:val="48"/>
    </w:rPr>
  </w:style>
  <w:style w:type="paragraph" w:styleId="Heading2">
    <w:name w:val="heading 2"/>
    <w:basedOn w:val="Normal"/>
    <w:next w:val="Normal"/>
    <w:link w:val="Heading2Char"/>
    <w:autoRedefine/>
    <w:uiPriority w:val="9"/>
    <w:unhideWhenUsed/>
    <w:qFormat/>
    <w:rsid w:val="003838A9"/>
    <w:pPr>
      <w:widowControl w:val="0"/>
      <w:pBdr>
        <w:top w:val="nil"/>
        <w:left w:val="nil"/>
        <w:bottom w:val="nil"/>
        <w:right w:val="nil"/>
        <w:between w:val="nil"/>
      </w:pBdr>
      <w:spacing w:before="225" w:after="225"/>
      <w:jc w:val="center"/>
      <w:outlineLvl w:val="1"/>
    </w:pPr>
    <w:rPr>
      <w:rFonts w:ascii="Arial" w:eastAsia="Arial" w:hAnsi="Arial" w:cs="Arial"/>
      <w:b/>
      <w:color w:val="auto"/>
      <w:sz w:val="26"/>
      <w:szCs w:val="36"/>
    </w:rPr>
  </w:style>
  <w:style w:type="paragraph" w:styleId="Heading3">
    <w:name w:val="heading 3"/>
    <w:basedOn w:val="Normal"/>
    <w:next w:val="Normal"/>
    <w:link w:val="Heading3Char"/>
    <w:autoRedefine/>
    <w:uiPriority w:val="9"/>
    <w:unhideWhenUsed/>
    <w:qFormat/>
    <w:rsid w:val="005E21D1"/>
    <w:pPr>
      <w:keepNext/>
      <w:keepLines/>
      <w:spacing w:before="160" w:after="80"/>
      <w:outlineLvl w:val="2"/>
    </w:pPr>
    <w:rPr>
      <w:rFonts w:ascii="Arial" w:eastAsiaTheme="majorEastAsia" w:hAnsi="Arial"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14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1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4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4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4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A5"/>
    <w:rPr>
      <w:rFonts w:ascii="Arial" w:eastAsia="Arial" w:hAnsi="Arial" w:cs="Arial"/>
      <w:b/>
      <w:color w:val="auto"/>
      <w:sz w:val="28"/>
      <w:szCs w:val="48"/>
      <w:lang w:val="sq-AL"/>
    </w:rPr>
  </w:style>
  <w:style w:type="character" w:customStyle="1" w:styleId="Heading2Char">
    <w:name w:val="Heading 2 Char"/>
    <w:basedOn w:val="DefaultParagraphFont"/>
    <w:link w:val="Heading2"/>
    <w:uiPriority w:val="9"/>
    <w:rsid w:val="003838A9"/>
    <w:rPr>
      <w:rFonts w:ascii="Arial" w:eastAsia="Arial" w:hAnsi="Arial" w:cs="Arial"/>
      <w:b/>
      <w:color w:val="auto"/>
      <w:sz w:val="26"/>
      <w:szCs w:val="36"/>
      <w:lang w:val="sq-AL"/>
    </w:rPr>
  </w:style>
  <w:style w:type="paragraph" w:styleId="FootnoteText">
    <w:name w:val="footnote text"/>
    <w:basedOn w:val="Normal"/>
    <w:link w:val="FootnoteTextChar"/>
    <w:autoRedefine/>
    <w:uiPriority w:val="99"/>
    <w:semiHidden/>
    <w:unhideWhenUsed/>
    <w:qFormat/>
    <w:rsid w:val="003924B8"/>
    <w:pPr>
      <w:spacing w:after="0" w:line="240" w:lineRule="auto"/>
    </w:pPr>
  </w:style>
  <w:style w:type="character" w:customStyle="1" w:styleId="FootnoteTextChar">
    <w:name w:val="Footnote Text Char"/>
    <w:basedOn w:val="DefaultParagraphFont"/>
    <w:link w:val="FootnoteText"/>
    <w:uiPriority w:val="99"/>
    <w:semiHidden/>
    <w:rsid w:val="003924B8"/>
  </w:style>
  <w:style w:type="character" w:customStyle="1" w:styleId="Heading3Char">
    <w:name w:val="Heading 3 Char"/>
    <w:basedOn w:val="DefaultParagraphFont"/>
    <w:link w:val="Heading3"/>
    <w:uiPriority w:val="9"/>
    <w:rsid w:val="005E21D1"/>
    <w:rPr>
      <w:rFonts w:ascii="Arial" w:eastAsiaTheme="majorEastAsia" w:hAnsi="Arial" w:cstheme="majorBidi"/>
      <w:color w:val="0F4761" w:themeColor="accent1" w:themeShade="BF"/>
      <w:sz w:val="28"/>
      <w:szCs w:val="28"/>
      <w:lang w:val="sq-AL"/>
    </w:rPr>
  </w:style>
  <w:style w:type="character" w:customStyle="1" w:styleId="Heading4Char">
    <w:name w:val="Heading 4 Char"/>
    <w:basedOn w:val="DefaultParagraphFont"/>
    <w:link w:val="Heading4"/>
    <w:uiPriority w:val="9"/>
    <w:semiHidden/>
    <w:rsid w:val="00CB14A5"/>
    <w:rPr>
      <w:rFonts w:asciiTheme="minorHAnsi" w:eastAsiaTheme="majorEastAsia" w:hAnsiTheme="minorHAnsi" w:cstheme="majorBidi"/>
      <w:i/>
      <w:iCs/>
      <w:color w:val="0F4761" w:themeColor="accent1" w:themeShade="BF"/>
      <w:lang w:val="sq-AL"/>
    </w:rPr>
  </w:style>
  <w:style w:type="character" w:customStyle="1" w:styleId="Heading5Char">
    <w:name w:val="Heading 5 Char"/>
    <w:basedOn w:val="DefaultParagraphFont"/>
    <w:link w:val="Heading5"/>
    <w:uiPriority w:val="9"/>
    <w:semiHidden/>
    <w:rsid w:val="00CB14A5"/>
    <w:rPr>
      <w:rFonts w:asciiTheme="minorHAnsi" w:eastAsiaTheme="majorEastAsia" w:hAnsiTheme="minorHAnsi" w:cstheme="majorBidi"/>
      <w:color w:val="0F4761" w:themeColor="accent1" w:themeShade="BF"/>
      <w:lang w:val="sq-AL"/>
    </w:rPr>
  </w:style>
  <w:style w:type="character" w:customStyle="1" w:styleId="Heading6Char">
    <w:name w:val="Heading 6 Char"/>
    <w:basedOn w:val="DefaultParagraphFont"/>
    <w:link w:val="Heading6"/>
    <w:uiPriority w:val="9"/>
    <w:semiHidden/>
    <w:rsid w:val="00CB14A5"/>
    <w:rPr>
      <w:rFonts w:asciiTheme="minorHAnsi" w:eastAsiaTheme="majorEastAsia" w:hAnsiTheme="minorHAnsi" w:cstheme="majorBidi"/>
      <w:i/>
      <w:iCs/>
      <w:color w:val="595959" w:themeColor="text1" w:themeTint="A6"/>
      <w:lang w:val="sq-AL"/>
    </w:rPr>
  </w:style>
  <w:style w:type="character" w:customStyle="1" w:styleId="Heading7Char">
    <w:name w:val="Heading 7 Char"/>
    <w:basedOn w:val="DefaultParagraphFont"/>
    <w:link w:val="Heading7"/>
    <w:uiPriority w:val="9"/>
    <w:semiHidden/>
    <w:rsid w:val="00CB14A5"/>
    <w:rPr>
      <w:rFonts w:asciiTheme="minorHAnsi" w:eastAsiaTheme="majorEastAsia" w:hAnsiTheme="minorHAnsi" w:cstheme="majorBidi"/>
      <w:color w:val="595959" w:themeColor="text1" w:themeTint="A6"/>
      <w:lang w:val="sq-AL"/>
    </w:rPr>
  </w:style>
  <w:style w:type="character" w:customStyle="1" w:styleId="Heading8Char">
    <w:name w:val="Heading 8 Char"/>
    <w:basedOn w:val="DefaultParagraphFont"/>
    <w:link w:val="Heading8"/>
    <w:uiPriority w:val="9"/>
    <w:semiHidden/>
    <w:rsid w:val="00CB14A5"/>
    <w:rPr>
      <w:rFonts w:asciiTheme="minorHAnsi" w:eastAsiaTheme="majorEastAsia" w:hAnsiTheme="minorHAnsi" w:cstheme="majorBidi"/>
      <w:i/>
      <w:iCs/>
      <w:color w:val="272727" w:themeColor="text1" w:themeTint="D8"/>
      <w:lang w:val="sq-AL"/>
    </w:rPr>
  </w:style>
  <w:style w:type="character" w:customStyle="1" w:styleId="Heading9Char">
    <w:name w:val="Heading 9 Char"/>
    <w:basedOn w:val="DefaultParagraphFont"/>
    <w:link w:val="Heading9"/>
    <w:uiPriority w:val="9"/>
    <w:semiHidden/>
    <w:rsid w:val="00CB14A5"/>
    <w:rPr>
      <w:rFonts w:asciiTheme="minorHAnsi" w:eastAsiaTheme="majorEastAsia" w:hAnsiTheme="minorHAnsi" w:cstheme="majorBidi"/>
      <w:color w:val="272727" w:themeColor="text1" w:themeTint="D8"/>
      <w:lang w:val="sq-AL"/>
    </w:rPr>
  </w:style>
  <w:style w:type="paragraph" w:styleId="Title">
    <w:name w:val="Title"/>
    <w:basedOn w:val="Normal"/>
    <w:next w:val="Normal"/>
    <w:link w:val="TitleChar"/>
    <w:uiPriority w:val="10"/>
    <w:qFormat/>
    <w:rsid w:val="00CB14A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B14A5"/>
    <w:rPr>
      <w:rFonts w:asciiTheme="majorHAnsi" w:eastAsiaTheme="majorEastAsia" w:hAnsiTheme="majorHAnsi" w:cstheme="majorBidi"/>
      <w:color w:val="auto"/>
      <w:spacing w:val="-10"/>
      <w:kern w:val="28"/>
      <w:sz w:val="56"/>
      <w:szCs w:val="56"/>
      <w:lang w:val="sq-AL"/>
    </w:rPr>
  </w:style>
  <w:style w:type="paragraph" w:styleId="Subtitle">
    <w:name w:val="Subtitle"/>
    <w:basedOn w:val="Normal"/>
    <w:next w:val="Normal"/>
    <w:link w:val="SubtitleChar"/>
    <w:uiPriority w:val="11"/>
    <w:qFormat/>
    <w:rsid w:val="00CB14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4A5"/>
    <w:rPr>
      <w:rFonts w:asciiTheme="minorHAnsi" w:eastAsiaTheme="majorEastAsia" w:hAnsiTheme="minorHAnsi"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CB14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4A5"/>
    <w:rPr>
      <w:i/>
      <w:iCs/>
      <w:color w:val="404040" w:themeColor="text1" w:themeTint="BF"/>
      <w:lang w:val="sq-AL"/>
    </w:rPr>
  </w:style>
  <w:style w:type="paragraph" w:styleId="ListParagraph">
    <w:name w:val="List Paragraph"/>
    <w:basedOn w:val="Normal"/>
    <w:uiPriority w:val="34"/>
    <w:qFormat/>
    <w:rsid w:val="00CB14A5"/>
    <w:pPr>
      <w:ind w:left="720"/>
      <w:contextualSpacing/>
    </w:pPr>
  </w:style>
  <w:style w:type="character" w:styleId="IntenseEmphasis">
    <w:name w:val="Intense Emphasis"/>
    <w:basedOn w:val="DefaultParagraphFont"/>
    <w:uiPriority w:val="21"/>
    <w:qFormat/>
    <w:rsid w:val="00CB14A5"/>
    <w:rPr>
      <w:i/>
      <w:iCs/>
      <w:color w:val="0F4761" w:themeColor="accent1" w:themeShade="BF"/>
    </w:rPr>
  </w:style>
  <w:style w:type="paragraph" w:styleId="IntenseQuote">
    <w:name w:val="Intense Quote"/>
    <w:basedOn w:val="Normal"/>
    <w:next w:val="Normal"/>
    <w:link w:val="IntenseQuoteChar"/>
    <w:uiPriority w:val="30"/>
    <w:qFormat/>
    <w:rsid w:val="00CB1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4A5"/>
    <w:rPr>
      <w:i/>
      <w:iCs/>
      <w:color w:val="0F4761" w:themeColor="accent1" w:themeShade="BF"/>
      <w:lang w:val="sq-AL"/>
    </w:rPr>
  </w:style>
  <w:style w:type="character" w:styleId="IntenseReference">
    <w:name w:val="Intense Reference"/>
    <w:basedOn w:val="DefaultParagraphFont"/>
    <w:uiPriority w:val="32"/>
    <w:qFormat/>
    <w:rsid w:val="00CB14A5"/>
    <w:rPr>
      <w:b/>
      <w:bCs/>
      <w:smallCaps/>
      <w:color w:val="0F4761" w:themeColor="accent1" w:themeShade="BF"/>
      <w:spacing w:val="5"/>
    </w:rPr>
  </w:style>
  <w:style w:type="paragraph" w:styleId="Header">
    <w:name w:val="header"/>
    <w:basedOn w:val="Normal"/>
    <w:link w:val="HeaderChar"/>
    <w:uiPriority w:val="99"/>
    <w:unhideWhenUsed/>
    <w:rsid w:val="00B16F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F31"/>
    <w:rPr>
      <w:lang w:val="sq-AL"/>
    </w:rPr>
  </w:style>
  <w:style w:type="paragraph" w:styleId="Footer">
    <w:name w:val="footer"/>
    <w:basedOn w:val="Normal"/>
    <w:link w:val="FooterChar"/>
    <w:uiPriority w:val="99"/>
    <w:unhideWhenUsed/>
    <w:rsid w:val="00B16F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F31"/>
    <w:rPr>
      <w:lang w:val="sq-AL"/>
    </w:rPr>
  </w:style>
  <w:style w:type="paragraph" w:styleId="TOCHeading">
    <w:name w:val="TOC Heading"/>
    <w:basedOn w:val="Heading1"/>
    <w:next w:val="Normal"/>
    <w:uiPriority w:val="39"/>
    <w:unhideWhenUsed/>
    <w:qFormat/>
    <w:rsid w:val="00B37FC8"/>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37FC8"/>
    <w:pPr>
      <w:spacing w:after="100"/>
    </w:pPr>
  </w:style>
  <w:style w:type="paragraph" w:styleId="TOC2">
    <w:name w:val="toc 2"/>
    <w:basedOn w:val="Normal"/>
    <w:next w:val="Normal"/>
    <w:autoRedefine/>
    <w:uiPriority w:val="39"/>
    <w:unhideWhenUsed/>
    <w:rsid w:val="00B37FC8"/>
    <w:pPr>
      <w:spacing w:after="100"/>
      <w:ind w:left="240"/>
    </w:pPr>
  </w:style>
  <w:style w:type="character" w:styleId="Hyperlink">
    <w:name w:val="Hyperlink"/>
    <w:basedOn w:val="DefaultParagraphFont"/>
    <w:uiPriority w:val="99"/>
    <w:unhideWhenUsed/>
    <w:rsid w:val="00B37FC8"/>
    <w:rPr>
      <w:color w:val="467886" w:themeColor="hyperlink"/>
      <w:u w:val="single"/>
    </w:rPr>
  </w:style>
  <w:style w:type="paragraph" w:styleId="NormalWeb">
    <w:name w:val="Normal (Web)"/>
    <w:basedOn w:val="Normal"/>
    <w:uiPriority w:val="99"/>
    <w:semiHidden/>
    <w:unhideWhenUsed/>
    <w:rsid w:val="0014475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28971">
      <w:bodyDiv w:val="1"/>
      <w:marLeft w:val="0"/>
      <w:marRight w:val="0"/>
      <w:marTop w:val="0"/>
      <w:marBottom w:val="0"/>
      <w:divBdr>
        <w:top w:val="none" w:sz="0" w:space="0" w:color="auto"/>
        <w:left w:val="none" w:sz="0" w:space="0" w:color="auto"/>
        <w:bottom w:val="none" w:sz="0" w:space="0" w:color="auto"/>
        <w:right w:val="none" w:sz="0" w:space="0" w:color="auto"/>
      </w:divBdr>
    </w:div>
    <w:div w:id="659506426">
      <w:bodyDiv w:val="1"/>
      <w:marLeft w:val="0"/>
      <w:marRight w:val="0"/>
      <w:marTop w:val="0"/>
      <w:marBottom w:val="0"/>
      <w:divBdr>
        <w:top w:val="none" w:sz="0" w:space="0" w:color="auto"/>
        <w:left w:val="none" w:sz="0" w:space="0" w:color="auto"/>
        <w:bottom w:val="none" w:sz="0" w:space="0" w:color="auto"/>
        <w:right w:val="none" w:sz="0" w:space="0" w:color="auto"/>
      </w:divBdr>
      <w:divsChild>
        <w:div w:id="972636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327543">
      <w:bodyDiv w:val="1"/>
      <w:marLeft w:val="0"/>
      <w:marRight w:val="0"/>
      <w:marTop w:val="0"/>
      <w:marBottom w:val="0"/>
      <w:divBdr>
        <w:top w:val="none" w:sz="0" w:space="0" w:color="auto"/>
        <w:left w:val="none" w:sz="0" w:space="0" w:color="auto"/>
        <w:bottom w:val="none" w:sz="0" w:space="0" w:color="auto"/>
        <w:right w:val="none" w:sz="0" w:space="0" w:color="auto"/>
      </w:divBdr>
    </w:div>
    <w:div w:id="830372452">
      <w:bodyDiv w:val="1"/>
      <w:marLeft w:val="0"/>
      <w:marRight w:val="0"/>
      <w:marTop w:val="0"/>
      <w:marBottom w:val="0"/>
      <w:divBdr>
        <w:top w:val="none" w:sz="0" w:space="0" w:color="auto"/>
        <w:left w:val="none" w:sz="0" w:space="0" w:color="auto"/>
        <w:bottom w:val="none" w:sz="0" w:space="0" w:color="auto"/>
        <w:right w:val="none" w:sz="0" w:space="0" w:color="auto"/>
      </w:divBdr>
    </w:div>
    <w:div w:id="884297705">
      <w:bodyDiv w:val="1"/>
      <w:marLeft w:val="0"/>
      <w:marRight w:val="0"/>
      <w:marTop w:val="0"/>
      <w:marBottom w:val="0"/>
      <w:divBdr>
        <w:top w:val="none" w:sz="0" w:space="0" w:color="auto"/>
        <w:left w:val="none" w:sz="0" w:space="0" w:color="auto"/>
        <w:bottom w:val="none" w:sz="0" w:space="0" w:color="auto"/>
        <w:right w:val="none" w:sz="0" w:space="0" w:color="auto"/>
      </w:divBdr>
    </w:div>
    <w:div w:id="1158687826">
      <w:bodyDiv w:val="1"/>
      <w:marLeft w:val="0"/>
      <w:marRight w:val="0"/>
      <w:marTop w:val="0"/>
      <w:marBottom w:val="0"/>
      <w:divBdr>
        <w:top w:val="none" w:sz="0" w:space="0" w:color="auto"/>
        <w:left w:val="none" w:sz="0" w:space="0" w:color="auto"/>
        <w:bottom w:val="none" w:sz="0" w:space="0" w:color="auto"/>
        <w:right w:val="none" w:sz="0" w:space="0" w:color="auto"/>
      </w:divBdr>
      <w:divsChild>
        <w:div w:id="1418482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532529">
      <w:bodyDiv w:val="1"/>
      <w:marLeft w:val="0"/>
      <w:marRight w:val="0"/>
      <w:marTop w:val="0"/>
      <w:marBottom w:val="0"/>
      <w:divBdr>
        <w:top w:val="none" w:sz="0" w:space="0" w:color="auto"/>
        <w:left w:val="none" w:sz="0" w:space="0" w:color="auto"/>
        <w:bottom w:val="none" w:sz="0" w:space="0" w:color="auto"/>
        <w:right w:val="none" w:sz="0" w:space="0" w:color="auto"/>
      </w:divBdr>
    </w:div>
    <w:div w:id="1194881507">
      <w:bodyDiv w:val="1"/>
      <w:marLeft w:val="0"/>
      <w:marRight w:val="0"/>
      <w:marTop w:val="0"/>
      <w:marBottom w:val="0"/>
      <w:divBdr>
        <w:top w:val="none" w:sz="0" w:space="0" w:color="auto"/>
        <w:left w:val="none" w:sz="0" w:space="0" w:color="auto"/>
        <w:bottom w:val="none" w:sz="0" w:space="0" w:color="auto"/>
        <w:right w:val="none" w:sz="0" w:space="0" w:color="auto"/>
      </w:divBdr>
    </w:div>
    <w:div w:id="1564683296">
      <w:bodyDiv w:val="1"/>
      <w:marLeft w:val="0"/>
      <w:marRight w:val="0"/>
      <w:marTop w:val="0"/>
      <w:marBottom w:val="0"/>
      <w:divBdr>
        <w:top w:val="none" w:sz="0" w:space="0" w:color="auto"/>
        <w:left w:val="none" w:sz="0" w:space="0" w:color="auto"/>
        <w:bottom w:val="none" w:sz="0" w:space="0" w:color="auto"/>
        <w:right w:val="none" w:sz="0" w:space="0" w:color="auto"/>
      </w:divBdr>
    </w:div>
    <w:div w:id="1731925824">
      <w:bodyDiv w:val="1"/>
      <w:marLeft w:val="0"/>
      <w:marRight w:val="0"/>
      <w:marTop w:val="0"/>
      <w:marBottom w:val="0"/>
      <w:divBdr>
        <w:top w:val="none" w:sz="0" w:space="0" w:color="auto"/>
        <w:left w:val="none" w:sz="0" w:space="0" w:color="auto"/>
        <w:bottom w:val="none" w:sz="0" w:space="0" w:color="auto"/>
        <w:right w:val="none" w:sz="0" w:space="0" w:color="auto"/>
      </w:divBdr>
    </w:div>
    <w:div w:id="1835757711">
      <w:bodyDiv w:val="1"/>
      <w:marLeft w:val="0"/>
      <w:marRight w:val="0"/>
      <w:marTop w:val="0"/>
      <w:marBottom w:val="0"/>
      <w:divBdr>
        <w:top w:val="none" w:sz="0" w:space="0" w:color="auto"/>
        <w:left w:val="none" w:sz="0" w:space="0" w:color="auto"/>
        <w:bottom w:val="none" w:sz="0" w:space="0" w:color="auto"/>
        <w:right w:val="none" w:sz="0" w:space="0" w:color="auto"/>
      </w:divBdr>
    </w:div>
    <w:div w:id="186243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ruist.com/loans" TargetMode="External"/><Relationship Id="rId117" Type="http://schemas.openxmlformats.org/officeDocument/2006/relationships/hyperlink" Target="https://www.sbfnetwork.org/kosovo-banking-association-and-sbfn-co-host-sustainable-finance-forum/" TargetMode="External"/><Relationship Id="rId21" Type="http://schemas.openxmlformats.org/officeDocument/2006/relationships/hyperlink" Target="https://www.nerdwallet.com/article/loans/personal-loans/what-is-a-secured-loan" TargetMode="External"/><Relationship Id="rId42" Type="http://schemas.openxmlformats.org/officeDocument/2006/relationships/hyperlink" Target="https://www.usbank.com/business-banking/business-lending/sba-loans.html" TargetMode="External"/><Relationship Id="rId47" Type="http://schemas.openxmlformats.org/officeDocument/2006/relationships/hyperlink" Target="https://www.sba.gov/funding-programs/loans/504-loans" TargetMode="External"/><Relationship Id="rId63" Type="http://schemas.openxmlformats.org/officeDocument/2006/relationships/hyperlink" Target="https://www.imf.org/en/News/Articles/2025/03/20/pr2571-kosovo-review-sba-rsf" TargetMode="External"/><Relationship Id="rId68" Type="http://schemas.openxmlformats.org/officeDocument/2006/relationships/hyperlink" Target="https://procreditbank-kos.com/eng/apply-online/private-clients/kredi-personale/" TargetMode="External"/><Relationship Id="rId84" Type="http://schemas.openxmlformats.org/officeDocument/2006/relationships/hyperlink" Target="https://bqk-kos.org/news/the-governor-of-the-central-bank-of-the-republic-of-kosovo-met-with-the-leaders-of-the-kosovo-banking-association/?lang=en" TargetMode="External"/><Relationship Id="rId89" Type="http://schemas.openxmlformats.org/officeDocument/2006/relationships/hyperlink" Target="https://documents1.worldbank.org/curated/pt/171191561738338544/pdf/Concept-Program-Information-Document-PID-Kosovo-Public-Finances-and-Growth-DPF-P170113.pdf" TargetMode="External"/><Relationship Id="rId112" Type="http://schemas.openxmlformats.org/officeDocument/2006/relationships/hyperlink" Target="https://www.elibrary.imf.org/view/journals/002/2024/364/article-A002-en.xml" TargetMode="External"/><Relationship Id="rId16" Type="http://schemas.openxmlformats.org/officeDocument/2006/relationships/hyperlink" Target="https://www.consumerfinance.gov/owning-a-home/explore/understand-the-different-kinds-of-loans-available/" TargetMode="External"/><Relationship Id="rId107" Type="http://schemas.openxmlformats.org/officeDocument/2006/relationships/hyperlink" Target="https://www.raiffeisen-kosovo.com/en/personal/ways-to-bank/e-banking.html" TargetMode="External"/><Relationship Id="rId11" Type="http://schemas.openxmlformats.org/officeDocument/2006/relationships/hyperlink" Target="https://www.investopedia.com/terms/i/interestrate.asp" TargetMode="External"/><Relationship Id="rId32" Type="http://schemas.openxmlformats.org/officeDocument/2006/relationships/hyperlink" Target="https://research.com/student-loans/sallie-mae-student-loans-review" TargetMode="External"/><Relationship Id="rId37" Type="http://schemas.openxmlformats.org/officeDocument/2006/relationships/hyperlink" Target="https://www.salliemae.com/" TargetMode="External"/><Relationship Id="rId53" Type="http://schemas.openxmlformats.org/officeDocument/2006/relationships/hyperlink" Target="https://www.ey.com/en_be/insights/financial-services/how-embedded-finance-and-ai-impact-the-lending-sector" TargetMode="External"/><Relationship Id="rId58" Type="http://schemas.openxmlformats.org/officeDocument/2006/relationships/hyperlink" Target="https://www.devex.com/organizations/central-bank-of-the-republic-of-kosovo-128032" TargetMode="External"/><Relationship Id="rId74" Type="http://schemas.openxmlformats.org/officeDocument/2006/relationships/hyperlink" Target="https://www.raiffeisen-kosovo.com/en/corporate/transfers.html" TargetMode="External"/><Relationship Id="rId79" Type="http://schemas.openxmlformats.org/officeDocument/2006/relationships/hyperlink" Target="https://www.globalbankingandfinance.com/list-of-banks-in-kosovo" TargetMode="External"/><Relationship Id="rId102" Type="http://schemas.openxmlformats.org/officeDocument/2006/relationships/hyperlink" Target="https://procreditbank-kos.com/eng/news/get-a-personal-loan-of-up-to-10000-response-i-1755/" TargetMode="External"/><Relationship Id="rId5" Type="http://schemas.openxmlformats.org/officeDocument/2006/relationships/webSettings" Target="webSettings.xml"/><Relationship Id="rId90" Type="http://schemas.openxmlformats.org/officeDocument/2006/relationships/hyperlink" Target="https://documents1.worldbank.org/curated/en/171191561738338544/Concept-Program-Information-Document-PID-Kosovo-Public-Finances-and-Growth-DPF-P170113.docx" TargetMode="External"/><Relationship Id="rId95" Type="http://schemas.openxmlformats.org/officeDocument/2006/relationships/hyperlink" Target="https://www.ceicdata.com/en/indicator/kosovo/bank-lending-rate" TargetMode="External"/><Relationship Id="rId22" Type="http://schemas.openxmlformats.org/officeDocument/2006/relationships/hyperlink" Target="https://www.experian.com/blogs/ask-experian/what-does-it-mean-to-default-on-a-loan/" TargetMode="External"/><Relationship Id="rId27" Type="http://schemas.openxmlformats.org/officeDocument/2006/relationships/hyperlink" Target="https://www.investopedia.com/mortgage-process-explained-5213694" TargetMode="External"/><Relationship Id="rId43" Type="http://schemas.openxmlformats.org/officeDocument/2006/relationships/hyperlink" Target="https://www.sba.gov/funding-programs/loans/7a-loans" TargetMode="External"/><Relationship Id="rId48" Type="http://schemas.openxmlformats.org/officeDocument/2006/relationships/hyperlink" Target="https://www.investopedia.com/terms/o/origination.asp" TargetMode="External"/><Relationship Id="rId64" Type="http://schemas.openxmlformats.org/officeDocument/2006/relationships/hyperlink" Target="https://cps.rks-gov.net/wp-content/uploads/2020/09/LAW_NO._04_L-093_ON_BANKS_MICROFINANCE_INSTITUTIONS_AND_NON_BANK_FINANCIAL_INSTITUTIONS-1.pdf" TargetMode="External"/><Relationship Id="rId69" Type="http://schemas.openxmlformats.org/officeDocument/2006/relationships/hyperlink" Target="https://en.wikipedia.org/wiki/Banking_in_Kosovo" TargetMode="External"/><Relationship Id="rId113" Type="http://schemas.openxmlformats.org/officeDocument/2006/relationships/hyperlink" Target="https://ecommerce4all-ks.com/wp-content/uploads/sites/5/2022/08/law_no._04_l-121_on_consumer_protection.pdf" TargetMode="External"/><Relationship Id="rId118" Type="http://schemas.openxmlformats.org/officeDocument/2006/relationships/footer" Target="footer1.xml"/><Relationship Id="rId80" Type="http://schemas.openxmlformats.org/officeDocument/2006/relationships/hyperlink" Target="https://www.amik.org/Home/SetLanguage?returnUrl=/AMIK/Per-ne&amp;culture=sr-Latn-RS" TargetMode="External"/><Relationship Id="rId85" Type="http://schemas.openxmlformats.org/officeDocument/2006/relationships/hyperlink" Target="https://issuu.com/shbk/docs/27_-_the_kosovo_banker_2024_-_eng_" TargetMode="External"/><Relationship Id="rId12" Type="http://schemas.openxmlformats.org/officeDocument/2006/relationships/hyperlink" Target="https://www.investopedia.com/articles/investing/020614/learn-simple-and-compound-interest.asp" TargetMode="External"/><Relationship Id="rId17" Type="http://schemas.openxmlformats.org/officeDocument/2006/relationships/hyperlink" Target="https://www.nerdwallet.com/article/loans/personal-loans/secured-vs-unsecured-loans" TargetMode="External"/><Relationship Id="rId33" Type="http://schemas.openxmlformats.org/officeDocument/2006/relationships/hyperlink" Target="https://www.salliemae.com/college-planning/student-loans-and-borrowing/" TargetMode="External"/><Relationship Id="rId38" Type="http://schemas.openxmlformats.org/officeDocument/2006/relationships/hyperlink" Target="https://salliemakessense.com/who-sallie-mae-is-and-isnt/" TargetMode="External"/><Relationship Id="rId59" Type="http://schemas.openxmlformats.org/officeDocument/2006/relationships/hyperlink" Target="https://en.wikipedia.org/wiki/Central_Bank_of_Kosovo" TargetMode="External"/><Relationship Id="rId103" Type="http://schemas.openxmlformats.org/officeDocument/2006/relationships/hyperlink" Target="https://www.procreditbank-direct.com/kosovo/en/mobile" TargetMode="External"/><Relationship Id="rId108" Type="http://schemas.openxmlformats.org/officeDocument/2006/relationships/hyperlink" Target="https://procreditbank-kos.com/eng/business-clients/services/e-commerce/" TargetMode="External"/><Relationship Id="rId54" Type="http://schemas.openxmlformats.org/officeDocument/2006/relationships/hyperlink" Target="https://www.rapidinnovation.io/post/ai-in-loan-underwriting-use-cases-best-practices-and-future" TargetMode="External"/><Relationship Id="rId70" Type="http://schemas.openxmlformats.org/officeDocument/2006/relationships/hyperlink" Target="https://www.trade.gov/country-commercial-guides/kosovo-trade-financing" TargetMode="External"/><Relationship Id="rId75" Type="http://schemas.openxmlformats.org/officeDocument/2006/relationships/hyperlink" Target="https://www.raiffeisen-kosovo.com/en/about-us/raiffeisen-bank.html" TargetMode="External"/><Relationship Id="rId91" Type="http://schemas.openxmlformats.org/officeDocument/2006/relationships/hyperlink" Target="https://www.ebrd.com/content/dam/ebrd_dxp/assets/pdfs/office-of-the-chief-economist/transition-report-archive/transition-report-2024/country-assessments-2023-24/south-eastern-europe/Transition-Report-2024-25-Kosovo.pdf" TargetMode="External"/><Relationship Id="rId96" Type="http://schemas.openxmlformats.org/officeDocument/2006/relationships/hyperlink" Target="https://www.ceicdata.com/en/indicator/kosovo/total-loans-growth"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quifax.com/personal/education/personal-finance/articles/-/learn/what-is-reposession/" TargetMode="External"/><Relationship Id="rId28" Type="http://schemas.openxmlformats.org/officeDocument/2006/relationships/hyperlink" Target="https://www.experian.com/blogs/ask-experian/how-bad-is-it-to-default-on-a-car-loan/" TargetMode="External"/><Relationship Id="rId49" Type="http://schemas.openxmlformats.org/officeDocument/2006/relationships/hyperlink" Target="https://www.investopedia.com/terms/u/underwriting.asp" TargetMode="External"/><Relationship Id="rId114" Type="http://schemas.openxmlformats.org/officeDocument/2006/relationships/hyperlink" Target="https://www.researchgate.net/publication/333944016_The_Performance_of_Consumer_Loan_in_the_Period_2007-2017_Correlation_with_Consumption_and_Economic_Growth_The_Case_of_Kosovo" TargetMode="External"/><Relationship Id="rId119" Type="http://schemas.openxmlformats.org/officeDocument/2006/relationships/fontTable" Target="fontTable.xml"/><Relationship Id="rId10" Type="http://schemas.openxmlformats.org/officeDocument/2006/relationships/hyperlink" Target="https://www.investopedia.com/terms/p/principal.asp" TargetMode="External"/><Relationship Id="rId31" Type="http://schemas.openxmlformats.org/officeDocument/2006/relationships/hyperlink" Target="https://www.salliemae.com/blog/what-to-use-student-loans-for/" TargetMode="External"/><Relationship Id="rId44" Type="http://schemas.openxmlformats.org/officeDocument/2006/relationships/hyperlink" Target="https://gusto.com/resources/articles/business-finance/funding/sba-loans" TargetMode="External"/><Relationship Id="rId52" Type="http://schemas.openxmlformats.org/officeDocument/2006/relationships/hyperlink" Target="https://pubsonline.informs.org/do/10.1287/LYTX.2024.02.13/full/" TargetMode="External"/><Relationship Id="rId60" Type="http://schemas.openxmlformats.org/officeDocument/2006/relationships/hyperlink" Target="https://www.institutigap.org/documents/97679_BANK%20WATCH%20-%20English%20-%20Final1.pdf" TargetMode="External"/><Relationship Id="rId65" Type="http://schemas.openxmlformats.org/officeDocument/2006/relationships/hyperlink" Target="https://bqk-kos.org/news/bqk-anetaresohet-ne-organizaten-nderkombetare-per-mbrojtje-te-konsumatoreve-financiare-finconet/?lang=en" TargetMode="External"/><Relationship Id="rId73" Type="http://schemas.openxmlformats.org/officeDocument/2006/relationships/hyperlink" Target="https://en.wikipedia.org/wiki/List_of_banks_in_Kosovo" TargetMode="External"/><Relationship Id="rId78" Type="http://schemas.openxmlformats.org/officeDocument/2006/relationships/hyperlink" Target="https://bkt-ks.com/en/kosovo-banking-association/" TargetMode="External"/><Relationship Id="rId81" Type="http://schemas.openxmlformats.org/officeDocument/2006/relationships/hyperlink" Target="https://www.european-microfinance.org/organisation/amik-association-of-microfinance-institutions-of-kosovo/" TargetMode="External"/><Relationship Id="rId86" Type="http://schemas.openxmlformats.org/officeDocument/2006/relationships/hyperlink" Target="https://www.bankassoc-kos.com/En/komunikatat/?faqe=4" TargetMode="External"/><Relationship Id="rId94" Type="http://schemas.openxmlformats.org/officeDocument/2006/relationships/hyperlink" Target="https://www.elibrary.imf.org/downloadpdf/view/journals/018/2025/004/018.2025.issue-004-en.pdf" TargetMode="External"/><Relationship Id="rId99" Type="http://schemas.openxmlformats.org/officeDocument/2006/relationships/hyperlink" Target="https://www.procredit-holding.com/wp-content/uploads/2024/11/PCH-Q3-2024-Quarterly-Report-EN.pdf" TargetMode="External"/><Relationship Id="rId101" Type="http://schemas.openxmlformats.org/officeDocument/2006/relationships/hyperlink" Target="https://www.raiffeisen-kosovo.com/en/personal/products/loans/personal-loan.html" TargetMode="External"/><Relationship Id="rId4" Type="http://schemas.openxmlformats.org/officeDocument/2006/relationships/settings" Target="settings.xml"/><Relationship Id="rId9" Type="http://schemas.openxmlformats.org/officeDocument/2006/relationships/hyperlink" Target="https://www.investopedia.com/terms/l/loan.asp" TargetMode="External"/><Relationship Id="rId13" Type="http://schemas.openxmlformats.org/officeDocument/2006/relationships/hyperlink" Target="https://www.forbes.com/advisor/au/investing/compound-interest-in-australia/" TargetMode="External"/><Relationship Id="rId18" Type="http://schemas.openxmlformats.org/officeDocument/2006/relationships/hyperlink" Target="https://www.nerdwallet.com/article/loans/personal-loans/unsecured-personal-loans-no-collateral" TargetMode="External"/><Relationship Id="rId39" Type="http://schemas.openxmlformats.org/officeDocument/2006/relationships/hyperlink" Target="https://www.sba.gov/funding-programs/loans" TargetMode="External"/><Relationship Id="rId109" Type="http://schemas.openxmlformats.org/officeDocument/2006/relationships/hyperlink" Target="https://procreditbank-kos.com/eng/business-clients/accounts/" TargetMode="External"/><Relationship Id="rId34" Type="http://schemas.openxmlformats.org/officeDocument/2006/relationships/hyperlink" Target="https://www.salliemae.com/student-loans/information.aspxCachedSimilarNavigating" TargetMode="External"/><Relationship Id="rId50" Type="http://schemas.openxmlformats.org/officeDocument/2006/relationships/hyperlink" Target="https://www.ibm.com/think/topics/ai-in-fintech" TargetMode="External"/><Relationship Id="rId55" Type="http://schemas.openxmlformats.org/officeDocument/2006/relationships/hyperlink" Target="https://pubsonline.informs.org/doi/10.1287/mnsc.2024.4986" TargetMode="External"/><Relationship Id="rId76" Type="http://schemas.openxmlformats.org/officeDocument/2006/relationships/hyperlink" Target="https://procreditbank-kos.com/eng/homepage/" TargetMode="External"/><Relationship Id="rId97" Type="http://schemas.openxmlformats.org/officeDocument/2006/relationships/hyperlink" Target="https://bqk-kos.org/statistikat/indikatoret-ekonomik/?lang=en" TargetMode="External"/><Relationship Id="rId104" Type="http://schemas.openxmlformats.org/officeDocument/2006/relationships/hyperlink" Target="https://procreditbank-kos.com/Uploads/Data/Files/113/PCB_Cmimore_KlientePrivat_14.03.2025_ENG_EfVjx3KTkG.pdf"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bankassoc-kos.com/En/sektori-bankar/" TargetMode="External"/><Relationship Id="rId92" Type="http://schemas.openxmlformats.org/officeDocument/2006/relationships/hyperlink" Target="https://www.imf.org/-/media/Files/Publications/CR/2024/English/1kosea2024002-print-pdf.ashx" TargetMode="External"/><Relationship Id="rId2" Type="http://schemas.openxmlformats.org/officeDocument/2006/relationships/numbering" Target="numbering.xml"/><Relationship Id="rId29" Type="http://schemas.openxmlformats.org/officeDocument/2006/relationships/hyperlink" Target="https://www.salliemae.com/blog/comparing-student-loan-options/" TargetMode="External"/><Relationship Id="rId24" Type="http://schemas.openxmlformats.org/officeDocument/2006/relationships/hyperlink" Target="https://www.experian.com/blogs/ask-experian/what-happens-if-i-default-on-personal-loan/" TargetMode="External"/><Relationship Id="rId40" Type="http://schemas.openxmlformats.org/officeDocument/2006/relationships/hyperlink" Target="http://business.bankofamerica.com/en/resources/what-is-an-sba-loan.html" TargetMode="External"/><Relationship Id="rId45" Type="http://schemas.openxmlformats.org/officeDocument/2006/relationships/hyperlink" Target="https://www.lakecitybank.com/business-banking/loans/sba-loans/" TargetMode="External"/><Relationship Id="rId66" Type="http://schemas.openxmlformats.org/officeDocument/2006/relationships/hyperlink" Target="https://rphs.law/advancing-kosovos-financial-sector-legislative-milestones-on-the-path-to-sepa-membership/" TargetMode="External"/><Relationship Id="rId87" Type="http://schemas.openxmlformats.org/officeDocument/2006/relationships/hyperlink" Target="https://fincakosovo.org/en/news/finca-in-the-kosovo-banker-magazine/" TargetMode="External"/><Relationship Id="rId110" Type="http://schemas.openxmlformats.org/officeDocument/2006/relationships/hyperlink" Target="https://procreditbank-kos.com/eng/business-clients/services/e-banking-transfers/" TargetMode="External"/><Relationship Id="rId115" Type="http://schemas.openxmlformats.org/officeDocument/2006/relationships/hyperlink" Target="https://openknowledge.worldbank.org/entities/publication/f0f94492-3052-5224-a937-da7caccc0e90" TargetMode="External"/><Relationship Id="rId61" Type="http://schemas.openxmlformats.org/officeDocument/2006/relationships/hyperlink" Target="https://bqk-kos.org/?lang=en&amp;lang=en" TargetMode="External"/><Relationship Id="rId82" Type="http://schemas.openxmlformats.org/officeDocument/2006/relationships/hyperlink" Target="https://www.european-microfinance.org/organisation/amik-association-microfinance-institutions-kosovo" TargetMode="External"/><Relationship Id="rId19" Type="http://schemas.openxmlformats.org/officeDocument/2006/relationships/hyperlink" Target="https://www.investopedia.com/personal-loan-5076027" TargetMode="External"/><Relationship Id="rId14" Type="http://schemas.openxmlformats.org/officeDocument/2006/relationships/hyperlink" Target="https://www.forbes.com/uk/advisor/investing/best-compound-interest-investments/" TargetMode="External"/><Relationship Id="rId30" Type="http://schemas.openxmlformats.org/officeDocument/2006/relationships/hyperlink" Target="https://www.salliemae.com/student-loans/private-student-loans/" TargetMode="External"/><Relationship Id="rId35" Type="http://schemas.openxmlformats.org/officeDocument/2006/relationships/hyperlink" Target="https://www.salliemae.com/college-planning/student-loans-and-borrowing/compare-federal-vs-private-loans/" TargetMode="External"/><Relationship Id="rId56" Type="http://schemas.openxmlformats.org/officeDocument/2006/relationships/hyperlink" Target="https://neontri.com/blog/artificial-intelligence-fintech/" TargetMode="External"/><Relationship Id="rId77" Type="http://schemas.openxmlformats.org/officeDocument/2006/relationships/hyperlink" Target="https://www.efse.lu/fileadmin/user_upload/efse/news_migration/2015-05_EFSE_DF_extends_support_for_the_Kosovo_banker_magazine_until_end_2016.pdf" TargetMode="External"/><Relationship Id="rId100" Type="http://schemas.openxmlformats.org/officeDocument/2006/relationships/hyperlink" Target="https://www.procreditbank.de/en/business-clients" TargetMode="External"/><Relationship Id="rId105" Type="http://schemas.openxmlformats.org/officeDocument/2006/relationships/hyperlink" Target="https://www.raiffeisen-kosovo.com/en/personal.html" TargetMode="External"/><Relationship Id="rId8" Type="http://schemas.openxmlformats.org/officeDocument/2006/relationships/image" Target="media/image1.png"/><Relationship Id="rId51" Type="http://schemas.openxmlformats.org/officeDocument/2006/relationships/hyperlink" Target="https://newsblog.drexel.edu/2025/01/17/qa-how-is-new-lending-technology-changing-the-financial-sector/" TargetMode="External"/><Relationship Id="rId72" Type="http://schemas.openxmlformats.org/officeDocument/2006/relationships/hyperlink" Target="https://www.ebrd.com/home/work-with-us/projects/psd/54879.html" TargetMode="External"/><Relationship Id="rId93" Type="http://schemas.openxmlformats.org/officeDocument/2006/relationships/hyperlink" Target="https://www.imf.org/external/pubs/ft/scr/2015/cr15131.pdf" TargetMode="External"/><Relationship Id="rId98" Type="http://schemas.openxmlformats.org/officeDocument/2006/relationships/hyperlink" Target="https://www.raiffeisen-kosovo.com/en/personal/help-tools/contact-us.html" TargetMode="External"/><Relationship Id="rId3" Type="http://schemas.openxmlformats.org/officeDocument/2006/relationships/styles" Target="styles.xml"/><Relationship Id="rId25" Type="http://schemas.openxmlformats.org/officeDocument/2006/relationships/hyperlink" Target="https://www.experian.com/blogs/ask-experian/how-does-default-impact-credit/" TargetMode="External"/><Relationship Id="rId46" Type="http://schemas.openxmlformats.org/officeDocument/2006/relationships/hyperlink" Target="https://www.sba.gov/partners/lenders/7a-loan-program/terms-conditions-eligibility" TargetMode="External"/><Relationship Id="rId67" Type="http://schemas.openxmlformats.org/officeDocument/2006/relationships/hyperlink" Target="https://virtusinterpress.org/IMG/pdf/clgrv6i3p10.pdf" TargetMode="External"/><Relationship Id="rId116" Type="http://schemas.openxmlformats.org/officeDocument/2006/relationships/hyperlink" Target="https://bqk-kos.org/news/publikimi-i-statistikave-te-sektorit-te-jashtem-per-tremujorin-e-kater-2024-dhe-bilancit-te-pagesave-per-muajin-janar-2025/?lang=en" TargetMode="External"/><Relationship Id="rId20" Type="http://schemas.openxmlformats.org/officeDocument/2006/relationships/hyperlink" Target="https://www.investopedia.com/loan-basics-4689731" TargetMode="External"/><Relationship Id="rId41" Type="http://schemas.openxmlformats.org/officeDocument/2006/relationships/hyperlink" Target="https://resources.liveoak.bank/blog/what-is-a-small-business-loan" TargetMode="External"/><Relationship Id="rId62" Type="http://schemas.openxmlformats.org/officeDocument/2006/relationships/hyperlink" Target="https://bqk-kos.org/?lang=en" TargetMode="External"/><Relationship Id="rId83" Type="http://schemas.openxmlformats.org/officeDocument/2006/relationships/hyperlink" Target="https://www.bis.org/review/r201118f.pdf" TargetMode="External"/><Relationship Id="rId88" Type="http://schemas.openxmlformats.org/officeDocument/2006/relationships/hyperlink" Target="https://www.worldbank.org/en/country/kosovo" TargetMode="External"/><Relationship Id="rId111" Type="http://schemas.openxmlformats.org/officeDocument/2006/relationships/hyperlink" Target="https://bqk-kos.org/news/the-regulation-on-the-inclusion-of-all-citizens-in-the-financial-market-comes-into-force/?lang=en" TargetMode="External"/><Relationship Id="rId15" Type="http://schemas.openxmlformats.org/officeDocument/2006/relationships/hyperlink" Target="https://dfpi.ca.gov/news/insights/consumer-financial-education-other-loans/" TargetMode="External"/><Relationship Id="rId36" Type="http://schemas.openxmlformats.org/officeDocument/2006/relationships/hyperlink" Target="https://www.salliemae.com/college-planning/student-loans-and-borrowing/compare-federal-vs-private-loans/private-student-loans/" TargetMode="External"/><Relationship Id="rId57" Type="http://schemas.openxmlformats.org/officeDocument/2006/relationships/hyperlink" Target="https://www.experian.com/blogs/ask-experian/when-does-debt-become-delinquent/" TargetMode="External"/><Relationship Id="rId106" Type="http://schemas.openxmlformats.org/officeDocument/2006/relationships/hyperlink" Target="https://www.thebusinessresearchcompany.com/report/personal-loans-global-marke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6750-D7FF-42B1-8821-5E56F815B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1803</TotalTime>
  <Pages>59</Pages>
  <Words>18275</Words>
  <Characters>104170</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Premtim Morina</dc:creator>
  <cp:keywords/>
  <dc:description/>
  <cp:lastModifiedBy>Premtim Morina</cp:lastModifiedBy>
  <cp:revision>18</cp:revision>
  <dcterms:created xsi:type="dcterms:W3CDTF">2025-05-12T14:11:00Z</dcterms:created>
  <dcterms:modified xsi:type="dcterms:W3CDTF">2025-05-27T08:42:00Z</dcterms:modified>
</cp:coreProperties>
</file>