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7F7D" w:rsidRDefault="001D7798" w:rsidP="001D7798">
      <w:pPr>
        <w:jc w:val="center"/>
      </w:pPr>
      <w:r>
        <w:rPr>
          <w:rFonts w:eastAsia="Times New Roman" w:cs="Times New Roman"/>
          <w:noProof/>
          <w:szCs w:val="24"/>
        </w:rPr>
        <w:drawing>
          <wp:inline distT="114300" distB="114300" distL="114300" distR="114300" wp14:anchorId="74988AC6" wp14:editId="1B10BF00">
            <wp:extent cx="2981325" cy="29813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81325" cy="2981325"/>
                    </a:xfrm>
                    <a:prstGeom prst="rect">
                      <a:avLst/>
                    </a:prstGeom>
                    <a:ln/>
                  </pic:spPr>
                </pic:pic>
              </a:graphicData>
            </a:graphic>
          </wp:inline>
        </w:drawing>
      </w:r>
    </w:p>
    <w:p w:rsidR="001D7798" w:rsidRDefault="001D7798" w:rsidP="001D7798">
      <w:pPr>
        <w:pStyle w:val="Heading1"/>
        <w:tabs>
          <w:tab w:val="left" w:pos="567"/>
          <w:tab w:val="left" w:pos="1134"/>
          <w:tab w:val="center" w:pos="9639"/>
        </w:tabs>
        <w:spacing w:before="0" w:after="0"/>
        <w:ind w:left="714" w:hanging="357"/>
        <w:rPr>
          <w:rFonts w:ascii="Times New Roman" w:eastAsia="Times New Roman" w:hAnsi="Times New Roman" w:cs="Times New Roman"/>
          <w:b w:val="0"/>
          <w:szCs w:val="28"/>
        </w:rPr>
      </w:pPr>
      <w:bookmarkStart w:id="0" w:name="_Toc198554981"/>
      <w:r>
        <w:rPr>
          <w:rFonts w:ascii="Times New Roman" w:eastAsia="Times New Roman" w:hAnsi="Times New Roman" w:cs="Times New Roman"/>
          <w:szCs w:val="28"/>
        </w:rPr>
        <w:t>Universiteti “Haxhi Zeka”</w:t>
      </w:r>
      <w:r>
        <w:rPr>
          <w:rFonts w:ascii="Times New Roman" w:eastAsia="Times New Roman" w:hAnsi="Times New Roman" w:cs="Times New Roman"/>
          <w:szCs w:val="28"/>
        </w:rPr>
        <w:br/>
        <w:t>Fakulteti i Biznesit</w:t>
      </w:r>
      <w:bookmarkEnd w:id="0"/>
    </w:p>
    <w:p w:rsidR="001D7798" w:rsidRDefault="001D7798" w:rsidP="001D7798">
      <w:pPr>
        <w:pStyle w:val="Heading1"/>
        <w:tabs>
          <w:tab w:val="left" w:pos="567"/>
          <w:tab w:val="left" w:pos="1134"/>
          <w:tab w:val="center" w:pos="9639"/>
        </w:tabs>
        <w:spacing w:before="0" w:after="0"/>
        <w:ind w:left="714" w:hanging="357"/>
        <w:rPr>
          <w:rFonts w:ascii="Times New Roman" w:eastAsia="Times New Roman" w:hAnsi="Times New Roman" w:cs="Times New Roman"/>
          <w:b w:val="0"/>
          <w:szCs w:val="28"/>
        </w:rPr>
      </w:pPr>
      <w:bookmarkStart w:id="1" w:name="_Toc198554982"/>
      <w:r>
        <w:rPr>
          <w:rFonts w:ascii="Times New Roman" w:eastAsia="Times New Roman" w:hAnsi="Times New Roman" w:cs="Times New Roman"/>
          <w:szCs w:val="28"/>
        </w:rPr>
        <w:t>Departamenti i Teknologjisë së Informacionit për Biznes dhe Ekonomi</w:t>
      </w:r>
      <w:bookmarkEnd w:id="1"/>
    </w:p>
    <w:p w:rsidR="001D7798" w:rsidRDefault="001D7798" w:rsidP="001D7798">
      <w:pPr>
        <w:jc w:val="center"/>
      </w:pPr>
    </w:p>
    <w:p w:rsidR="001D7798" w:rsidRDefault="001D7798" w:rsidP="001D7798">
      <w:pPr>
        <w:jc w:val="center"/>
      </w:pPr>
    </w:p>
    <w:p w:rsidR="001D7798" w:rsidRDefault="001D7798" w:rsidP="001D7798">
      <w:pPr>
        <w:pStyle w:val="Heading1"/>
      </w:pPr>
      <w:bookmarkStart w:id="2" w:name="_Toc198554983"/>
      <w:r w:rsidRPr="001D7798">
        <w:t>Kuptimi i Kredive, Tregu i Kosovës dhe Mësimet nga një Rast i Madh Financiar: Një Raport Analitik</w:t>
      </w:r>
      <w:bookmarkEnd w:id="2"/>
    </w:p>
    <w:p w:rsidR="001D7798" w:rsidRDefault="001D7798" w:rsidP="001D7798">
      <w:pPr>
        <w:pStyle w:val="Heading2"/>
      </w:pPr>
      <w:bookmarkStart w:id="3" w:name="_Toc198554984"/>
      <w:r>
        <w:t>Lënda: Financat</w:t>
      </w:r>
      <w:bookmarkEnd w:id="3"/>
    </w:p>
    <w:p w:rsidR="001D7798" w:rsidRPr="001D7798" w:rsidRDefault="001D7798" w:rsidP="001D7798">
      <w:pPr>
        <w:jc w:val="center"/>
        <w:rPr>
          <w:b/>
          <w:bCs/>
        </w:rPr>
      </w:pPr>
      <w:r w:rsidRPr="001D7798">
        <w:rPr>
          <w:b/>
          <w:bCs/>
        </w:rPr>
        <w:t>Viti Akademik 2024/25</w:t>
      </w:r>
    </w:p>
    <w:p w:rsidR="001D7798" w:rsidRDefault="001D7798" w:rsidP="001D7798"/>
    <w:p w:rsidR="001D7798" w:rsidRDefault="001D7798" w:rsidP="001D7798">
      <w:pPr>
        <w:jc w:val="center"/>
      </w:pPr>
      <w:r>
        <w:t>Mentorë:</w:t>
      </w:r>
    </w:p>
    <w:p w:rsidR="001D7798" w:rsidRDefault="001D7798" w:rsidP="001D7798">
      <w:pPr>
        <w:jc w:val="center"/>
      </w:pPr>
      <w:r>
        <w:t>Prof. Ass. Dr. Donjeta Morina</w:t>
      </w:r>
    </w:p>
    <w:p w:rsidR="001D7798" w:rsidRDefault="001D7798" w:rsidP="001D7798">
      <w:pPr>
        <w:jc w:val="center"/>
      </w:pPr>
      <w:r>
        <w:t>Punoi:</w:t>
      </w:r>
    </w:p>
    <w:p w:rsidR="00BF2D78" w:rsidRDefault="001D7798" w:rsidP="006847EA">
      <w:pPr>
        <w:jc w:val="center"/>
      </w:pPr>
      <w:r>
        <w:t xml:space="preserve">Premtim Morina – 171843238 </w:t>
      </w:r>
    </w:p>
    <w:sdt>
      <w:sdtPr>
        <w:rPr>
          <w:rFonts w:ascii="Times New Roman" w:eastAsiaTheme="minorHAnsi" w:hAnsi="Times New Roman" w:cs="Google Sans Text"/>
          <w:color w:val="1B1C1D"/>
          <w:kern w:val="2"/>
          <w:sz w:val="24"/>
          <w:szCs w:val="20"/>
          <w:lang w:val="sq-AL"/>
          <w14:ligatures w14:val="standardContextual"/>
        </w:rPr>
        <w:id w:val="-1813399528"/>
        <w:docPartObj>
          <w:docPartGallery w:val="Table of Contents"/>
          <w:docPartUnique/>
        </w:docPartObj>
      </w:sdtPr>
      <w:sdtEndPr>
        <w:rPr>
          <w:b/>
          <w:bCs/>
          <w:noProof/>
        </w:rPr>
      </w:sdtEndPr>
      <w:sdtContent>
        <w:p w:rsidR="006847EA" w:rsidRDefault="006847EA">
          <w:pPr>
            <w:pStyle w:val="TOCHeading"/>
          </w:pPr>
          <w:r>
            <w:t>Contents</w:t>
          </w:r>
        </w:p>
        <w:p w:rsidR="00077A39" w:rsidRDefault="006847EA">
          <w:pPr>
            <w:pStyle w:val="TOC1"/>
            <w:tabs>
              <w:tab w:val="right" w:leader="dot" w:pos="8495"/>
            </w:tabs>
            <w:rPr>
              <w:rFonts w:asciiTheme="minorHAnsi" w:eastAsiaTheme="minorEastAsia" w:hAnsiTheme="minorHAnsi" w:cstheme="minorBidi"/>
              <w:noProof/>
              <w:color w:val="auto"/>
              <w:szCs w:val="24"/>
              <w:lang w:val="en-US"/>
            </w:rPr>
          </w:pPr>
          <w:r>
            <w:fldChar w:fldCharType="begin"/>
          </w:r>
          <w:r>
            <w:instrText xml:space="preserve"> TOC \o "1-3" \h \z \u </w:instrText>
          </w:r>
          <w:r>
            <w:fldChar w:fldCharType="separate"/>
          </w:r>
          <w:hyperlink w:anchor="_Toc198554981" w:history="1">
            <w:r w:rsidR="00077A39" w:rsidRPr="007C6C64">
              <w:rPr>
                <w:rStyle w:val="Hyperlink"/>
                <w:rFonts w:eastAsia="Times New Roman" w:cs="Times New Roman"/>
                <w:noProof/>
              </w:rPr>
              <w:t>Universiteti “Haxhi Zeka” Fakulteti i Biznesit</w:t>
            </w:r>
            <w:r w:rsidR="00077A39">
              <w:rPr>
                <w:noProof/>
                <w:webHidden/>
              </w:rPr>
              <w:tab/>
            </w:r>
            <w:r w:rsidR="00077A39">
              <w:rPr>
                <w:noProof/>
                <w:webHidden/>
              </w:rPr>
              <w:fldChar w:fldCharType="begin"/>
            </w:r>
            <w:r w:rsidR="00077A39">
              <w:rPr>
                <w:noProof/>
                <w:webHidden/>
              </w:rPr>
              <w:instrText xml:space="preserve"> PAGEREF _Toc198554981 \h </w:instrText>
            </w:r>
            <w:r w:rsidR="00077A39">
              <w:rPr>
                <w:noProof/>
                <w:webHidden/>
              </w:rPr>
            </w:r>
            <w:r w:rsidR="00077A39">
              <w:rPr>
                <w:noProof/>
                <w:webHidden/>
              </w:rPr>
              <w:fldChar w:fldCharType="separate"/>
            </w:r>
            <w:r w:rsidR="00077A39">
              <w:rPr>
                <w:noProof/>
                <w:webHidden/>
              </w:rPr>
              <w:t>1</w:t>
            </w:r>
            <w:r w:rsidR="00077A39">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4982" w:history="1">
            <w:r w:rsidRPr="007C6C64">
              <w:rPr>
                <w:rStyle w:val="Hyperlink"/>
                <w:rFonts w:eastAsia="Times New Roman" w:cs="Times New Roman"/>
                <w:noProof/>
              </w:rPr>
              <w:t>Departamenti i Teknologjisë së Informacionit për Biznes dhe Ekonomi</w:t>
            </w:r>
            <w:r>
              <w:rPr>
                <w:noProof/>
                <w:webHidden/>
              </w:rPr>
              <w:tab/>
            </w:r>
            <w:r>
              <w:rPr>
                <w:noProof/>
                <w:webHidden/>
              </w:rPr>
              <w:fldChar w:fldCharType="begin"/>
            </w:r>
            <w:r>
              <w:rPr>
                <w:noProof/>
                <w:webHidden/>
              </w:rPr>
              <w:instrText xml:space="preserve"> PAGEREF _Toc198554982 \h </w:instrText>
            </w:r>
            <w:r>
              <w:rPr>
                <w:noProof/>
                <w:webHidden/>
              </w:rPr>
            </w:r>
            <w:r>
              <w:rPr>
                <w:noProof/>
                <w:webHidden/>
              </w:rPr>
              <w:fldChar w:fldCharType="separate"/>
            </w:r>
            <w:r>
              <w:rPr>
                <w:noProof/>
                <w:webHidden/>
              </w:rPr>
              <w:t>1</w:t>
            </w:r>
            <w:r>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4983" w:history="1">
            <w:r w:rsidRPr="007C6C64">
              <w:rPr>
                <w:rStyle w:val="Hyperlink"/>
                <w:noProof/>
              </w:rPr>
              <w:t>Kuptimi i Kredive, Tregu i Kosovës dhe Mësimet nga një Rast i Madh Financiar: Një Raport Analitik</w:t>
            </w:r>
            <w:r>
              <w:rPr>
                <w:noProof/>
                <w:webHidden/>
              </w:rPr>
              <w:tab/>
            </w:r>
            <w:r>
              <w:rPr>
                <w:noProof/>
                <w:webHidden/>
              </w:rPr>
              <w:fldChar w:fldCharType="begin"/>
            </w:r>
            <w:r>
              <w:rPr>
                <w:noProof/>
                <w:webHidden/>
              </w:rPr>
              <w:instrText xml:space="preserve"> PAGEREF _Toc198554983 \h </w:instrText>
            </w:r>
            <w:r>
              <w:rPr>
                <w:noProof/>
                <w:webHidden/>
              </w:rPr>
            </w:r>
            <w:r>
              <w:rPr>
                <w:noProof/>
                <w:webHidden/>
              </w:rPr>
              <w:fldChar w:fldCharType="separate"/>
            </w:r>
            <w:r>
              <w:rPr>
                <w:noProof/>
                <w:webHidden/>
              </w:rPr>
              <w:t>1</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84" w:history="1">
            <w:r w:rsidRPr="007C6C64">
              <w:rPr>
                <w:rStyle w:val="Hyperlink"/>
                <w:noProof/>
              </w:rPr>
              <w:t>Lënda: Financat</w:t>
            </w:r>
            <w:r>
              <w:rPr>
                <w:noProof/>
                <w:webHidden/>
              </w:rPr>
              <w:tab/>
            </w:r>
            <w:r>
              <w:rPr>
                <w:noProof/>
                <w:webHidden/>
              </w:rPr>
              <w:fldChar w:fldCharType="begin"/>
            </w:r>
            <w:r>
              <w:rPr>
                <w:noProof/>
                <w:webHidden/>
              </w:rPr>
              <w:instrText xml:space="preserve"> PAGEREF _Toc198554984 \h </w:instrText>
            </w:r>
            <w:r>
              <w:rPr>
                <w:noProof/>
                <w:webHidden/>
              </w:rPr>
            </w:r>
            <w:r>
              <w:rPr>
                <w:noProof/>
                <w:webHidden/>
              </w:rPr>
              <w:fldChar w:fldCharType="separate"/>
            </w:r>
            <w:r>
              <w:rPr>
                <w:noProof/>
                <w:webHidden/>
              </w:rPr>
              <w:t>1</w:t>
            </w:r>
            <w:r>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4985" w:history="1">
            <w:r w:rsidRPr="007C6C64">
              <w:rPr>
                <w:rStyle w:val="Hyperlink"/>
                <w:noProof/>
              </w:rPr>
              <w:t>Kuptimi i Kredive, Tregu i Kosovës dhe Mësimet nga një Rast i Madh Financiar: Një Raport Analitik</w:t>
            </w:r>
            <w:r>
              <w:rPr>
                <w:noProof/>
                <w:webHidden/>
              </w:rPr>
              <w:tab/>
            </w:r>
            <w:r>
              <w:rPr>
                <w:noProof/>
                <w:webHidden/>
              </w:rPr>
              <w:fldChar w:fldCharType="begin"/>
            </w:r>
            <w:r>
              <w:rPr>
                <w:noProof/>
                <w:webHidden/>
              </w:rPr>
              <w:instrText xml:space="preserve"> PAGEREF _Toc198554985 \h </w:instrText>
            </w:r>
            <w:r>
              <w:rPr>
                <w:noProof/>
                <w:webHidden/>
              </w:rPr>
            </w:r>
            <w:r>
              <w:rPr>
                <w:noProof/>
                <w:webHidden/>
              </w:rPr>
              <w:fldChar w:fldCharType="separate"/>
            </w:r>
            <w:r>
              <w:rPr>
                <w:noProof/>
                <w:webHidden/>
              </w:rPr>
              <w:t>4</w:t>
            </w:r>
            <w:r>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4986" w:history="1">
            <w:r w:rsidRPr="007C6C64">
              <w:rPr>
                <w:rStyle w:val="Hyperlink"/>
                <w:noProof/>
              </w:rPr>
              <w:t>Hyrje</w:t>
            </w:r>
            <w:r>
              <w:rPr>
                <w:noProof/>
                <w:webHidden/>
              </w:rPr>
              <w:tab/>
            </w:r>
            <w:r>
              <w:rPr>
                <w:noProof/>
                <w:webHidden/>
              </w:rPr>
              <w:fldChar w:fldCharType="begin"/>
            </w:r>
            <w:r>
              <w:rPr>
                <w:noProof/>
                <w:webHidden/>
              </w:rPr>
              <w:instrText xml:space="preserve"> PAGEREF _Toc198554986 \h </w:instrText>
            </w:r>
            <w:r>
              <w:rPr>
                <w:noProof/>
                <w:webHidden/>
              </w:rPr>
            </w:r>
            <w:r>
              <w:rPr>
                <w:noProof/>
                <w:webHidden/>
              </w:rPr>
              <w:fldChar w:fldCharType="separate"/>
            </w:r>
            <w:r>
              <w:rPr>
                <w:noProof/>
                <w:webHidden/>
              </w:rPr>
              <w:t>4</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87" w:history="1">
            <w:r w:rsidRPr="007C6C64">
              <w:rPr>
                <w:rStyle w:val="Hyperlink"/>
                <w:noProof/>
              </w:rPr>
              <w:t>Objektivat dhe Shtrirja e Raportit</w:t>
            </w:r>
            <w:r>
              <w:rPr>
                <w:noProof/>
                <w:webHidden/>
              </w:rPr>
              <w:tab/>
            </w:r>
            <w:r>
              <w:rPr>
                <w:noProof/>
                <w:webHidden/>
              </w:rPr>
              <w:fldChar w:fldCharType="begin"/>
            </w:r>
            <w:r>
              <w:rPr>
                <w:noProof/>
                <w:webHidden/>
              </w:rPr>
              <w:instrText xml:space="preserve"> PAGEREF _Toc198554987 \h </w:instrText>
            </w:r>
            <w:r>
              <w:rPr>
                <w:noProof/>
                <w:webHidden/>
              </w:rPr>
            </w:r>
            <w:r>
              <w:rPr>
                <w:noProof/>
                <w:webHidden/>
              </w:rPr>
              <w:fldChar w:fldCharType="separate"/>
            </w:r>
            <w:r>
              <w:rPr>
                <w:noProof/>
                <w:webHidden/>
              </w:rPr>
              <w:t>4</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88" w:history="1">
            <w:r w:rsidRPr="007C6C64">
              <w:rPr>
                <w:rStyle w:val="Hyperlink"/>
                <w:noProof/>
              </w:rPr>
              <w:t>Pesha Strategjike për Sistemin Financiar dhe Institucional të Kosovës</w:t>
            </w:r>
            <w:r>
              <w:rPr>
                <w:noProof/>
                <w:webHidden/>
              </w:rPr>
              <w:tab/>
            </w:r>
            <w:r>
              <w:rPr>
                <w:noProof/>
                <w:webHidden/>
              </w:rPr>
              <w:fldChar w:fldCharType="begin"/>
            </w:r>
            <w:r>
              <w:rPr>
                <w:noProof/>
                <w:webHidden/>
              </w:rPr>
              <w:instrText xml:space="preserve"> PAGEREF _Toc198554988 \h </w:instrText>
            </w:r>
            <w:r>
              <w:rPr>
                <w:noProof/>
                <w:webHidden/>
              </w:rPr>
            </w:r>
            <w:r>
              <w:rPr>
                <w:noProof/>
                <w:webHidden/>
              </w:rPr>
              <w:fldChar w:fldCharType="separate"/>
            </w:r>
            <w:r>
              <w:rPr>
                <w:noProof/>
                <w:webHidden/>
              </w:rPr>
              <w:t>4</w:t>
            </w:r>
            <w:r>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4989" w:history="1">
            <w:r w:rsidRPr="007C6C64">
              <w:rPr>
                <w:rStyle w:val="Hyperlink"/>
                <w:noProof/>
              </w:rPr>
              <w:t>Pjesa 1: Bazat e Kredisë – Konceptet dhe Llojet Kryesore</w:t>
            </w:r>
            <w:r>
              <w:rPr>
                <w:noProof/>
                <w:webHidden/>
              </w:rPr>
              <w:tab/>
            </w:r>
            <w:r>
              <w:rPr>
                <w:noProof/>
                <w:webHidden/>
              </w:rPr>
              <w:fldChar w:fldCharType="begin"/>
            </w:r>
            <w:r>
              <w:rPr>
                <w:noProof/>
                <w:webHidden/>
              </w:rPr>
              <w:instrText xml:space="preserve"> PAGEREF _Toc198554989 \h </w:instrText>
            </w:r>
            <w:r>
              <w:rPr>
                <w:noProof/>
                <w:webHidden/>
              </w:rPr>
            </w:r>
            <w:r>
              <w:rPr>
                <w:noProof/>
                <w:webHidden/>
              </w:rPr>
              <w:fldChar w:fldCharType="separate"/>
            </w:r>
            <w:r>
              <w:rPr>
                <w:noProof/>
                <w:webHidden/>
              </w:rPr>
              <w:t>5</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0" w:history="1">
            <w:r w:rsidRPr="007C6C64">
              <w:rPr>
                <w:rStyle w:val="Hyperlink"/>
                <w:noProof/>
              </w:rPr>
              <w:t>1.1 Kreditë: Elementët Themelorë dhe Termat Kryesorë</w:t>
            </w:r>
            <w:r>
              <w:rPr>
                <w:noProof/>
                <w:webHidden/>
              </w:rPr>
              <w:tab/>
            </w:r>
            <w:r>
              <w:rPr>
                <w:noProof/>
                <w:webHidden/>
              </w:rPr>
              <w:fldChar w:fldCharType="begin"/>
            </w:r>
            <w:r>
              <w:rPr>
                <w:noProof/>
                <w:webHidden/>
              </w:rPr>
              <w:instrText xml:space="preserve"> PAGEREF _Toc198554990 \h </w:instrText>
            </w:r>
            <w:r>
              <w:rPr>
                <w:noProof/>
                <w:webHidden/>
              </w:rPr>
            </w:r>
            <w:r>
              <w:rPr>
                <w:noProof/>
                <w:webHidden/>
              </w:rPr>
              <w:fldChar w:fldCharType="separate"/>
            </w:r>
            <w:r>
              <w:rPr>
                <w:noProof/>
                <w:webHidden/>
              </w:rPr>
              <w:t>5</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1" w:history="1">
            <w:r w:rsidRPr="007C6C64">
              <w:rPr>
                <w:rStyle w:val="Hyperlink"/>
                <w:noProof/>
              </w:rPr>
              <w:t>1.2 Kreditë me Kolateral dhe pa Kolateral: Krahasim</w:t>
            </w:r>
            <w:r>
              <w:rPr>
                <w:noProof/>
                <w:webHidden/>
              </w:rPr>
              <w:tab/>
            </w:r>
            <w:r>
              <w:rPr>
                <w:noProof/>
                <w:webHidden/>
              </w:rPr>
              <w:fldChar w:fldCharType="begin"/>
            </w:r>
            <w:r>
              <w:rPr>
                <w:noProof/>
                <w:webHidden/>
              </w:rPr>
              <w:instrText xml:space="preserve"> PAGEREF _Toc198554991 \h </w:instrText>
            </w:r>
            <w:r>
              <w:rPr>
                <w:noProof/>
                <w:webHidden/>
              </w:rPr>
            </w:r>
            <w:r>
              <w:rPr>
                <w:noProof/>
                <w:webHidden/>
              </w:rPr>
              <w:fldChar w:fldCharType="separate"/>
            </w:r>
            <w:r>
              <w:rPr>
                <w:noProof/>
                <w:webHidden/>
              </w:rPr>
              <w:t>7</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2" w:history="1">
            <w:r w:rsidRPr="007C6C64">
              <w:rPr>
                <w:rStyle w:val="Hyperlink"/>
                <w:noProof/>
              </w:rPr>
              <w:t>1.3 Llojet Kryesore të Produkteve Kreditore</w:t>
            </w:r>
            <w:r>
              <w:rPr>
                <w:noProof/>
                <w:webHidden/>
              </w:rPr>
              <w:tab/>
            </w:r>
            <w:r>
              <w:rPr>
                <w:noProof/>
                <w:webHidden/>
              </w:rPr>
              <w:fldChar w:fldCharType="begin"/>
            </w:r>
            <w:r>
              <w:rPr>
                <w:noProof/>
                <w:webHidden/>
              </w:rPr>
              <w:instrText xml:space="preserve"> PAGEREF _Toc198554992 \h </w:instrText>
            </w:r>
            <w:r>
              <w:rPr>
                <w:noProof/>
                <w:webHidden/>
              </w:rPr>
            </w:r>
            <w:r>
              <w:rPr>
                <w:noProof/>
                <w:webHidden/>
              </w:rPr>
              <w:fldChar w:fldCharType="separate"/>
            </w:r>
            <w:r>
              <w:rPr>
                <w:noProof/>
                <w:webHidden/>
              </w:rPr>
              <w:t>9</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3" w:history="1">
            <w:r w:rsidRPr="007C6C64">
              <w:rPr>
                <w:rStyle w:val="Hyperlink"/>
                <w:noProof/>
              </w:rPr>
              <w:t>1.4 Faza Kryesore të Procesit Kreditues: Nga Aplikimi deri te Mospagimi i Mundshëm</w:t>
            </w:r>
            <w:r>
              <w:rPr>
                <w:noProof/>
                <w:webHidden/>
              </w:rPr>
              <w:tab/>
            </w:r>
            <w:r>
              <w:rPr>
                <w:noProof/>
                <w:webHidden/>
              </w:rPr>
              <w:fldChar w:fldCharType="begin"/>
            </w:r>
            <w:r>
              <w:rPr>
                <w:noProof/>
                <w:webHidden/>
              </w:rPr>
              <w:instrText xml:space="preserve"> PAGEREF _Toc198554993 \h </w:instrText>
            </w:r>
            <w:r>
              <w:rPr>
                <w:noProof/>
                <w:webHidden/>
              </w:rPr>
            </w:r>
            <w:r>
              <w:rPr>
                <w:noProof/>
                <w:webHidden/>
              </w:rPr>
              <w:fldChar w:fldCharType="separate"/>
            </w:r>
            <w:r>
              <w:rPr>
                <w:noProof/>
                <w:webHidden/>
              </w:rPr>
              <w:t>11</w:t>
            </w:r>
            <w:r>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4994" w:history="1">
            <w:r w:rsidRPr="007C6C64">
              <w:rPr>
                <w:rStyle w:val="Hyperlink"/>
                <w:noProof/>
              </w:rPr>
              <w:t>Pjesa 2: Analiza e Tregut të Kredive Personale në Kosovë</w:t>
            </w:r>
            <w:r>
              <w:rPr>
                <w:noProof/>
                <w:webHidden/>
              </w:rPr>
              <w:tab/>
            </w:r>
            <w:r>
              <w:rPr>
                <w:noProof/>
                <w:webHidden/>
              </w:rPr>
              <w:fldChar w:fldCharType="begin"/>
            </w:r>
            <w:r>
              <w:rPr>
                <w:noProof/>
                <w:webHidden/>
              </w:rPr>
              <w:instrText xml:space="preserve"> PAGEREF _Toc198554994 \h </w:instrText>
            </w:r>
            <w:r>
              <w:rPr>
                <w:noProof/>
                <w:webHidden/>
              </w:rPr>
            </w:r>
            <w:r>
              <w:rPr>
                <w:noProof/>
                <w:webHidden/>
              </w:rPr>
              <w:fldChar w:fldCharType="separate"/>
            </w:r>
            <w:r>
              <w:rPr>
                <w:noProof/>
                <w:webHidden/>
              </w:rPr>
              <w:t>14</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5" w:history="1">
            <w:r w:rsidRPr="007C6C64">
              <w:rPr>
                <w:rStyle w:val="Hyperlink"/>
                <w:noProof/>
              </w:rPr>
              <w:t>2.1 Mjedisi Financiar dhe Makroekonomik i Kosovës</w:t>
            </w:r>
            <w:r>
              <w:rPr>
                <w:noProof/>
                <w:webHidden/>
              </w:rPr>
              <w:tab/>
            </w:r>
            <w:r>
              <w:rPr>
                <w:noProof/>
                <w:webHidden/>
              </w:rPr>
              <w:fldChar w:fldCharType="begin"/>
            </w:r>
            <w:r>
              <w:rPr>
                <w:noProof/>
                <w:webHidden/>
              </w:rPr>
              <w:instrText xml:space="preserve"> PAGEREF _Toc198554995 \h </w:instrText>
            </w:r>
            <w:r>
              <w:rPr>
                <w:noProof/>
                <w:webHidden/>
              </w:rPr>
            </w:r>
            <w:r>
              <w:rPr>
                <w:noProof/>
                <w:webHidden/>
              </w:rPr>
              <w:fldChar w:fldCharType="separate"/>
            </w:r>
            <w:r>
              <w:rPr>
                <w:noProof/>
                <w:webHidden/>
              </w:rPr>
              <w:t>14</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6" w:history="1">
            <w:r w:rsidRPr="007C6C64">
              <w:rPr>
                <w:rStyle w:val="Hyperlink"/>
                <w:noProof/>
              </w:rPr>
              <w:t>2.2 Institucionet Kryesore dhe Struktura Konkurruese</w:t>
            </w:r>
            <w:r>
              <w:rPr>
                <w:noProof/>
                <w:webHidden/>
              </w:rPr>
              <w:tab/>
            </w:r>
            <w:r>
              <w:rPr>
                <w:noProof/>
                <w:webHidden/>
              </w:rPr>
              <w:fldChar w:fldCharType="begin"/>
            </w:r>
            <w:r>
              <w:rPr>
                <w:noProof/>
                <w:webHidden/>
              </w:rPr>
              <w:instrText xml:space="preserve"> PAGEREF _Toc198554996 \h </w:instrText>
            </w:r>
            <w:r>
              <w:rPr>
                <w:noProof/>
                <w:webHidden/>
              </w:rPr>
            </w:r>
            <w:r>
              <w:rPr>
                <w:noProof/>
                <w:webHidden/>
              </w:rPr>
              <w:fldChar w:fldCharType="separate"/>
            </w:r>
            <w:r>
              <w:rPr>
                <w:noProof/>
                <w:webHidden/>
              </w:rPr>
              <w:t>17</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7" w:history="1">
            <w:r w:rsidRPr="007C6C64">
              <w:rPr>
                <w:rStyle w:val="Hyperlink"/>
                <w:noProof/>
              </w:rPr>
              <w:t>2.3 Produktet e Kredisë Personale në Kosovë: Karakteristikat, Normat e Interesit dhe Kushtet</w:t>
            </w:r>
            <w:r>
              <w:rPr>
                <w:noProof/>
                <w:webHidden/>
              </w:rPr>
              <w:tab/>
            </w:r>
            <w:r>
              <w:rPr>
                <w:noProof/>
                <w:webHidden/>
              </w:rPr>
              <w:fldChar w:fldCharType="begin"/>
            </w:r>
            <w:r>
              <w:rPr>
                <w:noProof/>
                <w:webHidden/>
              </w:rPr>
              <w:instrText xml:space="preserve"> PAGEREF _Toc198554997 \h </w:instrText>
            </w:r>
            <w:r>
              <w:rPr>
                <w:noProof/>
                <w:webHidden/>
              </w:rPr>
            </w:r>
            <w:r>
              <w:rPr>
                <w:noProof/>
                <w:webHidden/>
              </w:rPr>
              <w:fldChar w:fldCharType="separate"/>
            </w:r>
            <w:r>
              <w:rPr>
                <w:noProof/>
                <w:webHidden/>
              </w:rPr>
              <w:t>18</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8" w:history="1">
            <w:r w:rsidRPr="007C6C64">
              <w:rPr>
                <w:rStyle w:val="Hyperlink"/>
                <w:noProof/>
              </w:rPr>
              <w:t>2.4 Zhvillimet e Tregut dhe Transformimi Dixhital</w:t>
            </w:r>
            <w:r>
              <w:rPr>
                <w:noProof/>
                <w:webHidden/>
              </w:rPr>
              <w:tab/>
            </w:r>
            <w:r>
              <w:rPr>
                <w:noProof/>
                <w:webHidden/>
              </w:rPr>
              <w:fldChar w:fldCharType="begin"/>
            </w:r>
            <w:r>
              <w:rPr>
                <w:noProof/>
                <w:webHidden/>
              </w:rPr>
              <w:instrText xml:space="preserve"> PAGEREF _Toc198554998 \h </w:instrText>
            </w:r>
            <w:r>
              <w:rPr>
                <w:noProof/>
                <w:webHidden/>
              </w:rPr>
            </w:r>
            <w:r>
              <w:rPr>
                <w:noProof/>
                <w:webHidden/>
              </w:rPr>
              <w:fldChar w:fldCharType="separate"/>
            </w:r>
            <w:r>
              <w:rPr>
                <w:noProof/>
                <w:webHidden/>
              </w:rPr>
              <w:t>22</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4999" w:history="1">
            <w:r w:rsidRPr="007C6C64">
              <w:rPr>
                <w:rStyle w:val="Hyperlink"/>
                <w:noProof/>
              </w:rPr>
              <w:t>2.5 Korniza Rregullatore dhe Zhvillimet e Fundit</w:t>
            </w:r>
            <w:r>
              <w:rPr>
                <w:noProof/>
                <w:webHidden/>
              </w:rPr>
              <w:tab/>
            </w:r>
            <w:r>
              <w:rPr>
                <w:noProof/>
                <w:webHidden/>
              </w:rPr>
              <w:fldChar w:fldCharType="begin"/>
            </w:r>
            <w:r>
              <w:rPr>
                <w:noProof/>
                <w:webHidden/>
              </w:rPr>
              <w:instrText xml:space="preserve"> PAGEREF _Toc198554999 \h </w:instrText>
            </w:r>
            <w:r>
              <w:rPr>
                <w:noProof/>
                <w:webHidden/>
              </w:rPr>
            </w:r>
            <w:r>
              <w:rPr>
                <w:noProof/>
                <w:webHidden/>
              </w:rPr>
              <w:fldChar w:fldCharType="separate"/>
            </w:r>
            <w:r>
              <w:rPr>
                <w:noProof/>
                <w:webHidden/>
              </w:rPr>
              <w:t>24</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0" w:history="1">
            <w:r w:rsidRPr="007C6C64">
              <w:rPr>
                <w:rStyle w:val="Hyperlink"/>
                <w:noProof/>
              </w:rPr>
              <w:t>2.6 Determinantët e Kërkesës për Kreditim Personal</w:t>
            </w:r>
            <w:r>
              <w:rPr>
                <w:noProof/>
                <w:webHidden/>
              </w:rPr>
              <w:tab/>
            </w:r>
            <w:r>
              <w:rPr>
                <w:noProof/>
                <w:webHidden/>
              </w:rPr>
              <w:fldChar w:fldCharType="begin"/>
            </w:r>
            <w:r>
              <w:rPr>
                <w:noProof/>
                <w:webHidden/>
              </w:rPr>
              <w:instrText xml:space="preserve"> PAGEREF _Toc198555000 \h </w:instrText>
            </w:r>
            <w:r>
              <w:rPr>
                <w:noProof/>
                <w:webHidden/>
              </w:rPr>
            </w:r>
            <w:r>
              <w:rPr>
                <w:noProof/>
                <w:webHidden/>
              </w:rPr>
              <w:fldChar w:fldCharType="separate"/>
            </w:r>
            <w:r>
              <w:rPr>
                <w:noProof/>
                <w:webHidden/>
              </w:rPr>
              <w:t>27</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1" w:history="1">
            <w:r w:rsidRPr="007C6C64">
              <w:rPr>
                <w:rStyle w:val="Hyperlink"/>
                <w:noProof/>
              </w:rPr>
              <w:t>2.7 Të dhëna nga anketat e fundit të kreditimit bankar (T4 2024 / T1 2025)</w:t>
            </w:r>
            <w:r>
              <w:rPr>
                <w:noProof/>
                <w:webHidden/>
              </w:rPr>
              <w:tab/>
            </w:r>
            <w:r>
              <w:rPr>
                <w:noProof/>
                <w:webHidden/>
              </w:rPr>
              <w:fldChar w:fldCharType="begin"/>
            </w:r>
            <w:r>
              <w:rPr>
                <w:noProof/>
                <w:webHidden/>
              </w:rPr>
              <w:instrText xml:space="preserve"> PAGEREF _Toc198555001 \h </w:instrText>
            </w:r>
            <w:r>
              <w:rPr>
                <w:noProof/>
                <w:webHidden/>
              </w:rPr>
            </w:r>
            <w:r>
              <w:rPr>
                <w:noProof/>
                <w:webHidden/>
              </w:rPr>
              <w:fldChar w:fldCharType="separate"/>
            </w:r>
            <w:r>
              <w:rPr>
                <w:noProof/>
                <w:webHidden/>
              </w:rPr>
              <w:t>29</w:t>
            </w:r>
            <w:r>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5002" w:history="1">
            <w:r w:rsidRPr="007C6C64">
              <w:rPr>
                <w:rStyle w:val="Hyperlink"/>
                <w:noProof/>
              </w:rPr>
              <w:t>Pjesa 3: Studimi i Rastit – Hetimi i Hashim Rexhepit dhe Qeverisja Financiare</w:t>
            </w:r>
            <w:r>
              <w:rPr>
                <w:noProof/>
                <w:webHidden/>
              </w:rPr>
              <w:tab/>
            </w:r>
            <w:r>
              <w:rPr>
                <w:noProof/>
                <w:webHidden/>
              </w:rPr>
              <w:fldChar w:fldCharType="begin"/>
            </w:r>
            <w:r>
              <w:rPr>
                <w:noProof/>
                <w:webHidden/>
              </w:rPr>
              <w:instrText xml:space="preserve"> PAGEREF _Toc198555002 \h </w:instrText>
            </w:r>
            <w:r>
              <w:rPr>
                <w:noProof/>
                <w:webHidden/>
              </w:rPr>
            </w:r>
            <w:r>
              <w:rPr>
                <w:noProof/>
                <w:webHidden/>
              </w:rPr>
              <w:fldChar w:fldCharType="separate"/>
            </w:r>
            <w:r>
              <w:rPr>
                <w:noProof/>
                <w:webHidden/>
              </w:rPr>
              <w:t>33</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3" w:history="1">
            <w:r w:rsidRPr="007C6C64">
              <w:rPr>
                <w:rStyle w:val="Hyperlink"/>
                <w:noProof/>
              </w:rPr>
              <w:t>3.1 Konteksti: Banka Qendrore e Kosovës dhe Mandati i EULEX-it</w:t>
            </w:r>
            <w:r>
              <w:rPr>
                <w:noProof/>
                <w:webHidden/>
              </w:rPr>
              <w:tab/>
            </w:r>
            <w:r>
              <w:rPr>
                <w:noProof/>
                <w:webHidden/>
              </w:rPr>
              <w:fldChar w:fldCharType="begin"/>
            </w:r>
            <w:r>
              <w:rPr>
                <w:noProof/>
                <w:webHidden/>
              </w:rPr>
              <w:instrText xml:space="preserve"> PAGEREF _Toc198555003 \h </w:instrText>
            </w:r>
            <w:r>
              <w:rPr>
                <w:noProof/>
                <w:webHidden/>
              </w:rPr>
            </w:r>
            <w:r>
              <w:rPr>
                <w:noProof/>
                <w:webHidden/>
              </w:rPr>
              <w:fldChar w:fldCharType="separate"/>
            </w:r>
            <w:r>
              <w:rPr>
                <w:noProof/>
                <w:webHidden/>
              </w:rPr>
              <w:t>33</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4" w:history="1">
            <w:r w:rsidRPr="007C6C64">
              <w:rPr>
                <w:rStyle w:val="Hyperlink"/>
                <w:noProof/>
              </w:rPr>
              <w:t>3.2 Hetimi: Akuzat, Akuzat dhe Palët e Interesuara</w:t>
            </w:r>
            <w:r>
              <w:rPr>
                <w:noProof/>
                <w:webHidden/>
              </w:rPr>
              <w:tab/>
            </w:r>
            <w:r>
              <w:rPr>
                <w:noProof/>
                <w:webHidden/>
              </w:rPr>
              <w:fldChar w:fldCharType="begin"/>
            </w:r>
            <w:r>
              <w:rPr>
                <w:noProof/>
                <w:webHidden/>
              </w:rPr>
              <w:instrText xml:space="preserve"> PAGEREF _Toc198555004 \h </w:instrText>
            </w:r>
            <w:r>
              <w:rPr>
                <w:noProof/>
                <w:webHidden/>
              </w:rPr>
            </w:r>
            <w:r>
              <w:rPr>
                <w:noProof/>
                <w:webHidden/>
              </w:rPr>
              <w:fldChar w:fldCharType="separate"/>
            </w:r>
            <w:r>
              <w:rPr>
                <w:noProof/>
                <w:webHidden/>
              </w:rPr>
              <w:t>35</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5" w:history="1">
            <w:r w:rsidRPr="007C6C64">
              <w:rPr>
                <w:rStyle w:val="Hyperlink"/>
                <w:noProof/>
              </w:rPr>
              <w:t>3.3 Procedurat Ligjore dhe Kontradiktat: Një Analizë Kohore</w:t>
            </w:r>
            <w:r>
              <w:rPr>
                <w:noProof/>
                <w:webHidden/>
              </w:rPr>
              <w:tab/>
            </w:r>
            <w:r>
              <w:rPr>
                <w:noProof/>
                <w:webHidden/>
              </w:rPr>
              <w:fldChar w:fldCharType="begin"/>
            </w:r>
            <w:r>
              <w:rPr>
                <w:noProof/>
                <w:webHidden/>
              </w:rPr>
              <w:instrText xml:space="preserve"> PAGEREF _Toc198555005 \h </w:instrText>
            </w:r>
            <w:r>
              <w:rPr>
                <w:noProof/>
                <w:webHidden/>
              </w:rPr>
            </w:r>
            <w:r>
              <w:rPr>
                <w:noProof/>
                <w:webHidden/>
              </w:rPr>
              <w:fldChar w:fldCharType="separate"/>
            </w:r>
            <w:r>
              <w:rPr>
                <w:noProof/>
                <w:webHidden/>
              </w:rPr>
              <w:t>37</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6" w:history="1">
            <w:r w:rsidRPr="007C6C64">
              <w:rPr>
                <w:rStyle w:val="Hyperlink"/>
                <w:noProof/>
              </w:rPr>
              <w:t>3.4 Analiza e Çështjeve Procedurale dhe Debateve mbi Provat</w:t>
            </w:r>
            <w:r>
              <w:rPr>
                <w:noProof/>
                <w:webHidden/>
              </w:rPr>
              <w:tab/>
            </w:r>
            <w:r>
              <w:rPr>
                <w:noProof/>
                <w:webHidden/>
              </w:rPr>
              <w:fldChar w:fldCharType="begin"/>
            </w:r>
            <w:r>
              <w:rPr>
                <w:noProof/>
                <w:webHidden/>
              </w:rPr>
              <w:instrText xml:space="preserve"> PAGEREF _Toc198555006 \h </w:instrText>
            </w:r>
            <w:r>
              <w:rPr>
                <w:noProof/>
                <w:webHidden/>
              </w:rPr>
            </w:r>
            <w:r>
              <w:rPr>
                <w:noProof/>
                <w:webHidden/>
              </w:rPr>
              <w:fldChar w:fldCharType="separate"/>
            </w:r>
            <w:r>
              <w:rPr>
                <w:noProof/>
                <w:webHidden/>
              </w:rPr>
              <w:t>41</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7" w:history="1">
            <w:r w:rsidRPr="007C6C64">
              <w:rPr>
                <w:rStyle w:val="Hyperlink"/>
                <w:noProof/>
              </w:rPr>
              <w:t>3.5 Hedhja poshtë e akuzave dhe rezultatet ligjore</w:t>
            </w:r>
            <w:r>
              <w:rPr>
                <w:noProof/>
                <w:webHidden/>
              </w:rPr>
              <w:tab/>
            </w:r>
            <w:r>
              <w:rPr>
                <w:noProof/>
                <w:webHidden/>
              </w:rPr>
              <w:fldChar w:fldCharType="begin"/>
            </w:r>
            <w:r>
              <w:rPr>
                <w:noProof/>
                <w:webHidden/>
              </w:rPr>
              <w:instrText xml:space="preserve"> PAGEREF _Toc198555007 \h </w:instrText>
            </w:r>
            <w:r>
              <w:rPr>
                <w:noProof/>
                <w:webHidden/>
              </w:rPr>
            </w:r>
            <w:r>
              <w:rPr>
                <w:noProof/>
                <w:webHidden/>
              </w:rPr>
              <w:fldChar w:fldCharType="separate"/>
            </w:r>
            <w:r>
              <w:rPr>
                <w:noProof/>
                <w:webHidden/>
              </w:rPr>
              <w:t>42</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08" w:history="1">
            <w:r w:rsidRPr="007C6C64">
              <w:rPr>
                <w:rStyle w:val="Hyperlink"/>
                <w:noProof/>
              </w:rPr>
              <w:t>3.6 Implikime më të gjera: Pavarësia Institucionale, Sundimi i Ligjit dhe Besimi Publik</w:t>
            </w:r>
            <w:r>
              <w:rPr>
                <w:noProof/>
                <w:webHidden/>
              </w:rPr>
              <w:tab/>
            </w:r>
            <w:r>
              <w:rPr>
                <w:noProof/>
                <w:webHidden/>
              </w:rPr>
              <w:fldChar w:fldCharType="begin"/>
            </w:r>
            <w:r>
              <w:rPr>
                <w:noProof/>
                <w:webHidden/>
              </w:rPr>
              <w:instrText xml:space="preserve"> PAGEREF _Toc198555008 \h </w:instrText>
            </w:r>
            <w:r>
              <w:rPr>
                <w:noProof/>
                <w:webHidden/>
              </w:rPr>
            </w:r>
            <w:r>
              <w:rPr>
                <w:noProof/>
                <w:webHidden/>
              </w:rPr>
              <w:fldChar w:fldCharType="separate"/>
            </w:r>
            <w:r>
              <w:rPr>
                <w:noProof/>
                <w:webHidden/>
              </w:rPr>
              <w:t>43</w:t>
            </w:r>
            <w:r>
              <w:rPr>
                <w:noProof/>
                <w:webHidden/>
              </w:rPr>
              <w:fldChar w:fldCharType="end"/>
            </w:r>
          </w:hyperlink>
        </w:p>
        <w:p w:rsidR="00077A39" w:rsidRDefault="00077A39">
          <w:pPr>
            <w:pStyle w:val="TOC1"/>
            <w:tabs>
              <w:tab w:val="right" w:leader="dot" w:pos="8495"/>
            </w:tabs>
            <w:rPr>
              <w:rFonts w:asciiTheme="minorHAnsi" w:eastAsiaTheme="minorEastAsia" w:hAnsiTheme="minorHAnsi" w:cstheme="minorBidi"/>
              <w:noProof/>
              <w:color w:val="auto"/>
              <w:szCs w:val="24"/>
              <w:lang w:val="en-US"/>
            </w:rPr>
          </w:pPr>
          <w:hyperlink w:anchor="_Toc198555009" w:history="1">
            <w:r w:rsidRPr="007C6C64">
              <w:rPr>
                <w:rStyle w:val="Hyperlink"/>
                <w:noProof/>
              </w:rPr>
              <w:t>Përfundim</w:t>
            </w:r>
            <w:r>
              <w:rPr>
                <w:noProof/>
                <w:webHidden/>
              </w:rPr>
              <w:tab/>
            </w:r>
            <w:r>
              <w:rPr>
                <w:noProof/>
                <w:webHidden/>
              </w:rPr>
              <w:fldChar w:fldCharType="begin"/>
            </w:r>
            <w:r>
              <w:rPr>
                <w:noProof/>
                <w:webHidden/>
              </w:rPr>
              <w:instrText xml:space="preserve"> PAGEREF _Toc198555009 \h </w:instrText>
            </w:r>
            <w:r>
              <w:rPr>
                <w:noProof/>
                <w:webHidden/>
              </w:rPr>
            </w:r>
            <w:r>
              <w:rPr>
                <w:noProof/>
                <w:webHidden/>
              </w:rPr>
              <w:fldChar w:fldCharType="separate"/>
            </w:r>
            <w:r>
              <w:rPr>
                <w:noProof/>
                <w:webHidden/>
              </w:rPr>
              <w:t>45</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10" w:history="1">
            <w:r w:rsidRPr="007C6C64">
              <w:rPr>
                <w:rStyle w:val="Hyperlink"/>
                <w:noProof/>
              </w:rPr>
              <w:t>Përmbledhje Analitike e Konkluzioneve</w:t>
            </w:r>
            <w:r>
              <w:rPr>
                <w:noProof/>
                <w:webHidden/>
              </w:rPr>
              <w:tab/>
            </w:r>
            <w:r>
              <w:rPr>
                <w:noProof/>
                <w:webHidden/>
              </w:rPr>
              <w:fldChar w:fldCharType="begin"/>
            </w:r>
            <w:r>
              <w:rPr>
                <w:noProof/>
                <w:webHidden/>
              </w:rPr>
              <w:instrText xml:space="preserve"> PAGEREF _Toc198555010 \h </w:instrText>
            </w:r>
            <w:r>
              <w:rPr>
                <w:noProof/>
                <w:webHidden/>
              </w:rPr>
            </w:r>
            <w:r>
              <w:rPr>
                <w:noProof/>
                <w:webHidden/>
              </w:rPr>
              <w:fldChar w:fldCharType="separate"/>
            </w:r>
            <w:r>
              <w:rPr>
                <w:noProof/>
                <w:webHidden/>
              </w:rPr>
              <w:t>45</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11" w:history="1">
            <w:r w:rsidRPr="007C6C64">
              <w:rPr>
                <w:rStyle w:val="Hyperlink"/>
                <w:noProof/>
              </w:rPr>
              <w:t>Përmbledhje kryesore për zhvillimin e sektorit financiar dhe integritetin institucional të Kosovës</w:t>
            </w:r>
            <w:r>
              <w:rPr>
                <w:noProof/>
                <w:webHidden/>
              </w:rPr>
              <w:tab/>
            </w:r>
            <w:r>
              <w:rPr>
                <w:noProof/>
                <w:webHidden/>
              </w:rPr>
              <w:fldChar w:fldCharType="begin"/>
            </w:r>
            <w:r>
              <w:rPr>
                <w:noProof/>
                <w:webHidden/>
              </w:rPr>
              <w:instrText xml:space="preserve"> PAGEREF _Toc198555011 \h </w:instrText>
            </w:r>
            <w:r>
              <w:rPr>
                <w:noProof/>
                <w:webHidden/>
              </w:rPr>
            </w:r>
            <w:r>
              <w:rPr>
                <w:noProof/>
                <w:webHidden/>
              </w:rPr>
              <w:fldChar w:fldCharType="separate"/>
            </w:r>
            <w:r>
              <w:rPr>
                <w:noProof/>
                <w:webHidden/>
              </w:rPr>
              <w:t>46</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12" w:history="1">
            <w:r w:rsidRPr="007C6C64">
              <w:rPr>
                <w:rStyle w:val="Hyperlink"/>
                <w:noProof/>
              </w:rPr>
              <w:t>Vlerësim Analitik dhe Rekomandime Strategjike</w:t>
            </w:r>
            <w:r>
              <w:rPr>
                <w:noProof/>
                <w:webHidden/>
              </w:rPr>
              <w:tab/>
            </w:r>
            <w:r>
              <w:rPr>
                <w:noProof/>
                <w:webHidden/>
              </w:rPr>
              <w:fldChar w:fldCharType="begin"/>
            </w:r>
            <w:r>
              <w:rPr>
                <w:noProof/>
                <w:webHidden/>
              </w:rPr>
              <w:instrText xml:space="preserve"> PAGEREF _Toc198555012 \h </w:instrText>
            </w:r>
            <w:r>
              <w:rPr>
                <w:noProof/>
                <w:webHidden/>
              </w:rPr>
            </w:r>
            <w:r>
              <w:rPr>
                <w:noProof/>
                <w:webHidden/>
              </w:rPr>
              <w:fldChar w:fldCharType="separate"/>
            </w:r>
            <w:r>
              <w:rPr>
                <w:noProof/>
                <w:webHidden/>
              </w:rPr>
              <w:t>47</w:t>
            </w:r>
            <w:r>
              <w:rPr>
                <w:noProof/>
                <w:webHidden/>
              </w:rPr>
              <w:fldChar w:fldCharType="end"/>
            </w:r>
          </w:hyperlink>
        </w:p>
        <w:p w:rsidR="00077A39" w:rsidRDefault="00077A39">
          <w:pPr>
            <w:pStyle w:val="TOC2"/>
            <w:tabs>
              <w:tab w:val="right" w:leader="dot" w:pos="8495"/>
            </w:tabs>
            <w:rPr>
              <w:rFonts w:asciiTheme="minorHAnsi" w:eastAsiaTheme="minorEastAsia" w:hAnsiTheme="minorHAnsi" w:cstheme="minorBidi"/>
              <w:noProof/>
              <w:color w:val="auto"/>
              <w:szCs w:val="24"/>
              <w:lang w:val="en-US"/>
            </w:rPr>
          </w:pPr>
          <w:hyperlink w:anchor="_Toc198555013" w:history="1">
            <w:r w:rsidRPr="007C6C64">
              <w:rPr>
                <w:rStyle w:val="Hyperlink"/>
                <w:noProof/>
              </w:rPr>
              <w:t>Veprat e cituara</w:t>
            </w:r>
            <w:r>
              <w:rPr>
                <w:noProof/>
                <w:webHidden/>
              </w:rPr>
              <w:tab/>
            </w:r>
            <w:r>
              <w:rPr>
                <w:noProof/>
                <w:webHidden/>
              </w:rPr>
              <w:fldChar w:fldCharType="begin"/>
            </w:r>
            <w:r>
              <w:rPr>
                <w:noProof/>
                <w:webHidden/>
              </w:rPr>
              <w:instrText xml:space="preserve"> PAGEREF _Toc198555013 \h </w:instrText>
            </w:r>
            <w:r>
              <w:rPr>
                <w:noProof/>
                <w:webHidden/>
              </w:rPr>
            </w:r>
            <w:r>
              <w:rPr>
                <w:noProof/>
                <w:webHidden/>
              </w:rPr>
              <w:fldChar w:fldCharType="separate"/>
            </w:r>
            <w:r>
              <w:rPr>
                <w:noProof/>
                <w:webHidden/>
              </w:rPr>
              <w:t>48</w:t>
            </w:r>
            <w:r>
              <w:rPr>
                <w:noProof/>
                <w:webHidden/>
              </w:rPr>
              <w:fldChar w:fldCharType="end"/>
            </w:r>
          </w:hyperlink>
        </w:p>
        <w:p w:rsidR="006847EA" w:rsidRDefault="006847EA">
          <w:r>
            <w:rPr>
              <w:b/>
              <w:bCs/>
              <w:noProof/>
            </w:rPr>
            <w:fldChar w:fldCharType="end"/>
          </w:r>
        </w:p>
      </w:sdtContent>
    </w:sdt>
    <w:p w:rsidR="006847EA" w:rsidRDefault="006847EA" w:rsidP="006847EA">
      <w:pPr>
        <w:jc w:val="center"/>
      </w:pPr>
    </w:p>
    <w:p w:rsidR="006847EA" w:rsidRDefault="006847EA" w:rsidP="006847EA">
      <w:pPr>
        <w:jc w:val="center"/>
      </w:pPr>
    </w:p>
    <w:p w:rsidR="006847EA" w:rsidRDefault="006847EA" w:rsidP="006847EA">
      <w:pPr>
        <w:jc w:val="center"/>
      </w:pPr>
    </w:p>
    <w:p w:rsidR="006847EA" w:rsidRDefault="006847EA" w:rsidP="006847EA">
      <w:pPr>
        <w:jc w:val="center"/>
      </w:pPr>
    </w:p>
    <w:p w:rsidR="006847EA" w:rsidRDefault="006847EA" w:rsidP="006847EA">
      <w:pPr>
        <w:jc w:val="center"/>
      </w:pPr>
    </w:p>
    <w:p w:rsidR="006847EA" w:rsidRDefault="006847EA" w:rsidP="006847EA">
      <w:pPr>
        <w:jc w:val="center"/>
      </w:pPr>
    </w:p>
    <w:p w:rsidR="006847EA" w:rsidRDefault="006847EA" w:rsidP="006847EA">
      <w:pPr>
        <w:jc w:val="center"/>
      </w:pPr>
    </w:p>
    <w:p w:rsidR="006847EA" w:rsidRDefault="006847EA" w:rsidP="006847EA">
      <w:pPr>
        <w:jc w:val="center"/>
      </w:pPr>
    </w:p>
    <w:p w:rsidR="006847EA" w:rsidRDefault="006847EA" w:rsidP="006847EA">
      <w:pPr>
        <w:jc w:val="center"/>
      </w:pPr>
    </w:p>
    <w:p w:rsidR="006847EA" w:rsidRDefault="006847EA" w:rsidP="006847EA">
      <w:pPr>
        <w:jc w:val="center"/>
      </w:pPr>
    </w:p>
    <w:p w:rsidR="006847EA" w:rsidRPr="00BF2D78" w:rsidRDefault="006847EA" w:rsidP="006847EA"/>
    <w:p w:rsidR="00BF2D78" w:rsidRPr="00BF2D78" w:rsidRDefault="00BF2D78" w:rsidP="003E1D2F">
      <w:pPr>
        <w:pStyle w:val="Heading1"/>
      </w:pPr>
      <w:bookmarkStart w:id="4" w:name="_Toc198554985"/>
      <w:r w:rsidRPr="00BF2D78">
        <w:lastRenderedPageBreak/>
        <w:t>Kuptimi i Kredive, Tregu i Kosovës dhe Mësimet nga një Rast i Madh Financiar: Një Raport Analitik</w:t>
      </w:r>
      <w:bookmarkEnd w:id="4"/>
    </w:p>
    <w:p w:rsidR="00BF2D78" w:rsidRPr="00BF2D78" w:rsidRDefault="00BF2D78" w:rsidP="003E1D2F">
      <w:pPr>
        <w:pStyle w:val="Heading1"/>
      </w:pPr>
      <w:bookmarkStart w:id="5" w:name="_Toc198554986"/>
      <w:r w:rsidRPr="00BF2D78">
        <w:t>Hyrje</w:t>
      </w:r>
      <w:bookmarkEnd w:id="5"/>
    </w:p>
    <w:p w:rsidR="00BF2D78" w:rsidRPr="00BF2D78" w:rsidRDefault="00077A39" w:rsidP="003F6AFA">
      <w:pPr>
        <w:pStyle w:val="Heading2"/>
      </w:pPr>
      <w:bookmarkStart w:id="6" w:name="_Toc198554987"/>
      <w:r>
        <w:t>Objektivat dhe Shtrirja</w:t>
      </w:r>
      <w:r w:rsidR="00BF2D78" w:rsidRPr="00BF2D78">
        <w:t xml:space="preserve"> e Raportit</w:t>
      </w:r>
      <w:bookmarkEnd w:id="6"/>
    </w:p>
    <w:p w:rsidR="00BF2D78" w:rsidRDefault="00BF2D78" w:rsidP="003E1D2F">
      <w:pPr>
        <w:widowControl w:val="0"/>
        <w:pBdr>
          <w:top w:val="nil"/>
          <w:left w:val="nil"/>
          <w:bottom w:val="nil"/>
          <w:right w:val="nil"/>
          <w:between w:val="nil"/>
        </w:pBdr>
      </w:pPr>
      <w:r w:rsidRPr="00BF2D78">
        <w:t>Ky raport ofron një analizë gjithëpërfshirëse që integron tre fusha kryesore: parimet themelore të huadhënies, dinamikën specifike të tregut të kredive personale në Kosovë dhe një shqyrtim të detajuar të një studimi të rëndësishëm rasti që përfshin sjellje të dyshuara të pahijshme financiare dhe sfida institucionale - hetimin e ish-Guvernatorit të Bankës Qendrore të Kosovës (BQK) Hashim Rexhepi. Fusha e studimit përfshin konceptet themelore të kredisë, duke përfshirë përkufizimet, llojet dhe ciklin jetësor të kredisë. Ai vazhdon me një analizë të detajuar të tregut të kredisë personale në Kosovë, duke mbuluar mjedisin financiar, pjesëmarrësit kryesorë, karakteristikat e produktit, trendet e tregut, kornizat rregullatore dhe faktorët nxitës të kërkesës për kredi. Së fundmi, raporti ofron një shqyrtim të thelluar të rastit Hashim Rexhepi, duke shqyrtuar kontekstin e tij, procedurat ligjore, polemikat përkatëse, rezultatet përfundimtare dhe implikimet më të gjera.</w:t>
      </w:r>
    </w:p>
    <w:p w:rsidR="00BF2D78" w:rsidRDefault="00DC170B" w:rsidP="003E1D2F">
      <w:pPr>
        <w:widowControl w:val="0"/>
        <w:pBdr>
          <w:top w:val="nil"/>
          <w:left w:val="nil"/>
          <w:bottom w:val="nil"/>
          <w:right w:val="nil"/>
          <w:between w:val="nil"/>
        </w:pBdr>
        <w:tabs>
          <w:tab w:val="left" w:pos="1370"/>
        </w:tabs>
      </w:pPr>
      <w:r>
        <w:tab/>
      </w:r>
    </w:p>
    <w:p w:rsidR="00BF2D78" w:rsidRDefault="00077A39" w:rsidP="003F6AFA">
      <w:pPr>
        <w:pStyle w:val="Heading2"/>
      </w:pPr>
      <w:bookmarkStart w:id="7" w:name="_Toc198554988"/>
      <w:r w:rsidRPr="00077A39">
        <w:t>Pesha Strategjike për Sistemin Financiar dhe Institucional të Kosovës</w:t>
      </w:r>
      <w:bookmarkEnd w:id="7"/>
    </w:p>
    <w:p w:rsidR="00DB2A7B" w:rsidRDefault="00DB2A7B" w:rsidP="003E1D2F">
      <w:pPr>
        <w:pBdr>
          <w:top w:val="nil"/>
          <w:left w:val="nil"/>
          <w:bottom w:val="nil"/>
          <w:right w:val="nil"/>
          <w:between w:val="nil"/>
        </w:pBdr>
        <w:rPr>
          <w:rFonts w:ascii="Google Sans Text" w:eastAsia="Google Sans Text" w:hAnsi="Google Sans Text"/>
          <w:color w:val="575B5F"/>
          <w:szCs w:val="24"/>
          <w:vertAlign w:val="superscript"/>
        </w:rPr>
      </w:pPr>
      <w:bookmarkStart w:id="8" w:name="_Hlk197678214"/>
      <w:bookmarkStart w:id="9" w:name="_Hlk197678131"/>
      <w:bookmarkStart w:id="10" w:name="_Hlk197678085"/>
      <w:r w:rsidRPr="00DB2A7B">
        <w:t>Të kuptuarit e këtyre elementëve të ndërlidhur është thelbësor për vlerësimin e zhvillimit të sektorit financiar të Kosovës, stabilitetit të tregut, efektivitetit të kornizave rregullatore dhe integritetit institucional, veçanërisht në lidhje me Bankën Qendrore të Kosovës (BQK). Analiza ofron njohuri relevante për politikëbërësit, institucionet financiare që operojnë në Kosovë, organizatat ndërkombëtare të përfshira në iniciativat e zhvillimit dhe sundimit të ligjit, si dhe studiuesit akademikë që studiojnë financat dhe qeverisjen e tregjeve në zhvillim. Rasti Rexhepi, në veçanti, shërben si një lente kritike përmes së cilës mund të shqyrtohen sfidat e vendosjes së sundimit të ligjit, sigurimit të pavarësisë institucionale dhe lundrimit në kompleksitetet e ndikimit politik brenda sistemit financiar në zhvillim të Kosovës.</w:t>
      </w:r>
      <w:r w:rsidRPr="00DB2A7B">
        <w:rPr>
          <w:rFonts w:eastAsia="Google Sans Text" w:cs="Times New Roman"/>
          <w:color w:val="575B5F"/>
          <w:szCs w:val="24"/>
          <w:vertAlign w:val="superscript"/>
        </w:rPr>
        <w:t>1</w:t>
      </w:r>
      <w:r w:rsidRPr="00DB2A7B">
        <w:t xml:space="preserve"> Rritja e shpejtë e sektorit financiar, veçanërisht në ofrimin e </w:t>
      </w:r>
      <w:r w:rsidRPr="00DB2A7B">
        <w:lastRenderedPageBreak/>
        <w:t>kredive, nënvizon rëndësinë e mbikëqyrjes së fortë dhe të kuptimit të dinamikës së tregut për të siguruar përparim të qëndrueshëm ekonomik</w:t>
      </w:r>
      <w:bookmarkEnd w:id="8"/>
      <w:r w:rsidRPr="00DB2A7B">
        <w:t>.</w:t>
      </w:r>
      <w:bookmarkStart w:id="11" w:name="_Hlk197678164"/>
      <w:bookmarkEnd w:id="9"/>
      <w:r w:rsidRPr="00DB2A7B">
        <w:rPr>
          <w:rFonts w:eastAsia="Google Sans Text" w:cs="Times New Roman"/>
          <w:color w:val="575B5F"/>
          <w:szCs w:val="24"/>
          <w:vertAlign w:val="superscript"/>
        </w:rPr>
        <w:t>2</w:t>
      </w:r>
      <w:bookmarkEnd w:id="11"/>
    </w:p>
    <w:p w:rsidR="00DC170B" w:rsidRDefault="00DC170B" w:rsidP="003E1D2F">
      <w:pPr>
        <w:pStyle w:val="Heading1"/>
      </w:pPr>
      <w:bookmarkStart w:id="12" w:name="_Toc198554989"/>
      <w:bookmarkEnd w:id="10"/>
      <w:r w:rsidRPr="00DC170B">
        <w:t>Pjesa 1: Bazat e Kredisë – Konceptet dhe Llojet Kryesore</w:t>
      </w:r>
      <w:bookmarkEnd w:id="12"/>
    </w:p>
    <w:p w:rsidR="00DC170B" w:rsidRDefault="00DC170B" w:rsidP="003F6AFA">
      <w:pPr>
        <w:pStyle w:val="Heading2"/>
      </w:pPr>
      <w:bookmarkStart w:id="13" w:name="_Toc198554990"/>
      <w:r w:rsidRPr="00DC170B">
        <w:t xml:space="preserve">1.1 </w:t>
      </w:r>
      <w:r w:rsidR="00077A39" w:rsidRPr="00077A39">
        <w:t>Kreditë: Elementët Themelorë dhe Termat Kryesorë</w:t>
      </w:r>
      <w:bookmarkEnd w:id="13"/>
    </w:p>
    <w:p w:rsidR="00DB2A7B" w:rsidRPr="00DB2A7B" w:rsidRDefault="005D0E9E" w:rsidP="003E1D2F">
      <w:pPr>
        <w:pBdr>
          <w:top w:val="nil"/>
          <w:left w:val="nil"/>
          <w:bottom w:val="nil"/>
          <w:right w:val="nil"/>
          <w:between w:val="nil"/>
        </w:pBdr>
        <w:spacing w:after="120"/>
      </w:pPr>
      <w:bookmarkStart w:id="14" w:name="_Hlk197678731"/>
      <w:bookmarkStart w:id="15" w:name="_Hlk197678696"/>
      <w:r w:rsidRPr="005D0E9E">
        <w:t>Kredia është një instrument financiar i borxhit përmes së cilës huadhënësi i vë në dispozicion një shumë parash huamarrësit</w:t>
      </w:r>
      <w:r w:rsidR="00DB2A7B" w:rsidRPr="00DB2A7B">
        <w:t>. Kjo marrëveshje bazohet në premtimin e huamarrësit për të shlyer shumën e marrë hua, të njohur si principal, së bashku me tarifa shtesë financiare, kryesisht interesa, gjatë një periudhe të paracaktuar.</w:t>
      </w:r>
      <w:r w:rsidR="00DB2A7B" w:rsidRPr="00DB2A7B">
        <w:rPr>
          <w:rFonts w:eastAsia="Google Sans Text" w:cs="Times New Roman"/>
          <w:color w:val="575B5F"/>
          <w:szCs w:val="24"/>
          <w:vertAlign w:val="superscript"/>
        </w:rPr>
        <w:t>5</w:t>
      </w:r>
      <w:r w:rsidR="00DB2A7B">
        <w:rPr>
          <w:rFonts w:ascii="Google Sans Text" w:eastAsia="Google Sans Text" w:hAnsi="Google Sans Text"/>
          <w:szCs w:val="24"/>
        </w:rPr>
        <w:t xml:space="preserve"> </w:t>
      </w:r>
      <w:r w:rsidR="00DB2A7B" w:rsidRPr="00DB2A7B">
        <w:t>Kreditë mund të strukturohen si një pagesë specifike, e njëhershme ose si një linjë kredie me afat të hapur, e disponueshme deri në një limit të caktuar.</w:t>
      </w:r>
      <w:r w:rsidR="00DB2A7B" w:rsidRPr="00DB2A7B">
        <w:rPr>
          <w:rFonts w:eastAsia="Google Sans Text" w:cs="Times New Roman"/>
          <w:color w:val="575B5F"/>
          <w:szCs w:val="24"/>
          <w:vertAlign w:val="superscript"/>
        </w:rPr>
        <w:t>5</w:t>
      </w:r>
      <w:r w:rsidR="00DB2A7B">
        <w:rPr>
          <w:rFonts w:ascii="Google Sans Text" w:eastAsia="Google Sans Text" w:hAnsi="Google Sans Text"/>
          <w:szCs w:val="24"/>
        </w:rPr>
        <w:t xml:space="preserve"> </w:t>
      </w:r>
      <w:r w:rsidR="00DB2A7B" w:rsidRPr="00DB2A7B">
        <w:t>Të kuptuarit e komponentëve kryesorë është thelbësor si për huadhënësit që vlerësojnë rrezikun ashtu edhe për huamarrësit që vlerësojnë koston dhe detyrimet e borxhit</w:t>
      </w:r>
      <w:bookmarkEnd w:id="14"/>
      <w:r w:rsidR="00DB2A7B" w:rsidRPr="00DB2A7B">
        <w:t>.</w:t>
      </w:r>
    </w:p>
    <w:p w:rsidR="00DB2A7B" w:rsidRDefault="00DB2A7B" w:rsidP="003E1D2F">
      <w:pPr>
        <w:widowControl w:val="0"/>
        <w:numPr>
          <w:ilvl w:val="0"/>
          <w:numId w:val="1"/>
        </w:numPr>
        <w:pBdr>
          <w:top w:val="nil"/>
          <w:left w:val="nil"/>
          <w:bottom w:val="nil"/>
          <w:right w:val="nil"/>
          <w:between w:val="nil"/>
        </w:pBdr>
        <w:spacing w:after="0"/>
        <w:jc w:val="left"/>
      </w:pPr>
      <w:r w:rsidRPr="00DB2A7B">
        <w:rPr>
          <w:b/>
          <w:bCs/>
        </w:rPr>
        <w:t>Drejtori:</w:t>
      </w:r>
      <w:r w:rsidRPr="00DB2A7B">
        <w:t xml:space="preserve"> Kjo është shuma origjinale e parave të marra hua ose, në një kontekst investimi, të vendosura fillimisht. Ajo formon bazën për llogaritjen e pagesave të interesit dhe strukturimin e orarit të shlyerjes. Ndërsa huamarrësi kryen pagesa gjatë afatit të kredisë, një pjesë ndahet për të zvogëluar bilancin e principalit të papaguar.</w:t>
      </w:r>
      <w:r w:rsidRPr="00DB2A7B">
        <w:rPr>
          <w:rFonts w:eastAsia="Google Sans Text" w:cs="Times New Roman"/>
          <w:color w:val="575B5F"/>
          <w:szCs w:val="24"/>
          <w:vertAlign w:val="superscript"/>
        </w:rPr>
        <w:t>5</w:t>
      </w:r>
    </w:p>
    <w:p w:rsidR="00DB2A7B" w:rsidRPr="00DB2A7B" w:rsidRDefault="00DB2A7B" w:rsidP="003E1D2F">
      <w:pPr>
        <w:widowControl w:val="0"/>
        <w:numPr>
          <w:ilvl w:val="0"/>
          <w:numId w:val="1"/>
        </w:numPr>
        <w:pBdr>
          <w:top w:val="nil"/>
          <w:left w:val="nil"/>
          <w:bottom w:val="nil"/>
          <w:right w:val="nil"/>
          <w:between w:val="nil"/>
        </w:pBdr>
        <w:spacing w:after="0"/>
        <w:jc w:val="left"/>
      </w:pPr>
      <w:r w:rsidRPr="00DB2A7B">
        <w:rPr>
          <w:b/>
          <w:bCs/>
        </w:rPr>
        <w:t>Interesi:</w:t>
      </w:r>
      <w:r w:rsidR="0067560B">
        <w:rPr>
          <w:b/>
          <w:bCs/>
        </w:rPr>
        <w:t xml:space="preserve"> </w:t>
      </w:r>
      <w:r w:rsidRPr="00DB2A7B">
        <w:t>Kjo përfaqëson koston e ngarkuar nga huadhënësi për përdorimin e principalit nga huamarrësi. Është burimi kryesor i kthimit të kredisë nga huadhënësi dhe përbën koston e borxhit për huamarrësin.</w:t>
      </w:r>
      <w:r w:rsidRPr="00DB2A7B">
        <w:rPr>
          <w:rFonts w:eastAsia="Google Sans Text" w:cs="Times New Roman"/>
          <w:color w:val="575B5F"/>
          <w:szCs w:val="24"/>
          <w:vertAlign w:val="superscript"/>
        </w:rPr>
        <w:t>5</w:t>
      </w:r>
      <w:r>
        <w:rPr>
          <w:rFonts w:ascii="Google Sans Text" w:eastAsia="Google Sans Text" w:hAnsi="Google Sans Text"/>
          <w:szCs w:val="24"/>
        </w:rPr>
        <w:t xml:space="preserve"> </w:t>
      </w:r>
      <w:r w:rsidRPr="00DB2A7B">
        <w:t>Metodat e llogaritjes së interesit ndikojnë ndjeshëm në koston totale:</w:t>
      </w:r>
    </w:p>
    <w:p w:rsidR="00DB2A7B" w:rsidRDefault="00DB2A7B" w:rsidP="003E1D2F">
      <w:pPr>
        <w:widowControl w:val="0"/>
        <w:numPr>
          <w:ilvl w:val="1"/>
          <w:numId w:val="2"/>
        </w:numPr>
        <w:pBdr>
          <w:top w:val="nil"/>
          <w:left w:val="nil"/>
          <w:bottom w:val="nil"/>
          <w:right w:val="nil"/>
          <w:between w:val="nil"/>
        </w:pBdr>
        <w:spacing w:after="0"/>
        <w:jc w:val="left"/>
      </w:pPr>
      <w:r w:rsidRPr="00DB2A7B">
        <w:rPr>
          <w:b/>
          <w:bCs/>
        </w:rPr>
        <w:t>Interes i thjeshtë:</w:t>
      </w:r>
      <w:r>
        <w:rPr>
          <w:b/>
          <w:bCs/>
        </w:rPr>
        <w:t xml:space="preserve"> </w:t>
      </w:r>
      <w:r w:rsidRPr="00DB2A7B">
        <w:t xml:space="preserve">Llogaritet vetëm mbi shumën fillestare të principalit gjatë gjithë afatit të kredisë. Formula është zakonisht </w:t>
      </w:r>
      <w:r w:rsidRPr="00DB2A7B">
        <w:rPr>
          <w:b/>
          <w:bCs/>
        </w:rPr>
        <w:t>Interesi = Kryesori × Norma × Koha</w:t>
      </w:r>
      <w:r w:rsidRPr="00DB2A7B">
        <w:t>.</w:t>
      </w:r>
      <w:r w:rsidRPr="00DB2A7B">
        <w:rPr>
          <w:rFonts w:eastAsia="Google Sans Text" w:cs="Times New Roman"/>
          <w:color w:val="575B5F"/>
          <w:szCs w:val="24"/>
          <w:vertAlign w:val="superscript"/>
        </w:rPr>
        <w:t>6</w:t>
      </w:r>
      <w:r>
        <w:rPr>
          <w:rFonts w:ascii="Google Sans Text" w:eastAsia="Google Sans Text" w:hAnsi="Google Sans Text"/>
          <w:szCs w:val="24"/>
        </w:rPr>
        <w:t xml:space="preserve"> </w:t>
      </w:r>
      <w:r w:rsidRPr="00DB2A7B">
        <w:t>Ndërkohë që interesi i drejtpërdrejtë, i thjeshtë është më pak i zakonshëm për shumë struktura të kredive konsumatore krahasuar me kreditë amortizuese ku pagesat mbulojnë si principalin ashtu edhe interesin e llogaritur mbi bilancin në rënie.</w:t>
      </w:r>
      <w:r w:rsidRPr="00DB2A7B">
        <w:rPr>
          <w:rFonts w:eastAsia="Google Sans Text" w:cs="Times New Roman"/>
          <w:color w:val="575B5F"/>
          <w:szCs w:val="24"/>
          <w:vertAlign w:val="superscript"/>
        </w:rPr>
        <w:t>6</w:t>
      </w:r>
    </w:p>
    <w:p w:rsidR="00DB2A7B" w:rsidRDefault="00DB2A7B" w:rsidP="003E1D2F">
      <w:pPr>
        <w:widowControl w:val="0"/>
        <w:numPr>
          <w:ilvl w:val="1"/>
          <w:numId w:val="2"/>
        </w:numPr>
        <w:pBdr>
          <w:top w:val="nil"/>
          <w:left w:val="nil"/>
          <w:bottom w:val="nil"/>
          <w:right w:val="nil"/>
          <w:between w:val="nil"/>
        </w:pBdr>
        <w:spacing w:after="0"/>
        <w:jc w:val="left"/>
      </w:pPr>
      <w:r w:rsidRPr="0067560B">
        <w:rPr>
          <w:b/>
          <w:bCs/>
        </w:rPr>
        <w:t>Interesi i përbërë:</w:t>
      </w:r>
      <w:r w:rsidR="0067560B">
        <w:rPr>
          <w:b/>
          <w:bCs/>
        </w:rPr>
        <w:t xml:space="preserve"> </w:t>
      </w:r>
      <w:r w:rsidRPr="0067560B">
        <w:t xml:space="preserve">Llogaritet mbi shumën kryesore plus çdo interes që është akumuluar në periudhat e mëparshme. Ky efekt i "interesit mbi interesin" çon në një rritje më të shpejtë të shumës së detyruar (ose të fituar, në rastin e kursimeve/investimeve) krahasuar me interesin e thjeshtë, veçanërisht në afate </w:t>
      </w:r>
      <w:r w:rsidRPr="0067560B">
        <w:lastRenderedPageBreak/>
        <w:t>më të gjata.</w:t>
      </w:r>
      <w:r w:rsidRPr="0067560B">
        <w:rPr>
          <w:rFonts w:eastAsia="Google Sans Text" w:cs="Times New Roman"/>
          <w:color w:val="575B5F"/>
          <w:szCs w:val="24"/>
          <w:vertAlign w:val="superscript"/>
        </w:rPr>
        <w:t>6</w:t>
      </w:r>
      <w:r w:rsidR="0067560B">
        <w:rPr>
          <w:rFonts w:ascii="Google Sans Text" w:eastAsia="Google Sans Text" w:hAnsi="Google Sans Text"/>
          <w:szCs w:val="24"/>
        </w:rPr>
        <w:t xml:space="preserve"> </w:t>
      </w:r>
      <w:r w:rsidR="0067560B" w:rsidRPr="0067560B">
        <w:t>D</w:t>
      </w:r>
      <w:r w:rsidRPr="0067560B">
        <w:t>allimi midis interesit të thjeshtë dhe atij të përbërë është thelbësor që huamarrësit të kuptojnë koston e vërtetë të huamarrjes dhe që kursimtarët të kuptojnë kthimet e mundshme. Keqkuptimi se si grumbullohet interesi mund të çojë në nënvlerësim të detyrimeve totale të shlyerjes, duke ndikuar në planifikimin financiar dhe duke rritur potencialisht rrezikun e mospagesës. Zbulimi i qartë, shpesh i detyrueshëm nga rregulloret e mbrojtjes së konsumatorit.</w:t>
      </w:r>
      <w:r w:rsidRPr="0067560B">
        <w:rPr>
          <w:rFonts w:eastAsia="Google Sans Text" w:cs="Times New Roman"/>
          <w:color w:val="575B5F"/>
          <w:szCs w:val="24"/>
          <w:vertAlign w:val="superscript"/>
        </w:rPr>
        <w:t>10</w:t>
      </w:r>
      <w:r w:rsidRPr="0067560B">
        <w:t>, prandaj është jetik.</w:t>
      </w:r>
    </w:p>
    <w:p w:rsidR="00DB2A7B" w:rsidRDefault="005B21AE" w:rsidP="003E1D2F">
      <w:pPr>
        <w:widowControl w:val="0"/>
        <w:numPr>
          <w:ilvl w:val="0"/>
          <w:numId w:val="1"/>
        </w:numPr>
        <w:pBdr>
          <w:top w:val="nil"/>
          <w:left w:val="nil"/>
          <w:bottom w:val="nil"/>
          <w:right w:val="nil"/>
          <w:between w:val="nil"/>
        </w:pBdr>
        <w:spacing w:after="0"/>
        <w:jc w:val="left"/>
      </w:pPr>
      <w:r>
        <w:rPr>
          <w:b/>
          <w:bCs/>
        </w:rPr>
        <w:t>NV</w:t>
      </w:r>
      <w:r w:rsidR="005D0E9E">
        <w:rPr>
          <w:b/>
          <w:bCs/>
        </w:rPr>
        <w:t>P</w:t>
      </w:r>
      <w:r w:rsidR="00DB2A7B" w:rsidRPr="0067560B">
        <w:rPr>
          <w:b/>
          <w:bCs/>
        </w:rPr>
        <w:t xml:space="preserve"> (Norma Vjetore e Përqindjes):</w:t>
      </w:r>
      <w:r w:rsidR="0067560B" w:rsidRPr="0067560B">
        <w:t xml:space="preserve"> </w:t>
      </w:r>
      <w:r w:rsidR="00DB2A7B" w:rsidRPr="0067560B">
        <w:t>Kjo është një masë e standardizuar e kostos vjetore të kredisë, e shprehur si përqindje. Ajo përfshin normën nominale të interesit plus disa tarifa dhe pagesa të tjera që lidhen me kredinë (megjithëse jo gjithmonë të gjitha tarifat), duke ofruar një mjet më gjithëpërfshirës krahasimi të kostos për huamarrësit sesa vetëm norma e interesit.</w:t>
      </w:r>
      <w:r w:rsidR="00DB2A7B" w:rsidRPr="0067560B">
        <w:rPr>
          <w:rFonts w:eastAsia="Google Sans Text" w:cs="Times New Roman"/>
          <w:color w:val="575B5F"/>
          <w:szCs w:val="24"/>
          <w:vertAlign w:val="superscript"/>
        </w:rPr>
        <w:t>7</w:t>
      </w:r>
      <w:r w:rsidR="0067560B">
        <w:rPr>
          <w:rFonts w:ascii="Google Sans Text" w:eastAsia="Google Sans Text" w:hAnsi="Google Sans Text"/>
          <w:szCs w:val="24"/>
        </w:rPr>
        <w:t xml:space="preserve"> </w:t>
      </w:r>
      <w:r w:rsidR="0067560B" w:rsidRPr="0067560B">
        <w:t>M</w:t>
      </w:r>
      <w:r w:rsidR="00DB2A7B" w:rsidRPr="0067560B">
        <w:t xml:space="preserve">egjithatë, llogaritjet standarde të </w:t>
      </w:r>
      <w:r>
        <w:t>NV</w:t>
      </w:r>
      <w:r w:rsidR="005D0E9E">
        <w:t>P</w:t>
      </w:r>
      <w:r w:rsidR="00DB2A7B" w:rsidRPr="0067560B">
        <w:t xml:space="preserve"> zakonisht pasqyrojnë normën vjetore dhe mund të mos kapin plotësisht efektet e llogaritjes së përbërë brenda vitit.</w:t>
      </w:r>
      <w:r w:rsidR="00DB2A7B" w:rsidRPr="0067560B">
        <w:rPr>
          <w:rFonts w:eastAsia="Google Sans Text" w:cs="Times New Roman"/>
          <w:color w:val="575B5F"/>
          <w:szCs w:val="24"/>
          <w:vertAlign w:val="superscript"/>
        </w:rPr>
        <w:t>5</w:t>
      </w:r>
    </w:p>
    <w:p w:rsidR="00DB2A7B" w:rsidRDefault="00DB2A7B" w:rsidP="003E1D2F">
      <w:pPr>
        <w:widowControl w:val="0"/>
        <w:numPr>
          <w:ilvl w:val="0"/>
          <w:numId w:val="1"/>
        </w:numPr>
        <w:pBdr>
          <w:top w:val="nil"/>
          <w:left w:val="nil"/>
          <w:bottom w:val="nil"/>
          <w:right w:val="nil"/>
          <w:between w:val="nil"/>
        </w:pBdr>
        <w:spacing w:after="0"/>
        <w:jc w:val="left"/>
      </w:pPr>
      <w:r w:rsidRPr="0067560B">
        <w:rPr>
          <w:b/>
          <w:bCs/>
        </w:rPr>
        <w:t>Afati i kredisë:</w:t>
      </w:r>
      <w:r w:rsidR="0067560B" w:rsidRPr="0067560B">
        <w:t xml:space="preserve"> </w:t>
      </w:r>
      <w:r w:rsidRPr="0067560B">
        <w:t>Kjo është kohëzgjatja e rënë dakord gjatë së cilës huamarrësi duhet ta shlyejë kredinë. Kushtet e kredisë ndryshojnë ndjeshëm në varësi të llojit dhe qëllimit të kredisë, duke filluar nga periudha të shkurtra (p.sh., 1-7 vjet për kreditë tipike personale) deri në kohëzgjatje shumë më të gjata (p.sh., 15-30 vjet për hipotekat).</w:t>
      </w:r>
      <w:r w:rsidRPr="0067560B">
        <w:rPr>
          <w:rFonts w:eastAsia="Google Sans Text" w:cs="Times New Roman"/>
          <w:color w:val="575B5F"/>
          <w:szCs w:val="24"/>
          <w:vertAlign w:val="superscript"/>
        </w:rPr>
        <w:t>5</w:t>
      </w:r>
    </w:p>
    <w:p w:rsidR="00DC170B" w:rsidRDefault="00DB2A7B" w:rsidP="003E1D2F">
      <w:pPr>
        <w:widowControl w:val="0"/>
        <w:pBdr>
          <w:top w:val="nil"/>
          <w:left w:val="nil"/>
          <w:bottom w:val="nil"/>
          <w:right w:val="nil"/>
          <w:between w:val="nil"/>
        </w:pBdr>
      </w:pPr>
      <w:r w:rsidRPr="0067560B">
        <w:rPr>
          <w:b/>
          <w:bCs/>
        </w:rPr>
        <w:t>Kolaterali:</w:t>
      </w:r>
      <w:r w:rsidR="0067560B" w:rsidRPr="0067560B">
        <w:t xml:space="preserve"> </w:t>
      </w:r>
      <w:r w:rsidRPr="0067560B">
        <w:t>Kjo i referohet një pasurie specifike (p.sh., pasuri të paluajtshme, automjet, llogari kursimi) që huamarrësi ia lë peng huadhënësit si siguri për kredinë. Nëse huamarrësi nuk e kryen pagesën, huadhënësi ka të drejtën ligjore të sekuestrojë dhe potencialisht të shesë kolateralin për të rikuperuar borxhin e papaguar.</w:t>
      </w:r>
      <w:bookmarkEnd w:id="15"/>
      <w:r w:rsidRPr="0067560B">
        <w:rPr>
          <w:rFonts w:eastAsia="Google Sans Text" w:cs="Times New Roman"/>
          <w:color w:val="575B5F"/>
          <w:szCs w:val="24"/>
          <w:vertAlign w:val="superscript"/>
        </w:rPr>
        <w:t>5</w:t>
      </w:r>
    </w:p>
    <w:p w:rsidR="00DC170B" w:rsidRDefault="00DC17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F6AFA">
      <w:pPr>
        <w:pStyle w:val="Heading2"/>
      </w:pPr>
      <w:bookmarkStart w:id="16" w:name="_Toc198554991"/>
      <w:r w:rsidRPr="0067560B">
        <w:lastRenderedPageBreak/>
        <w:t xml:space="preserve">1.2 </w:t>
      </w:r>
      <w:r w:rsidR="00077A39" w:rsidRPr="00077A39">
        <w:t>Kreditë me Kolateral dhe pa Kolateral: Krahasim</w:t>
      </w:r>
      <w:bookmarkEnd w:id="16"/>
    </w:p>
    <w:p w:rsidR="00311BD8" w:rsidRDefault="00311BD8" w:rsidP="003E1D2F">
      <w:r>
        <w:t>Kreditë kategorizohen gjerësisht në bazë të faktit nëse kërkojnë kolateral.</w:t>
      </w:r>
    </w:p>
    <w:p w:rsidR="00311BD8" w:rsidRDefault="00311BD8" w:rsidP="003E1D2F">
      <w:pPr>
        <w:widowControl w:val="0"/>
        <w:numPr>
          <w:ilvl w:val="0"/>
          <w:numId w:val="3"/>
        </w:numPr>
        <w:pBdr>
          <w:top w:val="nil"/>
          <w:left w:val="nil"/>
          <w:bottom w:val="nil"/>
          <w:right w:val="nil"/>
          <w:between w:val="nil"/>
        </w:pBdr>
        <w:spacing w:after="0"/>
        <w:jc w:val="left"/>
      </w:pPr>
      <w:r w:rsidRPr="00311BD8">
        <w:rPr>
          <w:b/>
          <w:bCs/>
        </w:rPr>
        <w:t>Kredi të siguruara:</w:t>
      </w:r>
      <w:r w:rsidRPr="00311BD8">
        <w:t xml:space="preserve"> Këto kredi mbështeten nga një aset specifik i vendosur si kolateral. Shembuj të zakonshëm përfshijnë hipotekat (të siguruara me pasuri të paluajtshme) dhe kreditë për automjete (të siguruara me automjet).</w:t>
      </w:r>
      <w:r w:rsidRPr="00311BD8">
        <w:rPr>
          <w:rFonts w:eastAsia="Google Sans Text" w:cs="Times New Roman"/>
          <w:color w:val="575B5F"/>
          <w:szCs w:val="24"/>
          <w:vertAlign w:val="superscript"/>
        </w:rPr>
        <w:t>15</w:t>
      </w:r>
    </w:p>
    <w:p w:rsidR="00311BD8" w:rsidRDefault="00311BD8" w:rsidP="003E1D2F">
      <w:pPr>
        <w:widowControl w:val="0"/>
        <w:numPr>
          <w:ilvl w:val="1"/>
          <w:numId w:val="4"/>
        </w:numPr>
        <w:pBdr>
          <w:top w:val="nil"/>
          <w:left w:val="nil"/>
          <w:bottom w:val="nil"/>
          <w:right w:val="nil"/>
          <w:between w:val="nil"/>
        </w:pBdr>
        <w:spacing w:after="0"/>
        <w:jc w:val="left"/>
      </w:pPr>
      <w:r w:rsidRPr="00311BD8">
        <w:rPr>
          <w:i/>
          <w:iCs/>
        </w:rPr>
        <w:t>Përparësitë: Kreditë e siguruara janë përgjithësisht më të lehta për t'u kualifikuar, veçanërisht për huamarrësit me histori krediti më të dobët, sepse kolaterali zbut rrezikun e huadhënësit. Ky rrezik i reduktuar shpesh përkthehet në norma interesi më të ulëta dhe potencialisht lejon shuma më të mëdha kredie krahasuar me opsionet e pasiguruara.</w:t>
      </w:r>
      <w:r w:rsidRPr="00311BD8">
        <w:rPr>
          <w:rFonts w:eastAsia="Google Sans Text" w:cs="Times New Roman"/>
          <w:color w:val="575B5F"/>
          <w:szCs w:val="24"/>
          <w:vertAlign w:val="superscript"/>
        </w:rPr>
        <w:t>16</w:t>
      </w:r>
    </w:p>
    <w:p w:rsidR="00311BD8" w:rsidRDefault="00311BD8" w:rsidP="003E1D2F">
      <w:pPr>
        <w:widowControl w:val="0"/>
        <w:numPr>
          <w:ilvl w:val="1"/>
          <w:numId w:val="4"/>
        </w:numPr>
        <w:pBdr>
          <w:top w:val="nil"/>
          <w:left w:val="nil"/>
          <w:bottom w:val="nil"/>
          <w:right w:val="nil"/>
          <w:between w:val="nil"/>
        </w:pBdr>
        <w:spacing w:after="0"/>
        <w:jc w:val="left"/>
      </w:pPr>
      <w:r w:rsidRPr="00311BD8">
        <w:rPr>
          <w:i/>
          <w:iCs/>
        </w:rPr>
        <w:t xml:space="preserve">Kundër: Disavantazhi kryesor është rreziku i humbjes së asetit të lënë peng nëse huamarrësi nuk e paguan kredinë. </w:t>
      </w:r>
      <w:r w:rsidR="005D0E9E" w:rsidRPr="005D0E9E">
        <w:rPr>
          <w:i/>
          <w:iCs/>
        </w:rPr>
        <w:t>Në raste mospagimi, huadhënësi mund të ndërmarrë procedura ligjore për rimarrjen ose sekuestrimin e kolateralit</w:t>
      </w:r>
      <w:r w:rsidRPr="00311BD8">
        <w:rPr>
          <w:i/>
          <w:iCs/>
        </w:rPr>
        <w:t>.</w:t>
      </w:r>
      <w:r w:rsidRPr="00311BD8">
        <w:rPr>
          <w:rFonts w:eastAsia="Google Sans Text" w:cs="Times New Roman"/>
          <w:color w:val="575B5F"/>
          <w:szCs w:val="24"/>
          <w:vertAlign w:val="superscript"/>
        </w:rPr>
        <w:t>15</w:t>
      </w:r>
      <w:r>
        <w:rPr>
          <w:rFonts w:ascii="Google Sans Text" w:eastAsia="Google Sans Text" w:hAnsi="Google Sans Text"/>
          <w:szCs w:val="24"/>
        </w:rPr>
        <w:t xml:space="preserve"> </w:t>
      </w:r>
      <w:r w:rsidRPr="00311BD8">
        <w:rPr>
          <w:i/>
          <w:iCs/>
        </w:rPr>
        <w:t>Për më tepër, procesi i vlerësimit të kolateralit ndonjëherë mund të çojë në kohë më të gjata financimi krahasuar me kreditë e pasiguruara.</w:t>
      </w:r>
      <w:r w:rsidRPr="00311BD8">
        <w:rPr>
          <w:rFonts w:eastAsia="Google Sans Text" w:cs="Times New Roman"/>
          <w:color w:val="575B5F"/>
          <w:szCs w:val="24"/>
          <w:vertAlign w:val="superscript"/>
        </w:rPr>
        <w:t>16</w:t>
      </w:r>
    </w:p>
    <w:p w:rsidR="00311BD8" w:rsidRDefault="00311BD8" w:rsidP="003E1D2F">
      <w:pPr>
        <w:widowControl w:val="0"/>
        <w:numPr>
          <w:ilvl w:val="0"/>
          <w:numId w:val="3"/>
        </w:numPr>
        <w:pBdr>
          <w:top w:val="nil"/>
          <w:left w:val="nil"/>
          <w:bottom w:val="nil"/>
          <w:right w:val="nil"/>
          <w:between w:val="nil"/>
        </w:pBdr>
        <w:spacing w:after="0"/>
        <w:jc w:val="left"/>
      </w:pPr>
      <w:r w:rsidRPr="00311BD8">
        <w:rPr>
          <w:b/>
          <w:bCs/>
        </w:rPr>
        <w:t>Kredi të pasigurta:</w:t>
      </w:r>
      <w:r w:rsidRPr="00311BD8">
        <w:t xml:space="preserve"> Këto kredi nuk kërkojnë asnjë kolateral. Miratimi jepet vetëm në bazë të vlerësimit të kredidhënësit për aftësinë kreditore të huamarrësit, duke përfshirë historinë e tyre të kreditit, rezultatin e kreditit, të ardhurat dhe nivelet ekzistuese të borxhit. Shumica e kredive personale dhe kartave të kreditit bien në këtë kategori.</w:t>
      </w:r>
      <w:r w:rsidRPr="00311BD8">
        <w:rPr>
          <w:rFonts w:eastAsia="Google Sans Text" w:cs="Times New Roman"/>
          <w:color w:val="575B5F"/>
          <w:szCs w:val="24"/>
          <w:vertAlign w:val="superscript"/>
        </w:rPr>
        <w:t>15</w:t>
      </w:r>
    </w:p>
    <w:p w:rsidR="00311BD8" w:rsidRDefault="00311BD8" w:rsidP="003E1D2F">
      <w:pPr>
        <w:widowControl w:val="0"/>
        <w:numPr>
          <w:ilvl w:val="1"/>
          <w:numId w:val="5"/>
        </w:numPr>
        <w:pBdr>
          <w:top w:val="nil"/>
          <w:left w:val="nil"/>
          <w:bottom w:val="nil"/>
          <w:right w:val="nil"/>
          <w:between w:val="nil"/>
        </w:pBdr>
        <w:spacing w:after="0"/>
        <w:jc w:val="left"/>
      </w:pPr>
      <w:r w:rsidRPr="00311BD8">
        <w:rPr>
          <w:i/>
          <w:iCs/>
        </w:rPr>
        <w:t>Pro: Avantazhi kryesor është se huamarrësi nuk rrezikon të humbasë një aset specifik nëse nuk përmbush detyrimet (megjithëse huadhënësi mund të ndjekë ende veprime ligjore, siç është sekuestrimi i pagës ose pengjet, për të rikuperuar borxhin).</w:t>
      </w:r>
      <w:r w:rsidRPr="00311BD8">
        <w:rPr>
          <w:rFonts w:eastAsia="Google Sans Text" w:cs="Times New Roman"/>
          <w:color w:val="575B5F"/>
          <w:szCs w:val="24"/>
          <w:vertAlign w:val="superscript"/>
        </w:rPr>
        <w:t>16</w:t>
      </w:r>
      <w:r>
        <w:rPr>
          <w:rFonts w:ascii="Google Sans Text" w:eastAsia="Google Sans Text" w:hAnsi="Google Sans Text"/>
          <w:szCs w:val="24"/>
        </w:rPr>
        <w:t xml:space="preserve"> </w:t>
      </w:r>
      <w:r w:rsidRPr="00311BD8">
        <w:rPr>
          <w:i/>
          <w:iCs/>
        </w:rPr>
        <w:t>Kohët e financimit shpesh mund të jenë më të shpejta pasi nuk ka proces vlerësimi të kolateralit.</w:t>
      </w:r>
      <w:r w:rsidRPr="00311BD8">
        <w:rPr>
          <w:rFonts w:eastAsia="Google Sans Text" w:cs="Times New Roman"/>
          <w:color w:val="575B5F"/>
          <w:szCs w:val="24"/>
          <w:vertAlign w:val="superscript"/>
        </w:rPr>
        <w:t>16</w:t>
      </w:r>
    </w:p>
    <w:p w:rsidR="00311BD8" w:rsidRDefault="00311BD8" w:rsidP="003E1D2F">
      <w:pPr>
        <w:widowControl w:val="0"/>
        <w:numPr>
          <w:ilvl w:val="1"/>
          <w:numId w:val="5"/>
        </w:numPr>
        <w:pBdr>
          <w:top w:val="nil"/>
          <w:left w:val="nil"/>
          <w:bottom w:val="nil"/>
          <w:right w:val="nil"/>
          <w:between w:val="nil"/>
        </w:pBdr>
        <w:spacing w:after="120"/>
        <w:jc w:val="left"/>
      </w:pPr>
      <w:r w:rsidRPr="00311BD8">
        <w:rPr>
          <w:i/>
          <w:iCs/>
        </w:rPr>
        <w:t>Kundër: Kualifikimi për kredi të pasigurta, veçanërisht me kushte të favorshme, zakonisht kërkon një profil më të fortë krediti. Normat e interesit janë përgjithësisht më të larta se kreditë e siguruara sepse huadhënësi merr përsipër më shumë rrezik.</w:t>
      </w:r>
      <w:r w:rsidRPr="00311BD8">
        <w:rPr>
          <w:rFonts w:eastAsia="Google Sans Text" w:cs="Times New Roman"/>
          <w:color w:val="575B5F"/>
          <w:szCs w:val="24"/>
          <w:vertAlign w:val="superscript"/>
        </w:rPr>
        <w:t>15</w:t>
      </w:r>
      <w:r>
        <w:rPr>
          <w:rFonts w:ascii="Google Sans Text" w:eastAsia="Google Sans Text" w:hAnsi="Google Sans Text"/>
          <w:szCs w:val="24"/>
        </w:rPr>
        <w:t xml:space="preserve"> </w:t>
      </w:r>
      <w:r w:rsidRPr="00311BD8">
        <w:rPr>
          <w:i/>
          <w:iCs/>
        </w:rPr>
        <w:t>Shumat e kredisë mund të jenë gjithashtu më të vogla në krahasim me atë që mund të jetë në dispozicion me një kredi të siguruar.</w:t>
      </w:r>
      <w:r w:rsidRPr="00311BD8">
        <w:rPr>
          <w:rFonts w:eastAsia="Google Sans Text" w:cs="Times New Roman"/>
          <w:color w:val="575B5F"/>
          <w:szCs w:val="24"/>
          <w:vertAlign w:val="superscript"/>
        </w:rPr>
        <w:t>16</w:t>
      </w:r>
    </w:p>
    <w:p w:rsidR="0067560B" w:rsidRDefault="00311BD8" w:rsidP="003E1D2F">
      <w:r>
        <w:lastRenderedPageBreak/>
        <w:t>Vendimi midis një kredie të siguruar dhe të pasiguruar varet nga një kompromis midis rrezikut të humbjes së kolateralit dhe kostos dhe aksesueshmërisë së kredisë. Profili i kreditit të një huamarrësi, stabiliteti financiar dhe toleranca ndaj riskut ndikojnë shumë në këtë zgjedhje. Një huamarrës me kredi të shkëlqyer mund të zgjedhë komoditetin dhe rrezikun më të ulët të aseteve të një kredie të pasiguruar, duke pranuar norma potencialisht më të larta. Anasjelltas, një huamarrës me kredi të vështirë mund ta gjejë një kredi të siguruar më të aksesueshme, me kusht që të ketë kolateral të përshtatshëm dhe të jetë i gatshëm të pranojë rrezikun që lidhet me të</w:t>
      </w:r>
      <w:r w:rsidR="004D0569">
        <w:t>.</w:t>
      </w: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E1D2F">
      <w:pPr>
        <w:widowControl w:val="0"/>
        <w:pBdr>
          <w:top w:val="nil"/>
          <w:left w:val="nil"/>
          <w:bottom w:val="nil"/>
          <w:right w:val="nil"/>
          <w:between w:val="nil"/>
        </w:pBdr>
      </w:pPr>
    </w:p>
    <w:p w:rsidR="004D0569" w:rsidRDefault="004D0569" w:rsidP="003F6AFA">
      <w:pPr>
        <w:pStyle w:val="Heading2"/>
      </w:pPr>
      <w:bookmarkStart w:id="17" w:name="_Toc198554992"/>
      <w:r w:rsidRPr="004D0569">
        <w:lastRenderedPageBreak/>
        <w:t xml:space="preserve">1.3 </w:t>
      </w:r>
      <w:r w:rsidR="00077A39" w:rsidRPr="00077A39">
        <w:t>Llojet Kryesore të Produkteve Kreditore</w:t>
      </w:r>
      <w:bookmarkEnd w:id="17"/>
    </w:p>
    <w:p w:rsidR="004D0569" w:rsidRDefault="004D0569" w:rsidP="003E1D2F">
      <w:r>
        <w:t>Tregjet financiare ofrojnë një gamë të larmishme produktesh kredie të përshtatura për nevojat specifike:</w:t>
      </w:r>
    </w:p>
    <w:p w:rsidR="004D0569" w:rsidRDefault="004D0569" w:rsidP="003E1D2F">
      <w:pPr>
        <w:widowControl w:val="0"/>
        <w:numPr>
          <w:ilvl w:val="0"/>
          <w:numId w:val="6"/>
        </w:numPr>
        <w:pBdr>
          <w:top w:val="nil"/>
          <w:left w:val="nil"/>
          <w:bottom w:val="nil"/>
          <w:right w:val="nil"/>
          <w:between w:val="nil"/>
        </w:pBdr>
        <w:spacing w:after="0"/>
        <w:jc w:val="left"/>
      </w:pPr>
      <w:r w:rsidRPr="004D0569">
        <w:rPr>
          <w:b/>
          <w:bCs/>
        </w:rPr>
        <w:t>Kredi Personale:</w:t>
      </w:r>
      <w:r w:rsidRPr="004D0569">
        <w:t xml:space="preserve"> Këto janë kredi të gjithanshme, shpesh të pasigurta, të përdorura për një gamë të gjerë qëllimesh, të tilla si konsolidimi i borxhit me interesa më të larta, financimi i përmirësimeve në shtëpi, mbulimi i shpenzimeve të dasmës ose të udhëtimit, ose trajtimi i kostove të papritura.</w:t>
      </w:r>
      <w:r w:rsidRPr="004D0569">
        <w:rPr>
          <w:rFonts w:eastAsia="Google Sans Text" w:cs="Times New Roman"/>
          <w:color w:val="575B5F"/>
          <w:szCs w:val="24"/>
          <w:vertAlign w:val="superscript"/>
        </w:rPr>
        <w:t>15</w:t>
      </w:r>
      <w:r>
        <w:rPr>
          <w:rFonts w:ascii="Google Sans Text" w:eastAsia="Google Sans Text" w:hAnsi="Google Sans Text"/>
          <w:szCs w:val="24"/>
        </w:rPr>
        <w:t xml:space="preserve"> </w:t>
      </w:r>
      <w:r w:rsidRPr="004D0569">
        <w:t>Fleksibiliteti i tyre i bën ato një mjet të zakonshëm për kredinë konsumatore.</w:t>
      </w:r>
      <w:r w:rsidRPr="004D0569">
        <w:rPr>
          <w:rFonts w:eastAsia="Google Sans Text" w:cs="Times New Roman"/>
          <w:color w:val="575B5F"/>
          <w:szCs w:val="24"/>
          <w:vertAlign w:val="superscript"/>
        </w:rPr>
        <w:t>19</w:t>
      </w:r>
    </w:p>
    <w:p w:rsidR="004D0569" w:rsidRDefault="004D0569" w:rsidP="003E1D2F">
      <w:pPr>
        <w:widowControl w:val="0"/>
        <w:numPr>
          <w:ilvl w:val="0"/>
          <w:numId w:val="6"/>
        </w:numPr>
        <w:pBdr>
          <w:top w:val="nil"/>
          <w:left w:val="nil"/>
          <w:bottom w:val="nil"/>
          <w:right w:val="nil"/>
          <w:between w:val="nil"/>
        </w:pBdr>
        <w:spacing w:after="0"/>
        <w:jc w:val="left"/>
      </w:pPr>
      <w:r w:rsidRPr="004D0569">
        <w:rPr>
          <w:b/>
          <w:bCs/>
        </w:rPr>
        <w:t>Hipotekat:</w:t>
      </w:r>
      <w:r w:rsidRPr="004D0569">
        <w:t xml:space="preserve"> Kredi të siguruara të hartuara posaçërisht për të financuar blerjen ose rifinancimin e pasurive të paluajtshme (shtëpive). Ato zakonisht përfshijnë shuma të mëdha dhe afate të gjata shlyerjeje (15-30 vjet). Ekzistojnë lloje të ndryshme, duke përfshirë hipotekat konvencionale dhe programet e mbështetura nga qeveria si kreditë FHA (Administrata Federale e Strehimit), VA (Departamenti i Çështjeve të Veteranëve) dhe USDA (Departamenti i Bujqësisë i SHBA-së), secila me kritere dhe karakteristika të dallueshme të përshtatshmërisë.</w:t>
      </w:r>
      <w:r w:rsidRPr="004D0569">
        <w:rPr>
          <w:rFonts w:eastAsia="Google Sans Text" w:cs="Times New Roman"/>
          <w:color w:val="575B5F"/>
          <w:szCs w:val="24"/>
          <w:vertAlign w:val="superscript"/>
        </w:rPr>
        <w:t>13</w:t>
      </w:r>
    </w:p>
    <w:p w:rsidR="004D0569" w:rsidRDefault="004D0569" w:rsidP="003E1D2F">
      <w:pPr>
        <w:widowControl w:val="0"/>
        <w:numPr>
          <w:ilvl w:val="0"/>
          <w:numId w:val="6"/>
        </w:numPr>
        <w:pBdr>
          <w:top w:val="nil"/>
          <w:left w:val="nil"/>
          <w:bottom w:val="nil"/>
          <w:right w:val="nil"/>
          <w:between w:val="nil"/>
        </w:pBdr>
        <w:spacing w:after="0"/>
        <w:jc w:val="left"/>
      </w:pPr>
      <w:r w:rsidRPr="004D0569">
        <w:rPr>
          <w:b/>
          <w:bCs/>
        </w:rPr>
        <w:t>Kredi për makina:</w:t>
      </w:r>
      <w:r w:rsidRPr="004D0569">
        <w:t xml:space="preserve"> Kredi të siguruara përdoren posaçërisht për blerjen e automjeteve të reja ose të përdorura.</w:t>
      </w:r>
      <w:r w:rsidRPr="004D0569">
        <w:rPr>
          <w:rFonts w:eastAsia="Google Sans Text" w:cs="Times New Roman"/>
          <w:color w:val="575B5F"/>
          <w:szCs w:val="24"/>
          <w:vertAlign w:val="superscript"/>
        </w:rPr>
        <w:t>15</w:t>
      </w:r>
      <w:r>
        <w:rPr>
          <w:rFonts w:ascii="Google Sans Text" w:eastAsia="Google Sans Text" w:hAnsi="Google Sans Text"/>
          <w:szCs w:val="24"/>
        </w:rPr>
        <w:t xml:space="preserve"> </w:t>
      </w:r>
      <w:r w:rsidRPr="004D0569">
        <w:t>Vetë automjeti shërben si kolateral.</w:t>
      </w:r>
      <w:r w:rsidRPr="004D0569">
        <w:rPr>
          <w:rFonts w:eastAsia="Google Sans Text" w:cs="Times New Roman"/>
          <w:color w:val="575B5F"/>
          <w:szCs w:val="24"/>
          <w:vertAlign w:val="superscript"/>
        </w:rPr>
        <w:t>22</w:t>
      </w:r>
    </w:p>
    <w:p w:rsidR="004D0569" w:rsidRDefault="004D0569" w:rsidP="003E1D2F">
      <w:pPr>
        <w:widowControl w:val="0"/>
        <w:numPr>
          <w:ilvl w:val="0"/>
          <w:numId w:val="6"/>
        </w:numPr>
        <w:pBdr>
          <w:top w:val="nil"/>
          <w:left w:val="nil"/>
          <w:bottom w:val="nil"/>
          <w:right w:val="nil"/>
          <w:between w:val="nil"/>
        </w:pBdr>
        <w:spacing w:after="0"/>
        <w:jc w:val="left"/>
      </w:pPr>
      <w:r w:rsidRPr="004D0569">
        <w:rPr>
          <w:b/>
          <w:bCs/>
        </w:rPr>
        <w:t>Kreditë Studentore:</w:t>
      </w:r>
      <w:r w:rsidRPr="004D0569">
        <w:t xml:space="preserve"> Kredi të destinuara për të mbuluar kostot që lidhen me arsimin pasuniversitar, duke përfshirë tarifat e shkollimit, tarifat, librat dhe shpenzimet e jetesës.</w:t>
      </w:r>
      <w:r w:rsidRPr="004D0569">
        <w:rPr>
          <w:rFonts w:eastAsia="Google Sans Text" w:cs="Times New Roman"/>
          <w:color w:val="575B5F"/>
          <w:szCs w:val="24"/>
          <w:vertAlign w:val="superscript"/>
        </w:rPr>
        <w:t>15</w:t>
      </w:r>
      <w:r>
        <w:rPr>
          <w:rFonts w:ascii="Google Sans Text" w:eastAsia="Google Sans Text" w:hAnsi="Google Sans Text"/>
          <w:szCs w:val="24"/>
        </w:rPr>
        <w:t xml:space="preserve"> </w:t>
      </w:r>
      <w:r w:rsidRPr="004D0569">
        <w:t>Ato ndahen gjerësisht në kredi federale (të ofruara nga qeveria, shpesh me mbrojtje të huamarrësve si plane ripagimi të bazuara në të ardhura dhe subvencione të mundshme të interesit) dhe kredi private (të ofruara nga bankat, unionet e kreditit dhe huadhënës të specializuar si Sallie Mae, bazuar në besueshmërinë kreditore).</w:t>
      </w:r>
      <w:r w:rsidRPr="004D0569">
        <w:rPr>
          <w:rFonts w:eastAsia="Google Sans Text" w:cs="Times New Roman"/>
          <w:color w:val="575B5F"/>
          <w:szCs w:val="24"/>
          <w:vertAlign w:val="superscript"/>
        </w:rPr>
        <w:t>24</w:t>
      </w:r>
    </w:p>
    <w:p w:rsidR="004D0569" w:rsidRDefault="004D0569" w:rsidP="003E1D2F">
      <w:pPr>
        <w:widowControl w:val="0"/>
        <w:numPr>
          <w:ilvl w:val="0"/>
          <w:numId w:val="6"/>
        </w:numPr>
        <w:pBdr>
          <w:top w:val="nil"/>
          <w:left w:val="nil"/>
          <w:bottom w:val="nil"/>
          <w:right w:val="nil"/>
          <w:between w:val="nil"/>
        </w:pBdr>
        <w:spacing w:after="0"/>
        <w:jc w:val="left"/>
      </w:pPr>
      <w:r w:rsidRPr="004D0569">
        <w:rPr>
          <w:b/>
          <w:bCs/>
        </w:rPr>
        <w:t>Kreditë e Biznesit:</w:t>
      </w:r>
      <w:r w:rsidRPr="004D0569">
        <w:t xml:space="preserve"> Kredi të dhëna kompanive për nevoja të ndryshme tregtare, të tilla si kapitali fillestar, projektet e zgjerimit, blerja e pajisjeve, menaxhimi i kapitalit qarkullues ose blerja e bizneseve të tjera.</w:t>
      </w:r>
      <w:r w:rsidRPr="004D0569">
        <w:rPr>
          <w:rFonts w:eastAsia="Google Sans Text" w:cs="Times New Roman"/>
          <w:color w:val="575B5F"/>
          <w:szCs w:val="24"/>
          <w:vertAlign w:val="superscript"/>
        </w:rPr>
        <w:t>15</w:t>
      </w:r>
      <w:r>
        <w:rPr>
          <w:rFonts w:ascii="Google Sans Text" w:eastAsia="Google Sans Text" w:hAnsi="Google Sans Text"/>
          <w:szCs w:val="24"/>
        </w:rPr>
        <w:t xml:space="preserve"> </w:t>
      </w:r>
      <w:r w:rsidRPr="004D0569">
        <w:t>Në SHBA, Administrata e Bizneseve të Vogla (SBA) ofron programe si kreditë 7(a) dhe 504, të cilat ofrojnë garanci qeveritare për huadhënësit, duke e bërë më të lehtë për bizneset e vogla qasjen në financim.</w:t>
      </w:r>
      <w:r w:rsidRPr="004D0569">
        <w:rPr>
          <w:rFonts w:eastAsia="Google Sans Text" w:cs="Times New Roman"/>
          <w:color w:val="575B5F"/>
          <w:szCs w:val="24"/>
          <w:vertAlign w:val="superscript"/>
        </w:rPr>
        <w:t>33</w:t>
      </w:r>
    </w:p>
    <w:p w:rsidR="004D0569" w:rsidRDefault="004D0569" w:rsidP="003E1D2F">
      <w:pPr>
        <w:widowControl w:val="0"/>
        <w:numPr>
          <w:ilvl w:val="0"/>
          <w:numId w:val="6"/>
        </w:numPr>
        <w:pBdr>
          <w:top w:val="nil"/>
          <w:left w:val="nil"/>
          <w:bottom w:val="nil"/>
          <w:right w:val="nil"/>
          <w:between w:val="nil"/>
        </w:pBdr>
        <w:spacing w:after="0"/>
        <w:jc w:val="left"/>
      </w:pPr>
      <w:r w:rsidRPr="00E17996">
        <w:rPr>
          <w:b/>
          <w:bCs/>
        </w:rPr>
        <w:t>Linjat e Kreditit (duke përfshirë HELOC-të):</w:t>
      </w:r>
      <w:r w:rsidR="00E17996" w:rsidRPr="00E17996">
        <w:t xml:space="preserve"> </w:t>
      </w:r>
      <w:r w:rsidRPr="00E17996">
        <w:t>Këto ofrojnë një lehtësi krediti rrotulluese, duke u lejuar huamarrësve të tërheqin fonde deri në një limit të para-</w:t>
      </w:r>
      <w:r w:rsidRPr="00E17996">
        <w:lastRenderedPageBreak/>
        <w:t>miratuar, të shlyejnë shumën e marrë hua dhe më pas të tërheqin fonde përsëri sipas nevojës. Kjo ofron fleksibilitet për nevojat e vazhdueshme ose të luhatshme të financimit.</w:t>
      </w:r>
      <w:r w:rsidRPr="00E17996">
        <w:rPr>
          <w:rFonts w:eastAsia="Google Sans Text" w:cs="Times New Roman"/>
          <w:color w:val="575B5F"/>
          <w:szCs w:val="24"/>
          <w:vertAlign w:val="superscript"/>
        </w:rPr>
        <w:t>14</w:t>
      </w:r>
      <w:r w:rsidR="00E17996">
        <w:rPr>
          <w:rFonts w:ascii="Google Sans Text" w:eastAsia="Google Sans Text" w:hAnsi="Google Sans Text"/>
          <w:szCs w:val="24"/>
        </w:rPr>
        <w:t xml:space="preserve"> </w:t>
      </w:r>
      <w:r w:rsidR="00E17996" w:rsidRPr="00E17996">
        <w:t>L</w:t>
      </w:r>
      <w:r w:rsidRPr="00E17996">
        <w:t>injat e Kreditit të Kapitalit në Shtëpi (HELOC) janë një lloj specifik i siguruar nga kapitali në shtëpinë e një huamarrësi.</w:t>
      </w:r>
      <w:r w:rsidRPr="00E17996">
        <w:rPr>
          <w:rFonts w:eastAsia="Google Sans Text" w:cs="Times New Roman"/>
          <w:color w:val="575B5F"/>
          <w:szCs w:val="24"/>
          <w:vertAlign w:val="superscript"/>
        </w:rPr>
        <w:t>19</w:t>
      </w:r>
    </w:p>
    <w:p w:rsidR="004D0569" w:rsidRPr="00E17996" w:rsidRDefault="004D0569" w:rsidP="003E1D2F">
      <w:pPr>
        <w:widowControl w:val="0"/>
        <w:pBdr>
          <w:top w:val="nil"/>
          <w:left w:val="nil"/>
          <w:bottom w:val="nil"/>
          <w:right w:val="nil"/>
          <w:between w:val="nil"/>
        </w:pBdr>
      </w:pPr>
      <w:r w:rsidRPr="00E17996">
        <w:rPr>
          <w:b/>
          <w:bCs/>
        </w:rPr>
        <w:t>Kredi të Shpejta / Kredi me Titull Pronësie:</w:t>
      </w:r>
      <w:r w:rsidR="00E17996" w:rsidRPr="00E17996">
        <w:t xml:space="preserve"> </w:t>
      </w:r>
      <w:r w:rsidRPr="00E17996">
        <w:t>Këto janë kredi shumë afatshkurtra të hartuara për të kapërcyer një boshllëk deri në ditën e ardhshme të pagës së huamarrësit ose për nevoja të menjëhershme monetare. Kreditë e shpejta zakonisht nuk janë të siguruara, por vijnë me tarifa dhe norma interesi jashtëzakonisht të larta (</w:t>
      </w:r>
      <w:r w:rsidR="005D0E9E">
        <w:t>NVP</w:t>
      </w:r>
      <w:r w:rsidRPr="00E17996">
        <w:t xml:space="preserve"> të larta).</w:t>
      </w:r>
      <w:r w:rsidRPr="00E17996">
        <w:rPr>
          <w:rFonts w:eastAsia="Google Sans Text" w:cs="Times New Roman"/>
          <w:color w:val="575B5F"/>
          <w:szCs w:val="24"/>
          <w:vertAlign w:val="superscript"/>
        </w:rPr>
        <w:t>22</w:t>
      </w:r>
      <w:r w:rsidR="00E17996">
        <w:rPr>
          <w:rFonts w:ascii="Google Sans Text" w:eastAsia="Google Sans Text" w:hAnsi="Google Sans Text"/>
          <w:szCs w:val="24"/>
        </w:rPr>
        <w:t xml:space="preserve"> </w:t>
      </w:r>
      <w:r w:rsidR="00E17996" w:rsidRPr="00E17996">
        <w:t>K</w:t>
      </w:r>
      <w:r w:rsidRPr="00E17996">
        <w:t>reditë me titull sigurohen nga titulli i pronësisë së automjetit të huamarrësit dhe gjithashtu mbartin kosto të larta dhe rrezikun e konsiderueshëm të humbjes së automjetit në rast mospërmbushjeje të detyrimeve.</w:t>
      </w:r>
      <w:r w:rsidRPr="00E17996">
        <w:rPr>
          <w:rFonts w:eastAsia="Google Sans Text" w:cs="Times New Roman"/>
          <w:color w:val="575B5F"/>
          <w:szCs w:val="24"/>
          <w:vertAlign w:val="superscript"/>
        </w:rPr>
        <w:t>22</w:t>
      </w:r>
      <w:r w:rsidR="00E17996">
        <w:rPr>
          <w:rFonts w:ascii="Google Sans Text" w:eastAsia="Google Sans Text" w:hAnsi="Google Sans Text"/>
          <w:szCs w:val="24"/>
        </w:rPr>
        <w:t xml:space="preserve"> </w:t>
      </w:r>
      <w:r w:rsidR="00E17996" w:rsidRPr="00E17996">
        <w:t>K</w:t>
      </w:r>
      <w:r w:rsidRPr="00E17996">
        <w:t>ëto përgjithësisht konsiderohen opsione huamarrjeje me rrezik të lartë.</w:t>
      </w:r>
    </w:p>
    <w:p w:rsidR="004D0569" w:rsidRDefault="004D0569"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E1D2F">
      <w:pPr>
        <w:widowControl w:val="0"/>
        <w:pBdr>
          <w:top w:val="nil"/>
          <w:left w:val="nil"/>
          <w:bottom w:val="nil"/>
          <w:right w:val="nil"/>
          <w:between w:val="nil"/>
        </w:pBdr>
      </w:pPr>
    </w:p>
    <w:p w:rsidR="00E17996" w:rsidRDefault="00E17996" w:rsidP="003F6AFA">
      <w:pPr>
        <w:pStyle w:val="Heading2"/>
      </w:pPr>
      <w:bookmarkStart w:id="18" w:name="_Toc198554993"/>
      <w:r w:rsidRPr="00E17996">
        <w:lastRenderedPageBreak/>
        <w:t xml:space="preserve">1.4 </w:t>
      </w:r>
      <w:r w:rsidR="00077A39" w:rsidRPr="00077A39">
        <w:t>Faza Kryesore të Procesit Kreditues</w:t>
      </w:r>
      <w:r w:rsidRPr="00E17996">
        <w:t>: Nga Aplikimi deri te Mospagimi i Mundshëm</w:t>
      </w:r>
      <w:bookmarkEnd w:id="18"/>
    </w:p>
    <w:p w:rsidR="00E17996" w:rsidRDefault="00E17996" w:rsidP="003E1D2F">
      <w:r>
        <w:t>Procesi i marrjes dhe menaxhimit të një kredie ndjek një cikël të veçantë jetësor:</w:t>
      </w:r>
    </w:p>
    <w:p w:rsidR="00E17996" w:rsidRDefault="00E17996" w:rsidP="003E1D2F">
      <w:pPr>
        <w:widowControl w:val="0"/>
        <w:numPr>
          <w:ilvl w:val="0"/>
          <w:numId w:val="7"/>
        </w:numPr>
        <w:pBdr>
          <w:top w:val="nil"/>
          <w:left w:val="nil"/>
          <w:bottom w:val="nil"/>
          <w:right w:val="nil"/>
          <w:between w:val="nil"/>
        </w:pBdr>
        <w:spacing w:after="0"/>
        <w:jc w:val="left"/>
      </w:pPr>
      <w:r w:rsidRPr="00E17996">
        <w:rPr>
          <w:b/>
          <w:bCs/>
        </w:rPr>
        <w:t>Aplikimi:</w:t>
      </w:r>
      <w:r w:rsidRPr="00E17996">
        <w:t xml:space="preserve"> Procesi fillon kur një huamarrës aplikon për një kredi, duke i dhënë huadhënësit të dhënat e nevojshme personale (emri, adresa, identifikimi), informacioni financiar (të ardhurat, asetet, borxhet) dhe historiku i punësimit.</w:t>
      </w:r>
      <w:r w:rsidRPr="00E17996">
        <w:rPr>
          <w:rFonts w:eastAsia="Google Sans Text" w:cs="Times New Roman"/>
          <w:color w:val="575B5F"/>
          <w:szCs w:val="24"/>
          <w:vertAlign w:val="superscript"/>
        </w:rPr>
        <w:t>43</w:t>
      </w:r>
      <w:r>
        <w:rPr>
          <w:rFonts w:ascii="Google Sans Text" w:eastAsia="Google Sans Text" w:hAnsi="Google Sans Text"/>
          <w:szCs w:val="24"/>
        </w:rPr>
        <w:t xml:space="preserve"> </w:t>
      </w:r>
      <w:r w:rsidRPr="00E17996">
        <w:t>Shpesh, huamarrësit i nënshtrohen një hapi paraprak kualifikimi ose miratimi paraprak paraprak për të marrë një vlerësim se sa mund të jenë në gjendje të marrin hua.</w:t>
      </w:r>
      <w:r w:rsidRPr="00E17996">
        <w:rPr>
          <w:rFonts w:eastAsia="Google Sans Text" w:cs="Times New Roman"/>
          <w:color w:val="575B5F"/>
          <w:szCs w:val="24"/>
          <w:vertAlign w:val="superscript"/>
        </w:rPr>
        <w:t>44</w:t>
      </w:r>
      <w:r>
        <w:rPr>
          <w:rFonts w:ascii="Google Sans Text" w:eastAsia="Google Sans Text" w:hAnsi="Google Sans Text"/>
          <w:szCs w:val="24"/>
        </w:rPr>
        <w:t xml:space="preserve"> </w:t>
      </w:r>
      <w:r w:rsidRPr="00E17996">
        <w:t>Huadhënësit kërkojnë dokumentacion specifik, siç janë fletëpagesat, deklaratat tatimore dhe deklaratat bankare, për të verifikuar informacionin e dhënë.</w:t>
      </w:r>
      <w:r w:rsidRPr="00E17996">
        <w:rPr>
          <w:rFonts w:eastAsia="Google Sans Text" w:cs="Times New Roman"/>
          <w:color w:val="575B5F"/>
          <w:szCs w:val="24"/>
          <w:vertAlign w:val="superscript"/>
        </w:rPr>
        <w:t>21</w:t>
      </w:r>
    </w:p>
    <w:p w:rsidR="00E17996" w:rsidRDefault="00E17996" w:rsidP="003E1D2F">
      <w:pPr>
        <w:widowControl w:val="0"/>
        <w:numPr>
          <w:ilvl w:val="0"/>
          <w:numId w:val="7"/>
        </w:numPr>
        <w:pBdr>
          <w:top w:val="nil"/>
          <w:left w:val="nil"/>
          <w:bottom w:val="nil"/>
          <w:right w:val="nil"/>
          <w:between w:val="nil"/>
        </w:pBdr>
        <w:spacing w:after="0"/>
        <w:jc w:val="left"/>
      </w:pPr>
      <w:r w:rsidRPr="00E17996">
        <w:rPr>
          <w:b/>
          <w:bCs/>
        </w:rPr>
        <w:t>Sigurimi:</w:t>
      </w:r>
      <w:r w:rsidRPr="00E17996">
        <w:t xml:space="preserve"> Kjo është faza kritike e vlerësimit të riskut ku huadhënësi vlerëson aplikimin e huamarrësit për të përcaktuar aftësinë e tyre kreditore dhe mundësinë e shlyerjes së kredisë.</w:t>
      </w:r>
      <w:r w:rsidRPr="00E17996">
        <w:rPr>
          <w:rFonts w:eastAsia="Google Sans Text" w:cs="Times New Roman"/>
          <w:color w:val="575B5F"/>
          <w:szCs w:val="24"/>
          <w:vertAlign w:val="superscript"/>
        </w:rPr>
        <w:t>43</w:t>
      </w:r>
      <w:r>
        <w:rPr>
          <w:rFonts w:ascii="Google Sans Text" w:eastAsia="Google Sans Text" w:hAnsi="Google Sans Text"/>
          <w:szCs w:val="24"/>
        </w:rPr>
        <w:t xml:space="preserve"> </w:t>
      </w:r>
      <w:r w:rsidRPr="00E17996">
        <w:t>Faktorët kryesorë të vlerësuar përfshijnë rezultatin e kreditit dhe historinë e kreditit të huamarrësit, stabilitetin dhe nivelin e të ardhurave, detyrimet ekzistuese të borxhit (shpesh të matura nga raporti borxh-të ardhura ose DTI) dhe, për kreditë e siguruara, vlerën dhe cilësinë e kolateralit të propozuar.</w:t>
      </w:r>
      <w:r w:rsidRPr="00E17996">
        <w:rPr>
          <w:rFonts w:eastAsia="Google Sans Text" w:cs="Times New Roman"/>
          <w:color w:val="575B5F"/>
          <w:szCs w:val="24"/>
          <w:vertAlign w:val="superscript"/>
        </w:rPr>
        <w:t>21</w:t>
      </w:r>
    </w:p>
    <w:p w:rsidR="00E17996" w:rsidRDefault="00E17996" w:rsidP="003E1D2F">
      <w:pPr>
        <w:widowControl w:val="0"/>
        <w:numPr>
          <w:ilvl w:val="1"/>
          <w:numId w:val="8"/>
        </w:numPr>
        <w:pBdr>
          <w:top w:val="nil"/>
          <w:left w:val="nil"/>
          <w:bottom w:val="nil"/>
          <w:right w:val="nil"/>
          <w:between w:val="nil"/>
        </w:pBdr>
        <w:spacing w:after="0"/>
        <w:jc w:val="left"/>
      </w:pPr>
      <w:r w:rsidRPr="00537A35">
        <w:rPr>
          <w:b/>
          <w:bCs/>
        </w:rPr>
        <w:t>Roli i IA-së në Sigurimin e Sigurimeve:</w:t>
      </w:r>
      <w:r w:rsidRPr="00537A35">
        <w:t xml:space="preserve"> Inteligjenca artificiale (IA) po integrohet gjithnjë e më shumë në procesin e nënshkrimit të kredisë. Algoritmet e IA-së mund të analizojnë grupe të dhënash të gjera dhe të larmishme - duke përfshirë të dhënat tradicionale të kredisë, të ardhurat, historikun e transaksioneve dhe nganjëherë të dhëna alternative si aktiviteti online - potencialisht më shpejt dhe në mënyrë gjithëpërfshirëse sesa nënshkrimet njerëzore.</w:t>
      </w:r>
      <w:r w:rsidRPr="00E17996">
        <w:rPr>
          <w:rFonts w:eastAsia="Google Sans Text" w:cs="Times New Roman"/>
          <w:color w:val="575B5F"/>
          <w:szCs w:val="24"/>
          <w:vertAlign w:val="superscript"/>
        </w:rPr>
        <w:t>43</w:t>
      </w:r>
      <w:r>
        <w:rPr>
          <w:rFonts w:ascii="Google Sans Text" w:eastAsia="Google Sans Text" w:hAnsi="Google Sans Text"/>
          <w:szCs w:val="24"/>
        </w:rPr>
        <w:t xml:space="preserve"> </w:t>
      </w:r>
      <w:r w:rsidRPr="00537A35">
        <w:t>Studimet që krahasojnë sigurimin algoritmik dhe atë njerëzor, veçanërisht në huadhënien për automjete, kanë treguar se inteligjenca artificiale mund të çojë në fitime dukshëm më të larta nga kreditë dhe norma më të ulëta të mospagesës së kredisë, veçanërisht për aplikacione më të rrezikshme ose më komplekse ku kapaciteti njerëzor për analizë mund të jetë i kufizuar.</w:t>
      </w:r>
      <w:r w:rsidRPr="00537A35">
        <w:rPr>
          <w:rFonts w:eastAsia="Google Sans Text" w:cs="Times New Roman"/>
          <w:color w:val="575B5F"/>
          <w:szCs w:val="24"/>
          <w:vertAlign w:val="superscript"/>
        </w:rPr>
        <w:t>48</w:t>
      </w:r>
      <w:r w:rsidR="00537A35">
        <w:rPr>
          <w:rFonts w:ascii="Google Sans Text" w:eastAsia="Google Sans Text" w:hAnsi="Google Sans Text"/>
          <w:szCs w:val="24"/>
        </w:rPr>
        <w:t xml:space="preserve"> </w:t>
      </w:r>
      <w:r w:rsidR="00537A35" w:rsidRPr="00537A35">
        <w:t>P</w:t>
      </w:r>
      <w:r w:rsidRPr="00537A35">
        <w:t>ërfitimet përfshijnë rritje të mundshme të efikasitetit, vendimmarrje më të shpejtë dhe potencialisht ulje të paragjykimeve njerëzore.</w:t>
      </w:r>
      <w:r w:rsidRPr="00537A35">
        <w:rPr>
          <w:rFonts w:eastAsia="Google Sans Text" w:cs="Times New Roman"/>
          <w:color w:val="575B5F"/>
          <w:szCs w:val="24"/>
          <w:vertAlign w:val="superscript"/>
        </w:rPr>
        <w:t>47</w:t>
      </w:r>
      <w:r w:rsidR="00537A35" w:rsidRPr="00537A35">
        <w:t xml:space="preserve"> M</w:t>
      </w:r>
      <w:r w:rsidRPr="00537A35">
        <w:t xml:space="preserve">egjithatë, përdorimi i IA-së sjell edhe kompleksitete. Efektiviteti i nënshkrimit të IA-së varet shumë nga cilësia dhe përfaqësimi i të dhënave të </w:t>
      </w:r>
      <w:r w:rsidRPr="00537A35">
        <w:lastRenderedPageBreak/>
        <w:t>përdorura për algoritmet e trajnimit dhe transparenca e vetë modeleve.</w:t>
      </w:r>
      <w:r w:rsidRPr="00537A35">
        <w:rPr>
          <w:rFonts w:eastAsia="Google Sans Text" w:cs="Times New Roman"/>
          <w:color w:val="575B5F"/>
          <w:szCs w:val="24"/>
          <w:vertAlign w:val="superscript"/>
        </w:rPr>
        <w:t>47</w:t>
      </w:r>
      <w:r w:rsidR="00537A35">
        <w:rPr>
          <w:rFonts w:ascii="Google Sans Text" w:eastAsia="Google Sans Text" w:hAnsi="Google Sans Text"/>
          <w:szCs w:val="24"/>
        </w:rPr>
        <w:t xml:space="preserve"> </w:t>
      </w:r>
      <w:r w:rsidR="00537A35" w:rsidRPr="00537A35">
        <w:t>E</w:t>
      </w:r>
      <w:r w:rsidRPr="00537A35">
        <w:t>kziston rreziku që paragjykimet e pranishme në të dhënat historike të përjetësohen ose edhe të amplifikohen nga sistemet e inteligjencës artificiale, duke çuar potencialisht në rezultate të padrejta ose diskriminim nëse nuk menaxhohen dhe qeverisen me kujdes.</w:t>
      </w:r>
      <w:r w:rsidRPr="00537A35">
        <w:rPr>
          <w:rFonts w:eastAsia="Google Sans Text" w:cs="Times New Roman"/>
          <w:color w:val="575B5F"/>
          <w:szCs w:val="24"/>
          <w:vertAlign w:val="superscript"/>
        </w:rPr>
        <w:t>50</w:t>
      </w:r>
      <w:r w:rsidR="00537A35">
        <w:rPr>
          <w:rFonts w:ascii="Google Sans Text" w:eastAsia="Google Sans Text" w:hAnsi="Google Sans Text"/>
          <w:szCs w:val="24"/>
        </w:rPr>
        <w:t xml:space="preserve"> </w:t>
      </w:r>
      <w:r w:rsidR="00537A35" w:rsidRPr="00537A35">
        <w:t>K</w:t>
      </w:r>
      <w:r w:rsidRPr="00537A35">
        <w:t>jo është veçanërisht e rëndësishme në kontekste që synojnë rritjen e përfshirjes financiare, siç është Kosova.</w:t>
      </w:r>
      <w:r w:rsidRPr="00537A35">
        <w:rPr>
          <w:rFonts w:eastAsia="Google Sans Text" w:cs="Times New Roman"/>
          <w:color w:val="575B5F"/>
          <w:szCs w:val="24"/>
          <w:vertAlign w:val="superscript"/>
        </w:rPr>
        <w:t>2</w:t>
      </w:r>
      <w:r w:rsidRPr="00537A35">
        <w:t>, ku sigurimi i aksesit të drejtë në kredi është parësor. Mbikëqyrja rregullatore dhe kornizat e forta të qeverisjes janë thelbësore për të shfrytëzuar përfitimet e inteligjencës artificiale, duke zbutur njëkohësisht rreziqet e saj.</w:t>
      </w:r>
      <w:r w:rsidRPr="00537A35">
        <w:rPr>
          <w:rFonts w:eastAsia="Google Sans Text" w:cs="Times New Roman"/>
          <w:color w:val="575B5F"/>
          <w:szCs w:val="24"/>
          <w:vertAlign w:val="superscript"/>
        </w:rPr>
        <w:t>47</w:t>
      </w:r>
    </w:p>
    <w:p w:rsidR="00E17996" w:rsidRDefault="00E17996" w:rsidP="003E1D2F">
      <w:pPr>
        <w:widowControl w:val="0"/>
        <w:numPr>
          <w:ilvl w:val="0"/>
          <w:numId w:val="7"/>
        </w:numPr>
        <w:pBdr>
          <w:top w:val="nil"/>
          <w:left w:val="nil"/>
          <w:bottom w:val="nil"/>
          <w:right w:val="nil"/>
          <w:between w:val="nil"/>
        </w:pBdr>
        <w:spacing w:after="0"/>
        <w:jc w:val="left"/>
      </w:pPr>
      <w:r w:rsidRPr="00537A35">
        <w:rPr>
          <w:b/>
          <w:bCs/>
        </w:rPr>
        <w:t>Miratim/Mohim:</w:t>
      </w:r>
      <w:r w:rsidR="00537A35" w:rsidRPr="00537A35">
        <w:t xml:space="preserve"> </w:t>
      </w:r>
      <w:r w:rsidRPr="00537A35">
        <w:t>Bazuar në rezultatin e vlerësimit të kredisë, huadhënësi vendos nëse do ta miratojë apo do ta refuzojë kërkesën për kredi.</w:t>
      </w:r>
      <w:r w:rsidRPr="00537A35">
        <w:rPr>
          <w:rFonts w:eastAsia="Google Sans Text" w:cs="Times New Roman"/>
          <w:color w:val="575B5F"/>
          <w:szCs w:val="24"/>
          <w:vertAlign w:val="superscript"/>
        </w:rPr>
        <w:t>43</w:t>
      </w:r>
      <w:r w:rsidR="00537A35">
        <w:rPr>
          <w:rFonts w:ascii="Google Sans Text" w:eastAsia="Google Sans Text" w:hAnsi="Google Sans Text"/>
          <w:szCs w:val="24"/>
        </w:rPr>
        <w:t xml:space="preserve"> </w:t>
      </w:r>
      <w:r w:rsidR="00537A35" w:rsidRPr="00537A35">
        <w:t>M</w:t>
      </w:r>
      <w:r w:rsidRPr="00537A35">
        <w:t>iratimi mund të jetë i kushtëzuar, duke kërkuar që huamarrësi të paraqesë dokumentacion shtesë ose të përmbushë kërkesa specifike përpara se kredia të finalizohet.</w:t>
      </w:r>
      <w:r w:rsidRPr="00537A35">
        <w:rPr>
          <w:rFonts w:eastAsia="Google Sans Text" w:cs="Times New Roman"/>
          <w:color w:val="575B5F"/>
          <w:szCs w:val="24"/>
          <w:vertAlign w:val="superscript"/>
        </w:rPr>
        <w:t>46</w:t>
      </w:r>
      <w:r w:rsidR="00537A35">
        <w:rPr>
          <w:rFonts w:ascii="Google Sans Text" w:eastAsia="Google Sans Text" w:hAnsi="Google Sans Text"/>
          <w:szCs w:val="24"/>
        </w:rPr>
        <w:t xml:space="preserve"> </w:t>
      </w:r>
      <w:r w:rsidR="00537A35" w:rsidRPr="00537A35">
        <w:t>N</w:t>
      </w:r>
      <w:r w:rsidRPr="00537A35">
        <w:t>ëse refuzohet, huadhënësi zakonisht kërkohet të japë një arsye.</w:t>
      </w:r>
      <w:r w:rsidRPr="00537A35">
        <w:rPr>
          <w:rFonts w:eastAsia="Google Sans Text" w:cs="Times New Roman"/>
          <w:color w:val="575B5F"/>
          <w:szCs w:val="24"/>
          <w:vertAlign w:val="superscript"/>
        </w:rPr>
        <w:t>21</w:t>
      </w:r>
    </w:p>
    <w:p w:rsidR="00E17996" w:rsidRDefault="00E17996" w:rsidP="003E1D2F">
      <w:pPr>
        <w:widowControl w:val="0"/>
        <w:numPr>
          <w:ilvl w:val="0"/>
          <w:numId w:val="7"/>
        </w:numPr>
        <w:pBdr>
          <w:top w:val="nil"/>
          <w:left w:val="nil"/>
          <w:bottom w:val="nil"/>
          <w:right w:val="nil"/>
          <w:between w:val="nil"/>
        </w:pBdr>
        <w:spacing w:after="0"/>
        <w:jc w:val="left"/>
      </w:pPr>
      <w:r w:rsidRPr="00537A35">
        <w:rPr>
          <w:b/>
          <w:bCs/>
        </w:rPr>
        <w:t>Shpërndarja:</w:t>
      </w:r>
      <w:r w:rsidR="00537A35" w:rsidRPr="00537A35">
        <w:t xml:space="preserve"> </w:t>
      </w:r>
      <w:r w:rsidRPr="00537A35">
        <w:t>Pas miratimit përfundimtar dhe pranimit të kushteve të kredisë nga huamarrësi (nënshkrimi i marrëveshjes së kredisë), huadhënësi liron fondet.</w:t>
      </w:r>
      <w:r w:rsidRPr="00537A35">
        <w:rPr>
          <w:rFonts w:eastAsia="Google Sans Text" w:cs="Times New Roman"/>
          <w:color w:val="575B5F"/>
          <w:szCs w:val="24"/>
          <w:vertAlign w:val="superscript"/>
        </w:rPr>
        <w:t>21</w:t>
      </w:r>
      <w:r w:rsidR="00537A35">
        <w:rPr>
          <w:rFonts w:ascii="Google Sans Text" w:eastAsia="Google Sans Text" w:hAnsi="Google Sans Text"/>
          <w:szCs w:val="24"/>
        </w:rPr>
        <w:t xml:space="preserve"> </w:t>
      </w:r>
      <w:r w:rsidR="00537A35" w:rsidRPr="00537A35">
        <w:t>M</w:t>
      </w:r>
      <w:r w:rsidRPr="00537A35">
        <w:t>etoda e shpërndarjes ndryshon; fondet mund të depozitohen direkt në llogarinë bankare të huamarrësit (e zakonshme për kreditë personale), t'i paguhen direkt një shitësi (p.sh., një shitës makinash për një kredi auto) ose të dërgohen në një institucion arsimor (për kredi studentore).</w:t>
      </w:r>
      <w:r w:rsidRPr="00537A35">
        <w:rPr>
          <w:rFonts w:eastAsia="Google Sans Text" w:cs="Times New Roman"/>
          <w:color w:val="575B5F"/>
          <w:szCs w:val="24"/>
          <w:vertAlign w:val="superscript"/>
        </w:rPr>
        <w:t>21</w:t>
      </w:r>
    </w:p>
    <w:p w:rsidR="00E17996" w:rsidRDefault="00E17996" w:rsidP="003E1D2F">
      <w:pPr>
        <w:widowControl w:val="0"/>
        <w:numPr>
          <w:ilvl w:val="0"/>
          <w:numId w:val="7"/>
        </w:numPr>
        <w:pBdr>
          <w:top w:val="nil"/>
          <w:left w:val="nil"/>
          <w:bottom w:val="nil"/>
          <w:right w:val="nil"/>
          <w:between w:val="nil"/>
        </w:pBdr>
        <w:spacing w:after="0"/>
        <w:jc w:val="left"/>
      </w:pPr>
      <w:r w:rsidRPr="00537A35">
        <w:rPr>
          <w:b/>
          <w:bCs/>
        </w:rPr>
        <w:t>Shlyerja:</w:t>
      </w:r>
      <w:r w:rsidR="00537A35" w:rsidRPr="00537A35">
        <w:t xml:space="preserve"> </w:t>
      </w:r>
      <w:r w:rsidRPr="00537A35">
        <w:t>Huamarrësi fillon të bëjë pagesa të rregullta, zakonisht mujore, sipas orarit të rënë dakord të përcaktuar në marrëveshjen e kredisë.</w:t>
      </w:r>
      <w:r w:rsidRPr="00537A35">
        <w:rPr>
          <w:rFonts w:eastAsia="Google Sans Text" w:cs="Times New Roman"/>
          <w:color w:val="575B5F"/>
          <w:szCs w:val="24"/>
          <w:vertAlign w:val="superscript"/>
        </w:rPr>
        <w:t>21</w:t>
      </w:r>
      <w:r w:rsidR="00537A35">
        <w:rPr>
          <w:rFonts w:ascii="Google Sans Text" w:eastAsia="Google Sans Text" w:hAnsi="Google Sans Text"/>
          <w:szCs w:val="24"/>
        </w:rPr>
        <w:t xml:space="preserve"> </w:t>
      </w:r>
      <w:r w:rsidR="00537A35" w:rsidRPr="00537A35">
        <w:t>Ç</w:t>
      </w:r>
      <w:r w:rsidRPr="00537A35">
        <w:t>do pagesë zakonisht përfshin një pjesë të caktuar për uljen e bilancit kryesor dhe një pjesë që mbulon interesin e grumbulluar. Grafikët e amortizimit detajojnë se si strukturohen këto pagesa gjatë afatit të kredisë.</w:t>
      </w:r>
      <w:r w:rsidRPr="00537A35">
        <w:rPr>
          <w:rFonts w:eastAsia="Google Sans Text" w:cs="Times New Roman"/>
          <w:color w:val="575B5F"/>
          <w:szCs w:val="24"/>
          <w:vertAlign w:val="superscript"/>
        </w:rPr>
        <w:t>6</w:t>
      </w:r>
    </w:p>
    <w:p w:rsidR="00E17996" w:rsidRDefault="00E17996" w:rsidP="003E1D2F">
      <w:pPr>
        <w:widowControl w:val="0"/>
        <w:numPr>
          <w:ilvl w:val="0"/>
          <w:numId w:val="7"/>
        </w:numPr>
        <w:pBdr>
          <w:top w:val="nil"/>
          <w:left w:val="nil"/>
          <w:bottom w:val="nil"/>
          <w:right w:val="nil"/>
          <w:between w:val="nil"/>
        </w:pBdr>
        <w:spacing w:after="0"/>
        <w:jc w:val="left"/>
      </w:pPr>
      <w:r w:rsidRPr="00537A35">
        <w:rPr>
          <w:b/>
          <w:bCs/>
        </w:rPr>
        <w:t>Parazgjedhur:</w:t>
      </w:r>
      <w:r w:rsidR="00537A35">
        <w:rPr>
          <w:rFonts w:ascii="Google Sans Text" w:eastAsia="Google Sans Text" w:hAnsi="Google Sans Text"/>
          <w:b/>
          <w:szCs w:val="24"/>
        </w:rPr>
        <w:t xml:space="preserve"> </w:t>
      </w:r>
      <w:r w:rsidRPr="00537A35">
        <w:t>Mospagimi ndodh kur huamarrësi nuk arrin të bëjë pagesat e kërkuara siç përcaktohet në marrëveshjen e kredisë.</w:t>
      </w:r>
      <w:r w:rsidRPr="00537A35">
        <w:rPr>
          <w:rFonts w:eastAsia="Google Sans Text" w:cs="Times New Roman"/>
          <w:color w:val="575B5F"/>
          <w:szCs w:val="24"/>
          <w:vertAlign w:val="superscript"/>
        </w:rPr>
        <w:t>43</w:t>
      </w:r>
      <w:r w:rsidR="00537A35" w:rsidRPr="00537A35">
        <w:t xml:space="preserve"> N</w:t>
      </w:r>
      <w:r w:rsidRPr="00537A35">
        <w:t>dërsa një pagesë e vetme e munguar përbën vonesë në pagesë, mospagesa zakonisht deklarohet pas një periudhe më të gjatë mospagese, shpesh 90 ditë ose më shumë, megjithëse kjo ndryshon në varësi të huadhënësit dhe llojit të kredisë.</w:t>
      </w:r>
      <w:r w:rsidRPr="00537A35">
        <w:rPr>
          <w:rFonts w:eastAsia="Google Sans Text" w:cs="Times New Roman"/>
          <w:color w:val="575B5F"/>
          <w:szCs w:val="24"/>
          <w:vertAlign w:val="superscript"/>
        </w:rPr>
        <w:t>53</w:t>
      </w:r>
    </w:p>
    <w:p w:rsidR="00E17996" w:rsidRDefault="00E17996" w:rsidP="003E1D2F">
      <w:pPr>
        <w:widowControl w:val="0"/>
        <w:numPr>
          <w:ilvl w:val="1"/>
          <w:numId w:val="9"/>
        </w:numPr>
        <w:pBdr>
          <w:top w:val="nil"/>
          <w:left w:val="nil"/>
          <w:bottom w:val="nil"/>
          <w:right w:val="nil"/>
          <w:between w:val="nil"/>
        </w:pBdr>
        <w:spacing w:after="0"/>
        <w:jc w:val="left"/>
      </w:pPr>
      <w:r w:rsidRPr="00537A35">
        <w:rPr>
          <w:i/>
          <w:iCs/>
        </w:rPr>
        <w:t>Pasojat: Mospagimi ka pasoja të rënda negative. Kjo rezulton në një notë të konsiderueshme negative në raportin e kreditit të huamarrësit, duke ulur ndjeshëm rezultatin e tyre të kreditit për deri në shtatë vjet.</w:t>
      </w:r>
      <w:r w:rsidRPr="00537A35">
        <w:rPr>
          <w:rFonts w:eastAsia="Google Sans Text" w:cs="Times New Roman"/>
          <w:color w:val="575B5F"/>
          <w:szCs w:val="24"/>
          <w:vertAlign w:val="superscript"/>
        </w:rPr>
        <w:t>53</w:t>
      </w:r>
      <w:r w:rsidR="00537A35">
        <w:rPr>
          <w:rFonts w:ascii="Google Sans Text" w:eastAsia="Google Sans Text" w:hAnsi="Google Sans Text"/>
          <w:szCs w:val="24"/>
        </w:rPr>
        <w:t xml:space="preserve"> </w:t>
      </w:r>
      <w:r w:rsidR="00537A35" w:rsidRPr="00537A35">
        <w:rPr>
          <w:i/>
          <w:iCs/>
        </w:rPr>
        <w:t>H</w:t>
      </w:r>
      <w:r w:rsidRPr="00537A35">
        <w:rPr>
          <w:i/>
          <w:iCs/>
        </w:rPr>
        <w:t xml:space="preserve">uadhënësit zakonisht do të aplikojnë tarifa vonese dhe norma interesi penalizues. I gjithë </w:t>
      </w:r>
      <w:r w:rsidRPr="00537A35">
        <w:rPr>
          <w:i/>
          <w:iCs/>
        </w:rPr>
        <w:lastRenderedPageBreak/>
        <w:t>bilanci i papaguar i kredisë mund të bëhet menjëherë i pagueshëm (përshpejtim i kredisë).</w:t>
      </w:r>
      <w:r w:rsidRPr="00537A35">
        <w:rPr>
          <w:rFonts w:eastAsia="Google Sans Text" w:cs="Times New Roman"/>
          <w:color w:val="575B5F"/>
          <w:szCs w:val="24"/>
          <w:vertAlign w:val="superscript"/>
        </w:rPr>
        <w:t>54</w:t>
      </w:r>
    </w:p>
    <w:p w:rsidR="00E17996" w:rsidRDefault="00E17996" w:rsidP="003E1D2F">
      <w:pPr>
        <w:widowControl w:val="0"/>
        <w:numPr>
          <w:ilvl w:val="1"/>
          <w:numId w:val="9"/>
        </w:numPr>
        <w:pBdr>
          <w:top w:val="nil"/>
          <w:left w:val="nil"/>
          <w:bottom w:val="nil"/>
          <w:right w:val="nil"/>
          <w:between w:val="nil"/>
        </w:pBdr>
        <w:spacing w:after="0"/>
        <w:jc w:val="left"/>
      </w:pPr>
      <w:r w:rsidRPr="007D1D61">
        <w:rPr>
          <w:i/>
          <w:iCs/>
        </w:rPr>
        <w:t>Mospagimi i Kredisë së Siguruar: Nëse kredia është e siguruar me kolateral, huadhënësi ka të drejtë të fillojë procedurat ligjore për të sekuestruar pasurinë. Kjo mund të përfshijë rimarrjen e pasurive si makina, anije ose pajisje.</w:t>
      </w:r>
      <w:r w:rsidRPr="007D1D61">
        <w:rPr>
          <w:rFonts w:eastAsia="Google Sans Text" w:cs="Times New Roman"/>
          <w:color w:val="575B5F"/>
          <w:szCs w:val="24"/>
          <w:vertAlign w:val="superscript"/>
        </w:rPr>
        <w:t>53</w:t>
      </w:r>
      <w:r w:rsidRPr="007D1D61">
        <w:rPr>
          <w:i/>
          <w:iCs/>
        </w:rPr>
        <w:t>, ose përmbarim për pasuri të paluajtshme (hipoteka).</w:t>
      </w:r>
      <w:r w:rsidRPr="007D1D61">
        <w:rPr>
          <w:rFonts w:eastAsia="Google Sans Text" w:cs="Times New Roman"/>
          <w:color w:val="575B5F"/>
          <w:szCs w:val="24"/>
          <w:vertAlign w:val="superscript"/>
        </w:rPr>
        <w:t>53</w:t>
      </w:r>
      <w:r w:rsidR="007D1D61">
        <w:rPr>
          <w:rFonts w:ascii="Google Sans Text" w:eastAsia="Google Sans Text" w:hAnsi="Google Sans Text"/>
          <w:szCs w:val="24"/>
        </w:rPr>
        <w:t xml:space="preserve"> </w:t>
      </w:r>
      <w:r w:rsidR="007D1D61" w:rsidRPr="007D1D61">
        <w:rPr>
          <w:i/>
          <w:iCs/>
        </w:rPr>
        <w:t>H</w:t>
      </w:r>
      <w:r w:rsidRPr="007D1D61">
        <w:rPr>
          <w:i/>
          <w:iCs/>
        </w:rPr>
        <w:t>uadhënësi zakonisht do ta shesë pasurinë e sekuestruar për të rikuperuar borxhin. Nëse të ardhurat nga shitja nuk mbulojnë bilancin e plotë të papaguar plus kostot, huamarrësi mund të jetë ende i detyruar ligjërisht të paguajë shumën e mbetur, e njohur si bilanc mungese.</w:t>
      </w:r>
      <w:r w:rsidRPr="007D1D61">
        <w:rPr>
          <w:rFonts w:eastAsia="Google Sans Text" w:cs="Times New Roman"/>
          <w:color w:val="575B5F"/>
          <w:szCs w:val="24"/>
          <w:vertAlign w:val="superscript"/>
        </w:rPr>
        <w:t>54</w:t>
      </w:r>
    </w:p>
    <w:p w:rsidR="00E17996" w:rsidRDefault="00E17996" w:rsidP="003E1D2F">
      <w:pPr>
        <w:widowControl w:val="0"/>
        <w:numPr>
          <w:ilvl w:val="1"/>
          <w:numId w:val="9"/>
        </w:numPr>
        <w:pBdr>
          <w:top w:val="nil"/>
          <w:left w:val="nil"/>
          <w:bottom w:val="nil"/>
          <w:right w:val="nil"/>
          <w:between w:val="nil"/>
        </w:pBdr>
        <w:spacing w:after="0"/>
        <w:jc w:val="left"/>
      </w:pPr>
      <w:r w:rsidRPr="007D1D61">
        <w:rPr>
          <w:i/>
          <w:iCs/>
        </w:rPr>
        <w:t>Mospagimi i Kredisë së Pasiguruar: Për kreditë e pasiguruara (si shumica e kredive personale dhe kartave të kreditit), nuk ka kolateral specifik për t'u sekuestruar. Megjithatë, huadhënësi do të ndjekë shlyerjen përmes mjeteve të tjera. Kjo shpesh përfshin referimin e borxhit te një departament i brendshëm i mbledhjes së borxheve ose shitjen e tij te një agjenci e palës së tretë e mbledhjes, e cila më pas do të përpiqet të mbledhë borxhin.</w:t>
      </w:r>
      <w:r w:rsidRPr="007D1D61">
        <w:rPr>
          <w:rFonts w:eastAsia="Google Sans Text" w:cs="Times New Roman"/>
          <w:color w:val="575B5F"/>
          <w:szCs w:val="24"/>
          <w:vertAlign w:val="superscript"/>
        </w:rPr>
        <w:t>53</w:t>
      </w:r>
      <w:r w:rsidR="007D1D61">
        <w:rPr>
          <w:rFonts w:ascii="Google Sans Text" w:eastAsia="Google Sans Text" w:hAnsi="Google Sans Text"/>
          <w:szCs w:val="24"/>
        </w:rPr>
        <w:t xml:space="preserve"> </w:t>
      </w:r>
      <w:r w:rsidR="007D1D61" w:rsidRPr="007D1D61">
        <w:rPr>
          <w:i/>
          <w:iCs/>
        </w:rPr>
        <w:t>A</w:t>
      </w:r>
      <w:r w:rsidRPr="007D1D61">
        <w:rPr>
          <w:i/>
          <w:iCs/>
        </w:rPr>
        <w:t>gjencitë e mbledhjes së borxheve mund të përdorin metoda kontakti të vazhdueshme. Nëse përpjekjet e mbledhjes dështojnë, huadhënësi ose agjencia mund të ngrenë një padi kundër huamarrësit. Një padi e suksesshme mund të rezultojë në një vendim gjykate që urdhëron shlyerjen, potencialisht përmes sekuestrimit të pagës (ku një pjesë e pagës së huamarrësit mbahet) ose duke vendosur një barrë mbi pronën e huamarrësit (duke parandaluar shitjen ose rifinancimin e saj derisa të paguhet borxhi).</w:t>
      </w:r>
      <w:r w:rsidRPr="007D1D61">
        <w:rPr>
          <w:rFonts w:eastAsia="Google Sans Text" w:cs="Times New Roman"/>
          <w:color w:val="575B5F"/>
          <w:szCs w:val="24"/>
          <w:vertAlign w:val="superscript"/>
        </w:rPr>
        <w:t>53</w:t>
      </w:r>
    </w:p>
    <w:p w:rsidR="007D1D61" w:rsidRDefault="007D1D61" w:rsidP="003E1D2F">
      <w:pPr>
        <w:widowControl w:val="0"/>
        <w:numPr>
          <w:ilvl w:val="1"/>
          <w:numId w:val="9"/>
        </w:numPr>
        <w:pBdr>
          <w:top w:val="nil"/>
          <w:left w:val="nil"/>
          <w:bottom w:val="nil"/>
          <w:right w:val="nil"/>
          <w:between w:val="nil"/>
        </w:pBdr>
        <w:spacing w:after="120"/>
        <w:jc w:val="left"/>
      </w:pPr>
      <w:r w:rsidRPr="007D1D61">
        <w:rPr>
          <w:i/>
          <w:iCs/>
        </w:rPr>
        <w:t>Mospagimi i Kredisë Studentore (Federale): Mospagimi i kredive federale studentore mbart pasoja unike, duke përfshirë mundësinë që qeveria të sekuestrojë pagat pa urdhër gjykate, të sekuestrojë rimbursimet e taksave dhe të kompensojë përfitimet federale si pagesat e Sigurimeve Shoqërore.</w:t>
      </w:r>
      <w:r w:rsidRPr="007D1D61">
        <w:rPr>
          <w:rFonts w:eastAsia="Google Sans Text" w:cs="Times New Roman"/>
          <w:color w:val="575B5F"/>
          <w:szCs w:val="24"/>
          <w:vertAlign w:val="superscript"/>
        </w:rPr>
        <w:t>53</w:t>
      </w: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67560B" w:rsidP="003E1D2F">
      <w:pPr>
        <w:widowControl w:val="0"/>
        <w:pBdr>
          <w:top w:val="nil"/>
          <w:left w:val="nil"/>
          <w:bottom w:val="nil"/>
          <w:right w:val="nil"/>
          <w:between w:val="nil"/>
        </w:pBdr>
      </w:pPr>
    </w:p>
    <w:p w:rsidR="0067560B" w:rsidRDefault="007D1D61" w:rsidP="003E1D2F">
      <w:pPr>
        <w:pStyle w:val="Heading1"/>
      </w:pPr>
      <w:bookmarkStart w:id="19" w:name="_Toc198554994"/>
      <w:r w:rsidRPr="007D1D61">
        <w:lastRenderedPageBreak/>
        <w:t>Pjesa 2: Analiza e Tregut të Kredive Personale në Kosovë</w:t>
      </w:r>
      <w:bookmarkEnd w:id="19"/>
    </w:p>
    <w:p w:rsidR="0067560B" w:rsidRDefault="007D1D61" w:rsidP="003F6AFA">
      <w:pPr>
        <w:pStyle w:val="Heading2"/>
      </w:pPr>
      <w:bookmarkStart w:id="20" w:name="_Toc198554995"/>
      <w:r w:rsidRPr="007D1D61">
        <w:t>2.1 Mjedisi Financiar dhe Makroekonomik i Kosovës</w:t>
      </w:r>
      <w:bookmarkEnd w:id="20"/>
    </w:p>
    <w:p w:rsidR="007D1D61" w:rsidRDefault="007D1D61" w:rsidP="003E1D2F">
      <w:r>
        <w:t>Sistemi financiar i Kosovës vepron brenda një konteksti unik të formuar nga zhvillimi i saj pas pavarësisë, miratimi i njëanshëm i euros dhe mbikëqyrja e mbështetja e rëndësishme ndërkombëtare.</w:t>
      </w:r>
    </w:p>
    <w:p w:rsidR="007D1D61" w:rsidRDefault="007D1D61" w:rsidP="003E1D2F">
      <w:pPr>
        <w:widowControl w:val="0"/>
        <w:numPr>
          <w:ilvl w:val="0"/>
          <w:numId w:val="10"/>
        </w:numPr>
        <w:pBdr>
          <w:top w:val="nil"/>
          <w:left w:val="nil"/>
          <w:bottom w:val="nil"/>
          <w:right w:val="nil"/>
          <w:between w:val="nil"/>
        </w:pBdr>
        <w:spacing w:after="0"/>
        <w:jc w:val="left"/>
      </w:pPr>
      <w:r w:rsidRPr="00EE09A8">
        <w:rPr>
          <w:b/>
          <w:bCs/>
        </w:rPr>
        <w:t>Roli i Bankës Qendrore (BQK):</w:t>
      </w:r>
      <w:r w:rsidR="00B21F81" w:rsidRPr="00EE09A8">
        <w:t xml:space="preserve"> </w:t>
      </w:r>
      <w:r w:rsidRPr="00EE09A8">
        <w:t>Banka Qendrore e Republikës së Kosovës (BQK) shërben si gurthemeli i sistemit financiar. E themeluar në vitin 2008, ajo është një institucion publik i pavarur që raporton para Kuvendit të Kosovës.</w:t>
      </w:r>
      <w:r w:rsidRPr="00EE09A8">
        <w:rPr>
          <w:rFonts w:eastAsia="Google Sans Text" w:cs="Times New Roman"/>
          <w:color w:val="575B5F"/>
          <w:szCs w:val="24"/>
          <w:vertAlign w:val="superscript"/>
        </w:rPr>
        <w:t>59</w:t>
      </w:r>
      <w:r w:rsidR="00EE09A8">
        <w:rPr>
          <w:rFonts w:ascii="Google Sans Text" w:eastAsia="Google Sans Text" w:hAnsi="Google Sans Text"/>
          <w:szCs w:val="24"/>
        </w:rPr>
        <w:t xml:space="preserve"> </w:t>
      </w:r>
      <w:r w:rsidR="00EE09A8" w:rsidRPr="00EE09A8">
        <w:t>M</w:t>
      </w:r>
      <w:r w:rsidRPr="00EE09A8">
        <w:t>andati i saj kryesor është të nxisë dhe të mirëmbajë një sistem financiar të qëndrueshëm, duke përfshirë një sistem pagesash të sigurt dhe efikas.</w:t>
      </w:r>
      <w:r w:rsidRPr="00EE09A8">
        <w:rPr>
          <w:rFonts w:eastAsia="Google Sans Text" w:cs="Times New Roman"/>
          <w:color w:val="575B5F"/>
          <w:szCs w:val="24"/>
          <w:vertAlign w:val="superscript"/>
        </w:rPr>
        <w:t>61</w:t>
      </w:r>
      <w:r w:rsidR="00EE09A8">
        <w:rPr>
          <w:rFonts w:ascii="Google Sans Text" w:eastAsia="Google Sans Text" w:hAnsi="Google Sans Text"/>
          <w:szCs w:val="24"/>
        </w:rPr>
        <w:t xml:space="preserve"> </w:t>
      </w:r>
      <w:r w:rsidR="00EE09A8" w:rsidRPr="00EE09A8">
        <w:t>B</w:t>
      </w:r>
      <w:r w:rsidRPr="00EE09A8">
        <w:t>QK-ja mban përgjegjësinë e vetme për licencimin dhe mbikëqyrjen e bankave, institucioneve mikrofinanciare (IMFI-ve), institucioneve financiare jobankare (INFI-ve) dhe kompanive të sigurimeve.</w:t>
      </w:r>
      <w:r w:rsidRPr="00EE09A8">
        <w:rPr>
          <w:rFonts w:eastAsia="Google Sans Text" w:cs="Times New Roman"/>
          <w:color w:val="575B5F"/>
          <w:szCs w:val="24"/>
          <w:vertAlign w:val="superscript"/>
        </w:rPr>
        <w:t>63</w:t>
      </w:r>
      <w:r w:rsidR="00EE09A8">
        <w:rPr>
          <w:rFonts w:ascii="Google Sans Text" w:eastAsia="Google Sans Text" w:hAnsi="Google Sans Text"/>
          <w:szCs w:val="24"/>
        </w:rPr>
        <w:t xml:space="preserve"> </w:t>
      </w:r>
      <w:r w:rsidR="00EE09A8" w:rsidRPr="00EE09A8">
        <w:t>A</w:t>
      </w:r>
      <w:r w:rsidRPr="00EE09A8">
        <w:t>i përcakton kërkesa prudenciale, duke përfshirë raportet minimale të mjaftueshmërisë së kapitalit (CAR) dhe rregulloret për menaxhimin e rrezikut të kreditit.</w:t>
      </w:r>
      <w:r w:rsidRPr="00EE09A8">
        <w:rPr>
          <w:rFonts w:eastAsia="Google Sans Text" w:cs="Times New Roman"/>
          <w:color w:val="575B5F"/>
          <w:szCs w:val="24"/>
          <w:vertAlign w:val="superscript"/>
        </w:rPr>
        <w:t>65</w:t>
      </w:r>
      <w:r w:rsidR="00EE09A8">
        <w:rPr>
          <w:rFonts w:ascii="Google Sans Text" w:eastAsia="Google Sans Text" w:hAnsi="Google Sans Text"/>
          <w:szCs w:val="24"/>
        </w:rPr>
        <w:t xml:space="preserve"> </w:t>
      </w:r>
      <w:r w:rsidR="00EE09A8" w:rsidRPr="00EE09A8">
        <w:t>B</w:t>
      </w:r>
      <w:r w:rsidRPr="00EE09A8">
        <w:t>QK-ja kërkon në mënyrë aktive përafrimin e kornizës së saj rregullative me standardet e Bashkimit Evropian, duke reflektuar aspiratat e Kosovës për në BE.</w:t>
      </w:r>
      <w:r w:rsidRPr="00EE09A8">
        <w:rPr>
          <w:rFonts w:eastAsia="Google Sans Text" w:cs="Times New Roman"/>
          <w:color w:val="575B5F"/>
          <w:szCs w:val="24"/>
          <w:vertAlign w:val="superscript"/>
        </w:rPr>
        <w:t>2</w:t>
      </w:r>
      <w:r w:rsidR="00EE09A8">
        <w:rPr>
          <w:rFonts w:ascii="Google Sans Text" w:eastAsia="Google Sans Text" w:hAnsi="Google Sans Text"/>
          <w:szCs w:val="24"/>
        </w:rPr>
        <w:t xml:space="preserve"> </w:t>
      </w:r>
      <w:r w:rsidR="00EE09A8" w:rsidRPr="00EE09A8">
        <w:t>P</w:t>
      </w:r>
      <w:r w:rsidRPr="00EE09A8">
        <w:t>ërtej mbikëqyrjes prudenciale, BQK-ja ka një fokus gjithnjë e më të madh në mbrojtjen e konsumatorit dhe edukimin financiar, duke zbatuar rregullore dhe iniciativa për të rritur transparencën dhe sjelljen në treg.</w:t>
      </w:r>
      <w:r w:rsidRPr="00EE09A8">
        <w:rPr>
          <w:rFonts w:eastAsia="Google Sans Text" w:cs="Times New Roman"/>
          <w:color w:val="575B5F"/>
          <w:szCs w:val="24"/>
          <w:vertAlign w:val="superscript"/>
        </w:rPr>
        <w:t>10</w:t>
      </w:r>
      <w:r w:rsidR="00EE09A8">
        <w:rPr>
          <w:rFonts w:ascii="Google Sans Text" w:eastAsia="Google Sans Text" w:hAnsi="Google Sans Text"/>
          <w:szCs w:val="24"/>
        </w:rPr>
        <w:t xml:space="preserve"> </w:t>
      </w:r>
      <w:r w:rsidR="00EE09A8" w:rsidRPr="00EE09A8">
        <w:t>G</w:t>
      </w:r>
      <w:r w:rsidRPr="00EE09A8">
        <w:t>jithashtu monitoron dinamikën e tregut përmes mjeteve si Anketa e Huadhënies Bankare.</w:t>
      </w:r>
      <w:r w:rsidRPr="00EE09A8">
        <w:rPr>
          <w:rFonts w:eastAsia="Google Sans Text" w:cs="Times New Roman"/>
          <w:color w:val="575B5F"/>
          <w:szCs w:val="24"/>
          <w:vertAlign w:val="superscript"/>
        </w:rPr>
        <w:t>52</w:t>
      </w:r>
      <w:r w:rsidR="00EE09A8">
        <w:rPr>
          <w:rFonts w:ascii="Google Sans Text" w:eastAsia="Google Sans Text" w:hAnsi="Google Sans Text"/>
          <w:szCs w:val="24"/>
        </w:rPr>
        <w:t xml:space="preserve"> </w:t>
      </w:r>
      <w:r w:rsidR="00EE09A8" w:rsidRPr="00EE09A8">
        <w:t>P</w:t>
      </w:r>
      <w:r w:rsidRPr="00EE09A8">
        <w:t>ër shkak të euroizimit, BQK-ja nuk mund të zhvillojë politikë monetare të pavarur ose të veprojë si një huadhënës i plotë i mundësisë së fundit (LOLR), megjithëse ekziston një kuadër për ndihmë emergjente të likuiditetit (ELA), e financuar pjesërisht nga depozitat qeveritare të menaxhuara nga BQK-ja.</w:t>
      </w:r>
      <w:r w:rsidRPr="00EE09A8">
        <w:rPr>
          <w:rFonts w:eastAsia="Google Sans Text" w:cs="Times New Roman"/>
          <w:color w:val="575B5F"/>
          <w:szCs w:val="24"/>
          <w:vertAlign w:val="superscript"/>
        </w:rPr>
        <w:t>64</w:t>
      </w:r>
    </w:p>
    <w:p w:rsidR="007D1D61" w:rsidRDefault="007D1D61" w:rsidP="003E1D2F">
      <w:pPr>
        <w:widowControl w:val="0"/>
        <w:numPr>
          <w:ilvl w:val="0"/>
          <w:numId w:val="10"/>
        </w:numPr>
        <w:pBdr>
          <w:top w:val="nil"/>
          <w:left w:val="nil"/>
          <w:bottom w:val="nil"/>
          <w:right w:val="nil"/>
          <w:between w:val="nil"/>
        </w:pBdr>
        <w:spacing w:after="0"/>
        <w:jc w:val="left"/>
      </w:pPr>
      <w:r w:rsidRPr="00903AA4">
        <w:rPr>
          <w:b/>
          <w:bCs/>
        </w:rPr>
        <w:t>Valuta:</w:t>
      </w:r>
      <w:r w:rsidR="00EE09A8" w:rsidRPr="00903AA4">
        <w:t xml:space="preserve"> </w:t>
      </w:r>
      <w:r w:rsidRPr="00903AA4">
        <w:t>Kosova miratoi në mënyrë të njëanshme euron (€) si monedhë ligjore në vitin 2002 (pas markës gjermane të përdorur që nga viti 1999).</w:t>
      </w:r>
      <w:r w:rsidRPr="00EE09A8">
        <w:rPr>
          <w:rFonts w:eastAsia="Google Sans Text" w:cs="Times New Roman"/>
          <w:color w:val="575B5F"/>
          <w:szCs w:val="24"/>
          <w:vertAlign w:val="superscript"/>
        </w:rPr>
        <w:t>63</w:t>
      </w:r>
      <w:r w:rsidR="00EE09A8">
        <w:rPr>
          <w:rFonts w:ascii="Google Sans Text" w:eastAsia="Google Sans Text" w:hAnsi="Google Sans Text"/>
          <w:szCs w:val="24"/>
        </w:rPr>
        <w:t xml:space="preserve"> </w:t>
      </w:r>
      <w:r w:rsidR="00EE09A8" w:rsidRPr="00903AA4">
        <w:t>K</w:t>
      </w:r>
      <w:r w:rsidRPr="00903AA4">
        <w:t>jo siguron stabilitet të konsiderueshëm makroekonomik duke ankoruar pritjet e inflacionit dhe duke eliminuar rrezikun e kursit të këmbimit, pasi mbi 95% e bilancit të sektorit bankar është i denominuar në euro.</w:t>
      </w:r>
      <w:r w:rsidRPr="00903AA4">
        <w:rPr>
          <w:rFonts w:eastAsia="Google Sans Text" w:cs="Times New Roman"/>
          <w:color w:val="575B5F"/>
          <w:szCs w:val="24"/>
          <w:vertAlign w:val="superscript"/>
        </w:rPr>
        <w:t>82</w:t>
      </w:r>
      <w:r w:rsidR="00903AA4">
        <w:rPr>
          <w:rFonts w:ascii="Google Sans Text" w:eastAsia="Google Sans Text" w:hAnsi="Google Sans Text"/>
          <w:szCs w:val="24"/>
        </w:rPr>
        <w:t xml:space="preserve"> </w:t>
      </w:r>
      <w:r w:rsidR="00903AA4" w:rsidRPr="00903AA4">
        <w:t>M</w:t>
      </w:r>
      <w:r w:rsidRPr="00903AA4">
        <w:t xml:space="preserve">egjithatë, kjo gjithashtu do të thotë që Kosova heq dorë nga kontrolli mbi politikën monetare (normat e interesit përcaktohen në mënyrë efektive nga Banka Qendrore Evropiane - BQE) dhe </w:t>
      </w:r>
      <w:r w:rsidRPr="00903AA4">
        <w:lastRenderedPageBreak/>
        <w:t>kufizon aftësinë e BQK-së për të vepruar si huadhënës i fundit.</w:t>
      </w:r>
      <w:r w:rsidRPr="00903AA4">
        <w:rPr>
          <w:rFonts w:eastAsia="Google Sans Text" w:cs="Times New Roman"/>
          <w:color w:val="575B5F"/>
          <w:szCs w:val="24"/>
          <w:vertAlign w:val="superscript"/>
        </w:rPr>
        <w:t>63</w:t>
      </w:r>
    </w:p>
    <w:p w:rsidR="007D1D61" w:rsidRDefault="007D1D61" w:rsidP="003E1D2F">
      <w:pPr>
        <w:widowControl w:val="0"/>
        <w:numPr>
          <w:ilvl w:val="0"/>
          <w:numId w:val="10"/>
        </w:numPr>
        <w:pBdr>
          <w:top w:val="nil"/>
          <w:left w:val="nil"/>
          <w:bottom w:val="nil"/>
          <w:right w:val="nil"/>
          <w:between w:val="nil"/>
        </w:pBdr>
        <w:spacing w:after="0"/>
        <w:jc w:val="left"/>
      </w:pPr>
      <w:r w:rsidRPr="00903AA4">
        <w:rPr>
          <w:b/>
          <w:bCs/>
        </w:rPr>
        <w:t>Struktura dhe Shëndeti i Sektorit Bankar:</w:t>
      </w:r>
      <w:r w:rsidR="00903AA4" w:rsidRPr="00903AA4">
        <w:t xml:space="preserve"> </w:t>
      </w:r>
      <w:r w:rsidRPr="00903AA4">
        <w:t>Sektori bankar është komponenti mbizotërues i sistemit financiar, duke përfaqësuar rreth 68.4% të totalit të aseteve financiare.</w:t>
      </w:r>
      <w:r w:rsidRPr="00903AA4">
        <w:rPr>
          <w:rFonts w:eastAsia="Google Sans Text" w:cs="Times New Roman"/>
          <w:color w:val="575B5F"/>
          <w:szCs w:val="24"/>
          <w:vertAlign w:val="superscript"/>
        </w:rPr>
        <w:t>66</w:t>
      </w:r>
      <w:r w:rsidR="00903AA4">
        <w:rPr>
          <w:rFonts w:ascii="Google Sans Text" w:eastAsia="Google Sans Text" w:hAnsi="Google Sans Text"/>
          <w:szCs w:val="24"/>
        </w:rPr>
        <w:t xml:space="preserve"> </w:t>
      </w:r>
      <w:r w:rsidR="00903AA4" w:rsidRPr="00903AA4">
        <w:t>K</w:t>
      </w:r>
      <w:r w:rsidRPr="00903AA4">
        <w:t>arakterizohet nga një shkallë e lartë e pronësisë së huaj, me nëntë nga dymbëdhjetë banka tregtare që janë në pronësi të huaj, duke përbërë afërsisht 84.9% të totalit të aseteve bankare.</w:t>
      </w:r>
      <w:r w:rsidRPr="00903AA4">
        <w:rPr>
          <w:rFonts w:eastAsia="Google Sans Text" w:cs="Times New Roman"/>
          <w:color w:val="575B5F"/>
          <w:szCs w:val="24"/>
          <w:vertAlign w:val="superscript"/>
        </w:rPr>
        <w:t>63</w:t>
      </w:r>
      <w:r w:rsidR="00903AA4">
        <w:rPr>
          <w:rFonts w:ascii="Google Sans Text" w:eastAsia="Google Sans Text" w:hAnsi="Google Sans Text"/>
          <w:szCs w:val="24"/>
        </w:rPr>
        <w:t xml:space="preserve"> </w:t>
      </w:r>
      <w:r w:rsidR="00903AA4" w:rsidRPr="00903AA4">
        <w:t>S</w:t>
      </w:r>
      <w:r w:rsidRPr="00903AA4">
        <w:t>ektori në përgjithësi konsiderohet i qëndrueshëm, i kapitalizuar mirë, fitimprurës dhe likuid.</w:t>
      </w:r>
      <w:r w:rsidRPr="00903AA4">
        <w:rPr>
          <w:rFonts w:eastAsia="Google Sans Text" w:cs="Times New Roman"/>
          <w:color w:val="575B5F"/>
          <w:szCs w:val="24"/>
          <w:vertAlign w:val="superscript"/>
        </w:rPr>
        <w:t>2</w:t>
      </w:r>
      <w:r w:rsidR="00903AA4">
        <w:rPr>
          <w:rFonts w:ascii="Google Sans Text" w:eastAsia="Google Sans Text" w:hAnsi="Google Sans Text"/>
          <w:szCs w:val="24"/>
        </w:rPr>
        <w:t xml:space="preserve"> </w:t>
      </w:r>
      <w:r w:rsidR="00903AA4" w:rsidRPr="00903AA4">
        <w:t>R</w:t>
      </w:r>
      <w:r w:rsidRPr="00903AA4">
        <w:t>aportet e mjaftueshmërisë së kapitalit vazhdimisht tejkalojnë minimumin rregullator (të raportuar mbi 15%).</w:t>
      </w:r>
      <w:r w:rsidRPr="00903AA4">
        <w:rPr>
          <w:rFonts w:eastAsia="Google Sans Text" w:cs="Times New Roman"/>
          <w:color w:val="575B5F"/>
          <w:szCs w:val="24"/>
          <w:vertAlign w:val="superscript"/>
        </w:rPr>
        <w:t>92</w:t>
      </w:r>
      <w:r w:rsidRPr="00903AA4">
        <w:t>), dhe rentabiliteti ka qenë i fortë.</w:t>
      </w:r>
      <w:r w:rsidRPr="00903AA4">
        <w:rPr>
          <w:rFonts w:eastAsia="Google Sans Text" w:cs="Times New Roman"/>
          <w:color w:val="575B5F"/>
          <w:szCs w:val="24"/>
          <w:vertAlign w:val="superscript"/>
        </w:rPr>
        <w:t>88</w:t>
      </w:r>
      <w:r w:rsidR="00903AA4">
        <w:rPr>
          <w:rFonts w:ascii="Google Sans Text" w:eastAsia="Google Sans Text" w:hAnsi="Google Sans Text"/>
          <w:szCs w:val="24"/>
        </w:rPr>
        <w:t xml:space="preserve"> </w:t>
      </w:r>
      <w:r w:rsidR="00903AA4" w:rsidRPr="00903AA4">
        <w:t>N</w:t>
      </w:r>
      <w:r w:rsidRPr="00903AA4">
        <w:t>jë tregues kyç i shëndetit është niveli i ulët i kredive me probleme (NPL), i cili ishte rreth 1.8-2.0% në fund të vitit 2024, ndër më të ulëtit në rajon.</w:t>
      </w:r>
      <w:r w:rsidRPr="00903AA4">
        <w:rPr>
          <w:rFonts w:eastAsia="Google Sans Text" w:cs="Times New Roman"/>
          <w:color w:val="575B5F"/>
          <w:szCs w:val="24"/>
          <w:vertAlign w:val="superscript"/>
        </w:rPr>
        <w:t>63</w:t>
      </w:r>
      <w:r w:rsidR="00903AA4">
        <w:rPr>
          <w:rFonts w:ascii="Google Sans Text" w:eastAsia="Google Sans Text" w:hAnsi="Google Sans Text"/>
          <w:szCs w:val="24"/>
        </w:rPr>
        <w:t xml:space="preserve"> </w:t>
      </w:r>
      <w:r w:rsidR="00903AA4" w:rsidRPr="00903AA4">
        <w:t>I</w:t>
      </w:r>
      <w:r w:rsidRPr="00903AA4">
        <w:t>MFI-të dhe IFJ-të NB gjithashtu operojnë, duke luajtur një rol të rëndësishëm në sigurimin e financimit për segmentet e pashërbyera si mikro-ndërmarrjet, familjet me të ardhura të ulëta dhe popullatat rurale.</w:t>
      </w:r>
      <w:r w:rsidRPr="00903AA4">
        <w:rPr>
          <w:rFonts w:eastAsia="Google Sans Text" w:cs="Times New Roman"/>
          <w:color w:val="575B5F"/>
          <w:szCs w:val="24"/>
          <w:vertAlign w:val="superscript"/>
        </w:rPr>
        <w:t>20</w:t>
      </w:r>
      <w:r w:rsidR="00903AA4">
        <w:rPr>
          <w:rFonts w:ascii="Google Sans Text" w:eastAsia="Google Sans Text" w:hAnsi="Google Sans Text"/>
          <w:szCs w:val="24"/>
        </w:rPr>
        <w:t xml:space="preserve"> </w:t>
      </w:r>
      <w:r w:rsidR="00903AA4" w:rsidRPr="00903AA4">
        <w:t>T</w:t>
      </w:r>
      <w:r w:rsidRPr="00903AA4">
        <w:t>otali i aseteve të sektorit financiar arriti në 11.9 miliardë euro në qershor 2023.</w:t>
      </w:r>
      <w:r w:rsidRPr="00903AA4">
        <w:rPr>
          <w:rFonts w:eastAsia="Google Sans Text" w:cs="Times New Roman"/>
          <w:color w:val="575B5F"/>
          <w:szCs w:val="24"/>
          <w:vertAlign w:val="superscript"/>
        </w:rPr>
        <w:t>66</w:t>
      </w:r>
      <w:r w:rsidR="00903AA4">
        <w:rPr>
          <w:rFonts w:ascii="Google Sans Text" w:eastAsia="Google Sans Text" w:hAnsi="Google Sans Text"/>
          <w:szCs w:val="24"/>
        </w:rPr>
        <w:t xml:space="preserve"> </w:t>
      </w:r>
      <w:r w:rsidR="00903AA4" w:rsidRPr="00903AA4">
        <w:t>K</w:t>
      </w:r>
      <w:r w:rsidRPr="00903AA4">
        <w:t>osova mori vlerësimin e saj të parë sovran të kreditit (BB- me perspektivë të qëndrueshme) nga Fitch në prill 2024, një moment historik që pritet të përmirësojë aksesin në tregjet ndërkombëtare të kapitalit.</w:t>
      </w:r>
      <w:r w:rsidRPr="00903AA4">
        <w:rPr>
          <w:rFonts w:eastAsia="Google Sans Text" w:cs="Times New Roman"/>
          <w:color w:val="575B5F"/>
          <w:szCs w:val="24"/>
          <w:vertAlign w:val="superscript"/>
        </w:rPr>
        <w:t>110</w:t>
      </w:r>
    </w:p>
    <w:p w:rsidR="007D1D61" w:rsidRDefault="007D1D61" w:rsidP="003E1D2F">
      <w:pPr>
        <w:widowControl w:val="0"/>
        <w:numPr>
          <w:ilvl w:val="0"/>
          <w:numId w:val="10"/>
        </w:numPr>
        <w:pBdr>
          <w:top w:val="nil"/>
          <w:left w:val="nil"/>
          <w:bottom w:val="nil"/>
          <w:right w:val="nil"/>
          <w:between w:val="nil"/>
        </w:pBdr>
        <w:spacing w:after="0"/>
        <w:jc w:val="left"/>
      </w:pPr>
      <w:r w:rsidRPr="008366F4">
        <w:rPr>
          <w:b/>
          <w:bCs/>
        </w:rPr>
        <w:t>Konteksti Makro (Rritja, Inflacioni, Borxhi):</w:t>
      </w:r>
      <w:r w:rsidR="00903AA4" w:rsidRPr="008366F4">
        <w:t xml:space="preserve"> </w:t>
      </w:r>
      <w:r w:rsidRPr="008366F4">
        <w:t>Kosova ka demonstruar një rritje ekonomike relativisht të fortë gjatë dekadës së fundit, me një mesatare prej 3.6% midis viteve 2008-2018.</w:t>
      </w:r>
      <w:r w:rsidRPr="008366F4">
        <w:rPr>
          <w:rFonts w:eastAsia="Google Sans Text" w:cs="Times New Roman"/>
          <w:color w:val="575B5F"/>
          <w:szCs w:val="24"/>
          <w:vertAlign w:val="superscript"/>
        </w:rPr>
        <w:t>111</w:t>
      </w:r>
      <w:r w:rsidR="008366F4">
        <w:rPr>
          <w:rFonts w:ascii="Google Sans Text" w:eastAsia="Google Sans Text" w:hAnsi="Google Sans Text"/>
          <w:szCs w:val="24"/>
        </w:rPr>
        <w:t xml:space="preserve"> </w:t>
      </w:r>
      <w:r w:rsidR="008366F4" w:rsidRPr="008366F4">
        <w:t>d</w:t>
      </w:r>
      <w:r w:rsidRPr="008366F4">
        <w:t>he duke treguar qëndrueshmëri pas pandemisë me një rritje prej 10.5% në vitin 2021</w:t>
      </w:r>
      <w:r w:rsidRPr="008366F4">
        <w:rPr>
          <w:rFonts w:eastAsia="Google Sans Text" w:cs="Times New Roman"/>
          <w:color w:val="575B5F"/>
          <w:szCs w:val="24"/>
          <w:vertAlign w:val="superscript"/>
        </w:rPr>
        <w:t>4</w:t>
      </w:r>
      <w:r w:rsidR="008366F4">
        <w:rPr>
          <w:rFonts w:ascii="Google Sans Text" w:eastAsia="Google Sans Text" w:hAnsi="Google Sans Text"/>
          <w:szCs w:val="24"/>
        </w:rPr>
        <w:t xml:space="preserve"> </w:t>
      </w:r>
      <w:r w:rsidR="008366F4" w:rsidRPr="008366F4">
        <w:t>d</w:t>
      </w:r>
      <w:r w:rsidRPr="008366F4">
        <w:t>he 3.3% në vitin 2023.</w:t>
      </w:r>
      <w:r w:rsidRPr="008366F4">
        <w:rPr>
          <w:rFonts w:eastAsia="Google Sans Text" w:cs="Times New Roman"/>
          <w:color w:val="575B5F"/>
          <w:szCs w:val="24"/>
          <w:vertAlign w:val="superscript"/>
        </w:rPr>
        <w:t>4</w:t>
      </w:r>
      <w:r w:rsidR="008366F4">
        <w:rPr>
          <w:rFonts w:ascii="Google Sans Text" w:eastAsia="Google Sans Text" w:hAnsi="Google Sans Text"/>
          <w:szCs w:val="24"/>
        </w:rPr>
        <w:t xml:space="preserve"> </w:t>
      </w:r>
      <w:r w:rsidR="008366F4" w:rsidRPr="008366F4">
        <w:t>R</w:t>
      </w:r>
      <w:r w:rsidRPr="008366F4">
        <w:t>ritja u përshpejtua në vitin 2024, e nxitur nga kërkesa e fortë e brendshme, me parashikimet që parashikojnë një rritje prej rreth 4% për vitet 2024 dhe 2025.</w:t>
      </w:r>
      <w:r w:rsidRPr="008366F4">
        <w:rPr>
          <w:rFonts w:eastAsia="Google Sans Text" w:cs="Times New Roman"/>
          <w:color w:val="575B5F"/>
          <w:szCs w:val="24"/>
          <w:vertAlign w:val="superscript"/>
        </w:rPr>
        <w:t>2</w:t>
      </w:r>
      <w:r w:rsidR="008366F4">
        <w:rPr>
          <w:rFonts w:ascii="Google Sans Text" w:eastAsia="Google Sans Text" w:hAnsi="Google Sans Text"/>
          <w:szCs w:val="24"/>
        </w:rPr>
        <w:t xml:space="preserve"> </w:t>
      </w:r>
      <w:r w:rsidR="008366F4" w:rsidRPr="008366F4">
        <w:t>I</w:t>
      </w:r>
      <w:r w:rsidRPr="008366F4">
        <w:t>nflacioni ndoqi trendet globale, duke arritur kulmin pas pandemisë (duke arritur kulmin në 14.2% në korrik 2022)</w:t>
      </w:r>
      <w:r w:rsidRPr="008366F4">
        <w:rPr>
          <w:rFonts w:eastAsia="Google Sans Text" w:cs="Times New Roman"/>
          <w:color w:val="575B5F"/>
          <w:szCs w:val="24"/>
          <w:vertAlign w:val="superscript"/>
        </w:rPr>
        <w:t>4</w:t>
      </w:r>
      <w:r w:rsidRPr="008366F4">
        <w:t>) por u ngadalësua ndjeshëm në 2023 dhe 2024, duke arritur mesatarisht 1.6-1.8% në 2024</w:t>
      </w:r>
      <w:r w:rsidRPr="008366F4">
        <w:rPr>
          <w:rFonts w:eastAsia="Google Sans Text" w:cs="Times New Roman"/>
          <w:color w:val="575B5F"/>
          <w:szCs w:val="24"/>
          <w:vertAlign w:val="superscript"/>
        </w:rPr>
        <w:t>2</w:t>
      </w:r>
      <w:r w:rsidR="008366F4">
        <w:rPr>
          <w:rFonts w:ascii="Google Sans Text" w:eastAsia="Google Sans Text" w:hAnsi="Google Sans Text"/>
          <w:szCs w:val="24"/>
        </w:rPr>
        <w:t xml:space="preserve"> </w:t>
      </w:r>
      <w:r w:rsidR="008366F4" w:rsidRPr="008366F4">
        <w:t>d</w:t>
      </w:r>
      <w:r w:rsidRPr="008366F4">
        <w:t>he parashikohet të mbetet pranë objektivit të BQE-së prej rreth 2.0-2.5% në vitin 2025.</w:t>
      </w:r>
      <w:r w:rsidRPr="008366F4">
        <w:rPr>
          <w:rFonts w:eastAsia="Google Sans Text" w:cs="Times New Roman"/>
          <w:color w:val="575B5F"/>
          <w:szCs w:val="24"/>
          <w:vertAlign w:val="superscript"/>
        </w:rPr>
        <w:t>4</w:t>
      </w:r>
      <w:r w:rsidR="008366F4">
        <w:rPr>
          <w:rFonts w:ascii="Google Sans Text" w:eastAsia="Google Sans Text" w:hAnsi="Google Sans Text"/>
          <w:szCs w:val="24"/>
        </w:rPr>
        <w:t xml:space="preserve"> </w:t>
      </w:r>
      <w:r w:rsidR="008366F4" w:rsidRPr="008366F4">
        <w:t>P</w:t>
      </w:r>
      <w:r w:rsidRPr="008366F4">
        <w:t>olitika fiskale në përgjithësi ka qenë e kujdesshme, duke mbajtur deficitet e ulëta (0.3% e PBB-së në vitin 2024)</w:t>
      </w:r>
      <w:r w:rsidRPr="008366F4">
        <w:rPr>
          <w:rFonts w:eastAsia="Google Sans Text" w:cs="Times New Roman"/>
          <w:color w:val="575B5F"/>
          <w:szCs w:val="24"/>
          <w:vertAlign w:val="superscript"/>
        </w:rPr>
        <w:t>2</w:t>
      </w:r>
      <w:r w:rsidRPr="008366F4">
        <w:t>) dhe nivelet e borxhit publik modeste (duke rënë nën 17% të PBB-së në vitin 2024, shumë nën kufirin ligjor prej 40%</w:t>
      </w:r>
      <w:r w:rsidRPr="008366F4">
        <w:rPr>
          <w:rFonts w:eastAsia="Google Sans Text" w:cs="Times New Roman"/>
          <w:color w:val="575B5F"/>
          <w:szCs w:val="24"/>
          <w:vertAlign w:val="superscript"/>
        </w:rPr>
        <w:t>2</w:t>
      </w:r>
      <w:r w:rsidR="008366F4">
        <w:rPr>
          <w:rFonts w:ascii="Google Sans Text" w:eastAsia="Google Sans Text" w:hAnsi="Google Sans Text"/>
          <w:szCs w:val="24"/>
        </w:rPr>
        <w:t xml:space="preserve"> </w:t>
      </w:r>
      <w:r w:rsidR="008366F4" w:rsidRPr="008366F4">
        <w:t>M</w:t>
      </w:r>
      <w:r w:rsidRPr="008366F4">
        <w:t>egjithatë, deficiti i llogarisë rrjedhëse të jashtme mbetet i lartë (rreth 9% e PBB-së në vitin 2024).</w:t>
      </w:r>
      <w:r w:rsidRPr="008366F4">
        <w:rPr>
          <w:rFonts w:eastAsia="Google Sans Text" w:cs="Times New Roman"/>
          <w:color w:val="575B5F"/>
          <w:szCs w:val="24"/>
          <w:vertAlign w:val="superscript"/>
        </w:rPr>
        <w:t>2</w:t>
      </w:r>
      <w:r w:rsidRPr="008366F4">
        <w:t>), të financuara kryesisht nga dërgesat e konsiderueshme të diasporës dhe, gjithnjë e më shumë, nga investimet e huaja direkte (IHD), kryesisht në pasuri të paluajtshme.</w:t>
      </w:r>
      <w:r w:rsidRPr="008366F4">
        <w:rPr>
          <w:rFonts w:eastAsia="Google Sans Text" w:cs="Times New Roman"/>
          <w:color w:val="575B5F"/>
          <w:szCs w:val="24"/>
          <w:vertAlign w:val="superscript"/>
        </w:rPr>
        <w:t>86</w:t>
      </w:r>
    </w:p>
    <w:p w:rsidR="007D1D61" w:rsidRDefault="007D1D61" w:rsidP="003E1D2F">
      <w:pPr>
        <w:widowControl w:val="0"/>
        <w:numPr>
          <w:ilvl w:val="0"/>
          <w:numId w:val="10"/>
        </w:numPr>
        <w:pBdr>
          <w:top w:val="nil"/>
          <w:left w:val="nil"/>
          <w:bottom w:val="nil"/>
          <w:right w:val="nil"/>
          <w:between w:val="nil"/>
        </w:pBdr>
        <w:spacing w:after="120"/>
        <w:jc w:val="left"/>
      </w:pPr>
      <w:r w:rsidRPr="008366F4">
        <w:rPr>
          <w:b/>
          <w:bCs/>
        </w:rPr>
        <w:t>Rritja e Kredisë:</w:t>
      </w:r>
      <w:r w:rsidR="008366F4" w:rsidRPr="008366F4">
        <w:t xml:space="preserve"> </w:t>
      </w:r>
      <w:r w:rsidRPr="008366F4">
        <w:t xml:space="preserve">Sektori financiar ka përjetuar zgjerim të shpejtë të kreditimit në </w:t>
      </w:r>
      <w:r w:rsidRPr="008366F4">
        <w:lastRenderedPageBreak/>
        <w:t>vitet e fundit. Totali i kredive të papaguara u rrit me 18.7% nga viti në vit në janar 2025.</w:t>
      </w:r>
      <w:r w:rsidRPr="008366F4">
        <w:rPr>
          <w:rFonts w:eastAsia="Google Sans Text" w:cs="Times New Roman"/>
          <w:color w:val="575B5F"/>
          <w:szCs w:val="24"/>
          <w:vertAlign w:val="superscript"/>
        </w:rPr>
        <w:t>95</w:t>
      </w:r>
      <w:r w:rsidR="008366F4">
        <w:rPr>
          <w:rFonts w:ascii="Google Sans Text" w:eastAsia="Google Sans Text" w:hAnsi="Google Sans Text"/>
          <w:szCs w:val="24"/>
        </w:rPr>
        <w:t xml:space="preserve"> </w:t>
      </w:r>
      <w:r w:rsidR="008366F4" w:rsidRPr="008366F4">
        <w:t>K</w:t>
      </w:r>
      <w:r w:rsidRPr="008366F4">
        <w:t>y zgjerim ka çuar në një thellim të konsiderueshëm financiar, me kredinë e sektorit privat që tejkalon 56% të PBB-së në vitin 2024, një rritje e konsiderueshme gjatë dekadës së fundit.</w:t>
      </w:r>
      <w:r w:rsidRPr="008366F4">
        <w:rPr>
          <w:rFonts w:eastAsia="Google Sans Text" w:cs="Times New Roman"/>
          <w:color w:val="575B5F"/>
          <w:szCs w:val="24"/>
          <w:vertAlign w:val="superscript"/>
        </w:rPr>
        <w:t>2</w:t>
      </w:r>
      <w:r w:rsidR="008366F4">
        <w:rPr>
          <w:rFonts w:ascii="Google Sans Text" w:eastAsia="Google Sans Text" w:hAnsi="Google Sans Text"/>
          <w:szCs w:val="24"/>
        </w:rPr>
        <w:t xml:space="preserve"> </w:t>
      </w:r>
      <w:r w:rsidR="008366F4" w:rsidRPr="008366F4">
        <w:t>K</w:t>
      </w:r>
      <w:r w:rsidRPr="008366F4">
        <w:t>reditimi për familjet ka qenë një komponent i rëndësishëm i kësaj rritjeje, duke arritur në 2.34 miliardë euro deri në fund të tremujorit të katërt të vitit 2024.</w:t>
      </w:r>
      <w:r w:rsidRPr="008366F4">
        <w:rPr>
          <w:rFonts w:eastAsia="Google Sans Text" w:cs="Times New Roman"/>
          <w:color w:val="575B5F"/>
          <w:szCs w:val="24"/>
          <w:vertAlign w:val="superscript"/>
        </w:rPr>
        <w:t>52</w:t>
      </w:r>
    </w:p>
    <w:p w:rsidR="007D1D61" w:rsidRDefault="007D1D61" w:rsidP="003E1D2F">
      <w:r w:rsidRPr="008366F4">
        <w:t>Stabiliteti i vërejtur në sektorin financiar të Kosovës, i karakterizuar nga kredi të ulëta me probleme dhe kapitalizim i fortë pavarësisht rritjes së shpejtë të kredisë, mund t'i atribuohet në mënyrë të konsiderueshme mbikëqyrjes efektive të BQK-së dhe ndikimit stabilizues të euros.</w:t>
      </w:r>
      <w:r w:rsidRPr="008366F4">
        <w:rPr>
          <w:rFonts w:cs="Times New Roman"/>
          <w:color w:val="575B5F"/>
          <w:vertAlign w:val="superscript"/>
        </w:rPr>
        <w:t>2</w:t>
      </w:r>
      <w:r w:rsidR="008366F4">
        <w:t xml:space="preserve"> </w:t>
      </w:r>
      <w:r w:rsidR="008366F4" w:rsidRPr="008366F4">
        <w:t>M</w:t>
      </w:r>
      <w:r w:rsidRPr="008366F4">
        <w:t>egjithatë, dobësitë strukturore vazhdojnë. Dominimi i bankave me pronësi të huaj do të thotë që sektori është i ndjeshëm ndaj vendimeve të marra nga grupet mëmë me seli diku tjetër.</w:t>
      </w:r>
      <w:r w:rsidRPr="008366F4">
        <w:rPr>
          <w:rFonts w:cs="Times New Roman"/>
          <w:color w:val="575B5F"/>
          <w:vertAlign w:val="superscript"/>
        </w:rPr>
        <w:t>1</w:t>
      </w:r>
      <w:r w:rsidR="008366F4">
        <w:t xml:space="preserve"> </w:t>
      </w:r>
      <w:r w:rsidR="008366F4" w:rsidRPr="008366F4">
        <w:t>V</w:t>
      </w:r>
      <w:r w:rsidRPr="008366F4">
        <w:t>arësia e madhe e ekonomisë nga remitancat për konsum dhe kërkesë për kredi krijon ekspozim ndaj kushteve ekonomike në vendet pritëse të diasporës.</w:t>
      </w:r>
      <w:r w:rsidRPr="008366F4">
        <w:rPr>
          <w:rFonts w:cs="Times New Roman"/>
          <w:color w:val="575B5F"/>
          <w:vertAlign w:val="superscript"/>
        </w:rPr>
        <w:t>63</w:t>
      </w:r>
      <w:r w:rsidR="008366F4">
        <w:t xml:space="preserve"> </w:t>
      </w:r>
      <w:r w:rsidR="008366F4" w:rsidRPr="003E1D2F">
        <w:t>P</w:t>
      </w:r>
      <w:r w:rsidRPr="003E1D2F">
        <w:t>ër më tepër, deficiti vazhdimisht i lartë i llogarisë rrjedhëse sinjalizon një varësi nga importet dhe flukset e financimit të jashtëm.</w:t>
      </w:r>
      <w:r w:rsidRPr="008366F4">
        <w:rPr>
          <w:rFonts w:cs="Times New Roman"/>
          <w:color w:val="575B5F"/>
          <w:vertAlign w:val="superscript"/>
        </w:rPr>
        <w:t>2</w:t>
      </w:r>
      <w:r w:rsidR="008366F4">
        <w:t xml:space="preserve"> </w:t>
      </w:r>
      <w:r w:rsidR="008366F4" w:rsidRPr="003E1D2F">
        <w:t>D</w:t>
      </w:r>
      <w:r w:rsidRPr="003E1D2F">
        <w:t>uke pasur parasysh autonominë e kufizuar të politikës monetare të BQK-së për shkak të euroizimit</w:t>
      </w:r>
      <w:r w:rsidRPr="008366F4">
        <w:rPr>
          <w:rFonts w:cs="Times New Roman"/>
          <w:color w:val="575B5F"/>
          <w:vertAlign w:val="superscript"/>
        </w:rPr>
        <w:t>63</w:t>
      </w:r>
      <w:r>
        <w:t>, kujdesi fiskal dhe rregullimi i fortë prudencial mbeten mjetet kryesore për ruajtjen e stabilitetit makroekonomik dhe financiar.</w:t>
      </w:r>
    </w:p>
    <w:p w:rsidR="0067560B" w:rsidRDefault="0067560B" w:rsidP="003E1D2F"/>
    <w:p w:rsidR="00DC170B" w:rsidRDefault="00DC170B" w:rsidP="003E1D2F"/>
    <w:p w:rsidR="003E1D2F" w:rsidRDefault="003E1D2F" w:rsidP="003E1D2F"/>
    <w:p w:rsidR="003E1D2F" w:rsidRDefault="003E1D2F" w:rsidP="003E1D2F"/>
    <w:p w:rsidR="003E1D2F" w:rsidRDefault="003E1D2F" w:rsidP="003E1D2F"/>
    <w:p w:rsidR="003E1D2F" w:rsidRDefault="003E1D2F" w:rsidP="003E1D2F"/>
    <w:p w:rsidR="003E1D2F" w:rsidRDefault="003E1D2F" w:rsidP="003E1D2F"/>
    <w:p w:rsidR="003E1D2F" w:rsidRDefault="003E1D2F" w:rsidP="003E1D2F"/>
    <w:p w:rsidR="003E1D2F" w:rsidRDefault="003E1D2F" w:rsidP="003E1D2F"/>
    <w:p w:rsidR="003E1D2F" w:rsidRDefault="003E1D2F" w:rsidP="003E1D2F"/>
    <w:p w:rsidR="003E1D2F" w:rsidRDefault="003E1D2F" w:rsidP="003F6AFA">
      <w:pPr>
        <w:pStyle w:val="Heading2"/>
      </w:pPr>
      <w:bookmarkStart w:id="21" w:name="_Toc198554996"/>
      <w:r w:rsidRPr="003E1D2F">
        <w:lastRenderedPageBreak/>
        <w:t xml:space="preserve">2.2 </w:t>
      </w:r>
      <w:r w:rsidR="00077A39" w:rsidRPr="00077A39">
        <w:t>Institucionet Kryesore dhe Struktura Konkurruese</w:t>
      </w:r>
      <w:bookmarkEnd w:id="21"/>
    </w:p>
    <w:p w:rsidR="003E1D2F" w:rsidRDefault="003E1D2F" w:rsidP="00135D2D">
      <w:r>
        <w:t>Tregu i huadhënies në Kosovë përfshin disa lloje institucionesh:</w:t>
      </w:r>
    </w:p>
    <w:p w:rsidR="003E1D2F" w:rsidRDefault="003E1D2F" w:rsidP="00135D2D">
      <w:pPr>
        <w:widowControl w:val="0"/>
        <w:numPr>
          <w:ilvl w:val="0"/>
          <w:numId w:val="11"/>
        </w:numPr>
        <w:pBdr>
          <w:top w:val="nil"/>
          <w:left w:val="nil"/>
          <w:bottom w:val="nil"/>
          <w:right w:val="nil"/>
          <w:between w:val="nil"/>
        </w:pBdr>
        <w:spacing w:after="0"/>
        <w:jc w:val="left"/>
      </w:pPr>
      <w:r w:rsidRPr="00BC34FC">
        <w:rPr>
          <w:b/>
          <w:bCs/>
        </w:rPr>
        <w:t>Bankat kryesore komerciale:</w:t>
      </w:r>
      <w:r w:rsidR="00557FB4" w:rsidRPr="00BC34FC">
        <w:t xml:space="preserve"> </w:t>
      </w:r>
      <w:r w:rsidRPr="00BC34FC">
        <w:t>Tregu drejtohet nga një grup bankash komerciale, shumica e të cilave janë degë të grupeve bankare ndërkombëtare. Lojtarët kryesorë përfshijnë Raiffeisen Bank Kosova (origjina austriake).</w:t>
      </w:r>
      <w:r w:rsidRPr="00557FB4">
        <w:rPr>
          <w:rFonts w:eastAsia="Google Sans Text" w:cs="Times New Roman"/>
          <w:color w:val="575B5F"/>
          <w:szCs w:val="24"/>
          <w:vertAlign w:val="superscript"/>
        </w:rPr>
        <w:t>59</w:t>
      </w:r>
      <w:r w:rsidRPr="00BC34FC">
        <w:t>, ProCredit Bank (origjina gjermane)</w:t>
      </w:r>
      <w:r w:rsidRPr="00557FB4">
        <w:rPr>
          <w:rFonts w:eastAsia="Google Sans Text" w:cs="Times New Roman"/>
          <w:color w:val="575B5F"/>
          <w:szCs w:val="24"/>
          <w:vertAlign w:val="superscript"/>
        </w:rPr>
        <w:t>63</w:t>
      </w:r>
      <w:r w:rsidRPr="00BC34FC">
        <w:t>, NLB Banka (me origjinë sllovene)</w:t>
      </w:r>
      <w:r w:rsidRPr="00557FB4">
        <w:rPr>
          <w:rFonts w:eastAsia="Google Sans Text" w:cs="Times New Roman"/>
          <w:color w:val="575B5F"/>
          <w:szCs w:val="24"/>
          <w:vertAlign w:val="superscript"/>
        </w:rPr>
        <w:t>63</w:t>
      </w:r>
      <w:r w:rsidRPr="00BC34FC">
        <w:t>, TEB (origjina turke)</w:t>
      </w:r>
      <w:r w:rsidRPr="00557FB4">
        <w:rPr>
          <w:rFonts w:eastAsia="Google Sans Text" w:cs="Times New Roman"/>
          <w:color w:val="575B5F"/>
          <w:szCs w:val="24"/>
          <w:vertAlign w:val="superscript"/>
        </w:rPr>
        <w:t>63</w:t>
      </w:r>
      <w:r w:rsidRPr="00BC34FC">
        <w:t>, dhe Banka Kombëtare Tregtare (BKT) (me origjinë shqiptare/turke).</w:t>
      </w:r>
      <w:r w:rsidRPr="00557FB4">
        <w:rPr>
          <w:rFonts w:eastAsia="Google Sans Text" w:cs="Times New Roman"/>
          <w:color w:val="575B5F"/>
          <w:szCs w:val="24"/>
          <w:vertAlign w:val="superscript"/>
        </w:rPr>
        <w:t>63</w:t>
      </w:r>
      <w:r w:rsidR="00557FB4">
        <w:rPr>
          <w:rFonts w:ascii="Google Sans Text" w:eastAsia="Google Sans Text" w:hAnsi="Google Sans Text"/>
          <w:szCs w:val="24"/>
        </w:rPr>
        <w:t xml:space="preserve"> </w:t>
      </w:r>
      <w:r w:rsidR="00557FB4" w:rsidRPr="00BC34FC">
        <w:t>N</w:t>
      </w:r>
      <w:r w:rsidRPr="00BC34FC">
        <w:t>ë treg konkurrojnë edhe bankat vendase si Banka për Biznes (BpB) dhe Banka Ekonomike.</w:t>
      </w:r>
      <w:r w:rsidRPr="00557FB4">
        <w:rPr>
          <w:rFonts w:eastAsia="Google Sans Text" w:cs="Times New Roman"/>
          <w:color w:val="575B5F"/>
          <w:szCs w:val="24"/>
          <w:vertAlign w:val="superscript"/>
        </w:rPr>
        <w:t>63</w:t>
      </w:r>
      <w:r w:rsidR="00557FB4">
        <w:rPr>
          <w:rFonts w:ascii="Google Sans Text" w:eastAsia="Google Sans Text" w:hAnsi="Google Sans Text"/>
          <w:szCs w:val="24"/>
        </w:rPr>
        <w:t xml:space="preserve"> </w:t>
      </w:r>
      <w:r w:rsidR="00557FB4" w:rsidRPr="00BC34FC">
        <w:t>K</w:t>
      </w:r>
      <w:r w:rsidRPr="00BC34FC">
        <w:t>ëto banka ofrojnë një gamë të gjerë produktesh, duke përfshirë kreditë personale, dhe janë ofruesit kryesorë të kredisë në sektorin formal. Faqet e tyre të internetit ofrojnë informacion të detajuar mbi produktet dhe shërbimet.</w:t>
      </w:r>
      <w:r w:rsidRPr="00BC34FC">
        <w:rPr>
          <w:rFonts w:eastAsia="Google Sans Text" w:cs="Times New Roman"/>
          <w:color w:val="575B5F"/>
          <w:szCs w:val="24"/>
          <w:vertAlign w:val="superscript"/>
        </w:rPr>
        <w:t>121</w:t>
      </w:r>
    </w:p>
    <w:p w:rsidR="003E1D2F" w:rsidRDefault="003E1D2F" w:rsidP="00135D2D">
      <w:pPr>
        <w:widowControl w:val="0"/>
        <w:numPr>
          <w:ilvl w:val="0"/>
          <w:numId w:val="11"/>
        </w:numPr>
        <w:pBdr>
          <w:top w:val="nil"/>
          <w:left w:val="nil"/>
          <w:bottom w:val="nil"/>
          <w:right w:val="nil"/>
          <w:between w:val="nil"/>
        </w:pBdr>
        <w:spacing w:after="0"/>
        <w:jc w:val="left"/>
      </w:pPr>
      <w:r w:rsidRPr="00BC34FC">
        <w:rPr>
          <w:b/>
          <w:bCs/>
        </w:rPr>
        <w:t>Institucionet e Mikrofinancës (IMFI) dhe Institucionet Financiare Jo-Banka (INFI):</w:t>
      </w:r>
      <w:r w:rsidR="00BC34FC" w:rsidRPr="00BC34FC">
        <w:t xml:space="preserve"> </w:t>
      </w:r>
      <w:r w:rsidRPr="00BC34FC">
        <w:t>Ndërsa mban një pjesë më të vogël të totalit të aseteve financiare (rreth 4.1%</w:t>
      </w:r>
      <w:r w:rsidRPr="00BC34FC">
        <w:rPr>
          <w:rFonts w:eastAsia="Google Sans Text" w:cs="Times New Roman"/>
          <w:color w:val="575B5F"/>
          <w:szCs w:val="24"/>
          <w:vertAlign w:val="superscript"/>
        </w:rPr>
        <w:t>66</w:t>
      </w:r>
      <w:r w:rsidRPr="00BC34FC">
        <w:t>), IMFI-të janë jetësore për përfshirjen financiare. Ato u shërbejnë segmenteve që shpesh nuk shërbehen sa duhet nga bankat tregtare, duke përfshirë individët me të ardhura të ulëta, ndërmarrjet mikro dhe të vogla (NMVM), prodhuesit bujqësorë, gratë sipërmarrëse dhe popullsinë rurale.</w:t>
      </w:r>
      <w:r w:rsidRPr="00BC34FC">
        <w:rPr>
          <w:rFonts w:eastAsia="Google Sans Text" w:cs="Times New Roman"/>
          <w:color w:val="575B5F"/>
          <w:szCs w:val="24"/>
          <w:vertAlign w:val="superscript"/>
        </w:rPr>
        <w:t>20</w:t>
      </w:r>
      <w:r w:rsidR="00BC34FC">
        <w:rPr>
          <w:rFonts w:ascii="Google Sans Text" w:eastAsia="Google Sans Text" w:hAnsi="Google Sans Text"/>
          <w:szCs w:val="24"/>
        </w:rPr>
        <w:t xml:space="preserve"> </w:t>
      </w:r>
      <w:r w:rsidR="00BC34FC" w:rsidRPr="00BC34FC">
        <w:t>I</w:t>
      </w:r>
      <w:r w:rsidRPr="00BC34FC">
        <w:t>MF-të e njohura përfshijnë Agjencinë për Financa në Kosovë (AFK), FINCA Kosovë, KEP Trust dhe Kreditimi Rural i Kosovës (KRK).</w:t>
      </w:r>
      <w:r w:rsidRPr="00BC34FC">
        <w:rPr>
          <w:rFonts w:eastAsia="Google Sans Text" w:cs="Times New Roman"/>
          <w:color w:val="575B5F"/>
          <w:szCs w:val="24"/>
          <w:vertAlign w:val="superscript"/>
        </w:rPr>
        <w:t>101</w:t>
      </w:r>
      <w:r w:rsidR="00BC34FC">
        <w:rPr>
          <w:rFonts w:ascii="Google Sans Text" w:eastAsia="Google Sans Text" w:hAnsi="Google Sans Text"/>
          <w:szCs w:val="24"/>
        </w:rPr>
        <w:t xml:space="preserve"> </w:t>
      </w:r>
      <w:r w:rsidR="00BC34FC" w:rsidRPr="00BC34FC">
        <w:t>A</w:t>
      </w:r>
      <w:r w:rsidRPr="00BC34FC">
        <w:t>to ofrojnë produkte të ndryshme kredie si kredi për biznese fillestare, kredi bujqësore, kredi për përmirësimin e shtëpisë dhe kredi konsumatore, shpesh me shuma më të vogla dhe metodologji potencialisht të ndryshme kreditimi (p.sh., kredi në grup) krahasuar me bankat.</w:t>
      </w:r>
      <w:r w:rsidRPr="00BC34FC">
        <w:rPr>
          <w:rFonts w:eastAsia="Google Sans Text" w:cs="Times New Roman"/>
          <w:color w:val="575B5F"/>
          <w:szCs w:val="24"/>
          <w:vertAlign w:val="superscript"/>
        </w:rPr>
        <w:t>20</w:t>
      </w:r>
      <w:r w:rsidR="00BC34FC">
        <w:rPr>
          <w:rFonts w:ascii="Google Sans Text" w:eastAsia="Google Sans Text" w:hAnsi="Google Sans Text"/>
          <w:szCs w:val="24"/>
        </w:rPr>
        <w:t xml:space="preserve"> </w:t>
      </w:r>
      <w:r w:rsidR="00BC34FC" w:rsidRPr="00BC34FC">
        <w:t>S</w:t>
      </w:r>
      <w:r w:rsidRPr="00BC34FC">
        <w:t>hoqata e Institucioneve Mikrofinanciare të Kosovës (AMIK) përfaqëson interesat e këtyre institucioneve.</w:t>
      </w:r>
      <w:r w:rsidRPr="00BC34FC">
        <w:rPr>
          <w:rFonts w:eastAsia="Google Sans Text" w:cs="Times New Roman"/>
          <w:color w:val="575B5F"/>
          <w:szCs w:val="24"/>
          <w:vertAlign w:val="superscript"/>
        </w:rPr>
        <w:t>100</w:t>
      </w:r>
    </w:p>
    <w:p w:rsidR="003E1D2F" w:rsidRDefault="003E1D2F" w:rsidP="00135D2D">
      <w:pPr>
        <w:widowControl w:val="0"/>
        <w:numPr>
          <w:ilvl w:val="0"/>
          <w:numId w:val="11"/>
        </w:numPr>
        <w:pBdr>
          <w:top w:val="nil"/>
          <w:left w:val="nil"/>
          <w:bottom w:val="nil"/>
          <w:right w:val="nil"/>
          <w:between w:val="nil"/>
        </w:pBdr>
        <w:spacing w:after="120"/>
        <w:jc w:val="left"/>
      </w:pPr>
      <w:r w:rsidRPr="00135D2D">
        <w:rPr>
          <w:b/>
          <w:bCs/>
        </w:rPr>
        <w:t>Shoqata e Bankave të Kosovës (SHBK):</w:t>
      </w:r>
      <w:r w:rsidR="00BC34FC" w:rsidRPr="00BC34FC">
        <w:t xml:space="preserve"> </w:t>
      </w:r>
      <w:r w:rsidRPr="00BC34FC">
        <w:t>Kjo shoqatë shërben si zëri përfaqësues i industrisë bankare komerciale në Kosovë.</w:t>
      </w:r>
      <w:r w:rsidRPr="00BC34FC">
        <w:rPr>
          <w:rFonts w:eastAsia="Google Sans Text" w:cs="Times New Roman"/>
          <w:color w:val="575B5F"/>
          <w:szCs w:val="24"/>
          <w:vertAlign w:val="superscript"/>
        </w:rPr>
        <w:t>156</w:t>
      </w:r>
      <w:r w:rsidR="00BC34FC">
        <w:rPr>
          <w:rFonts w:ascii="Google Sans Text" w:eastAsia="Google Sans Text" w:hAnsi="Google Sans Text"/>
          <w:szCs w:val="24"/>
        </w:rPr>
        <w:t xml:space="preserve"> </w:t>
      </w:r>
      <w:r w:rsidR="00BC34FC" w:rsidRPr="00135D2D">
        <w:t>M</w:t>
      </w:r>
      <w:r w:rsidRPr="00135D2D">
        <w:t>isioni i saj përfshin mbështetjen e një sistemi bankar të shëndetshëm, promovimin e konkurrencës së hapur, rritjen e edukimit dhe njohurive financiare, si dhe lehtësimin e bashkëpunimit midis bankave dhe me organet rregullatore si BQK-ja.</w:t>
      </w:r>
      <w:r w:rsidRPr="00BC34FC">
        <w:rPr>
          <w:rFonts w:eastAsia="Google Sans Text" w:cs="Times New Roman"/>
          <w:color w:val="575B5F"/>
          <w:szCs w:val="24"/>
          <w:vertAlign w:val="superscript"/>
        </w:rPr>
        <w:t>156</w:t>
      </w:r>
      <w:r w:rsidR="00BC34FC">
        <w:rPr>
          <w:rFonts w:ascii="Google Sans Text" w:eastAsia="Google Sans Text" w:hAnsi="Google Sans Text"/>
          <w:szCs w:val="24"/>
        </w:rPr>
        <w:t xml:space="preserve"> </w:t>
      </w:r>
      <w:r w:rsidR="00BC34FC" w:rsidRPr="00135D2D">
        <w:t>S</w:t>
      </w:r>
      <w:r w:rsidRPr="00135D2D">
        <w:t>HBK-ja publikon materiale të tilla si revista 'The Kosovo Banker' për të informuar publikun dhe palët e interesuara rreth zhvillimeve në sektor.</w:t>
      </w:r>
      <w:r w:rsidRPr="00BC34FC">
        <w:rPr>
          <w:rFonts w:eastAsia="Google Sans Text" w:cs="Times New Roman"/>
          <w:color w:val="575B5F"/>
          <w:szCs w:val="24"/>
          <w:vertAlign w:val="superscript"/>
        </w:rPr>
        <w:t>158</w:t>
      </w:r>
      <w:r w:rsidR="00BC34FC">
        <w:rPr>
          <w:rFonts w:ascii="Google Sans Text" w:eastAsia="Google Sans Text" w:hAnsi="Google Sans Text"/>
          <w:szCs w:val="24"/>
        </w:rPr>
        <w:t xml:space="preserve"> </w:t>
      </w:r>
      <w:r w:rsidR="00BC34FC" w:rsidRPr="00135D2D">
        <w:t>B</w:t>
      </w:r>
      <w:r w:rsidRPr="00135D2D">
        <w:t>ashkëpunon me organe ndërkombëtare si Rrjeti i Qëndrueshëm i Bankave dhe Financave (SBFN).</w:t>
      </w:r>
      <w:r w:rsidRPr="00BC34FC">
        <w:rPr>
          <w:rFonts w:eastAsia="Google Sans Text" w:cs="Times New Roman"/>
          <w:color w:val="575B5F"/>
          <w:szCs w:val="24"/>
          <w:vertAlign w:val="superscript"/>
        </w:rPr>
        <w:t>157</w:t>
      </w:r>
    </w:p>
    <w:p w:rsidR="00DC170B" w:rsidRDefault="00135D2D" w:rsidP="003F6AFA">
      <w:pPr>
        <w:pStyle w:val="Heading2"/>
      </w:pPr>
      <w:bookmarkStart w:id="22" w:name="_Toc198554997"/>
      <w:r w:rsidRPr="00135D2D">
        <w:lastRenderedPageBreak/>
        <w:t>2.3 Produktet e Kredisë Personale në Kosovë: Karakteristikat, Normat e Interesit dhe Kushtet</w:t>
      </w:r>
      <w:bookmarkEnd w:id="22"/>
    </w:p>
    <w:p w:rsidR="00F84FB2" w:rsidRDefault="00F84FB2" w:rsidP="00F84FB2">
      <w:pPr>
        <w:pBdr>
          <w:top w:val="nil"/>
          <w:left w:val="nil"/>
          <w:bottom w:val="nil"/>
          <w:right w:val="nil"/>
          <w:between w:val="nil"/>
        </w:pBdr>
        <w:spacing w:after="120"/>
        <w:rPr>
          <w:rFonts w:ascii="Google Sans Text" w:eastAsia="Google Sans Text" w:hAnsi="Google Sans Text"/>
          <w:color w:val="575B5F"/>
          <w:szCs w:val="24"/>
          <w:vertAlign w:val="superscript"/>
        </w:rPr>
      </w:pPr>
      <w:r w:rsidRPr="00F84FB2">
        <w:t>Kreditë personale janë një pjesë e rëndësishme e portofolit të kreditimit si për bankat komerciale ashtu edhe për IMFI-të në Kosovë.</w:t>
      </w:r>
      <w:r w:rsidRPr="00F84FB2">
        <w:rPr>
          <w:rFonts w:eastAsia="Google Sans Text" w:cs="Times New Roman"/>
          <w:color w:val="575B5F"/>
          <w:szCs w:val="24"/>
          <w:vertAlign w:val="superscript"/>
        </w:rPr>
        <w:t>20</w:t>
      </w:r>
    </w:p>
    <w:p w:rsidR="00F84FB2" w:rsidRDefault="00F84FB2" w:rsidP="00EB5B87">
      <w:pPr>
        <w:widowControl w:val="0"/>
        <w:numPr>
          <w:ilvl w:val="0"/>
          <w:numId w:val="12"/>
        </w:numPr>
        <w:pBdr>
          <w:top w:val="nil"/>
          <w:left w:val="nil"/>
          <w:bottom w:val="nil"/>
          <w:right w:val="nil"/>
          <w:between w:val="nil"/>
        </w:pBdr>
        <w:spacing w:after="0"/>
        <w:jc w:val="left"/>
      </w:pPr>
      <w:r w:rsidRPr="00F84FB2">
        <w:rPr>
          <w:b/>
          <w:bCs/>
        </w:rPr>
        <w:t>Disponueshmëria dhe Qëllimi:</w:t>
      </w:r>
      <w:r w:rsidRPr="00F84FB2">
        <w:t xml:space="preserve"> Këto kredi janë gjerësisht të disponueshme dhe ofrojnë fleksibilitet, të përdorura zakonisht për financimin e konsumit familjar, konsolidimin e borxheve ekzistuese, financimin e ngjarjeve të rëndësishme të jetës (dasma, udhëtime), mbulimin e shpenzimeve arsimore ose ndërmarrjen e përmirësimeve në shtëpi.</w:t>
      </w:r>
      <w:r w:rsidRPr="00F84FB2">
        <w:rPr>
          <w:rFonts w:eastAsia="Google Sans Text" w:cs="Times New Roman"/>
          <w:color w:val="575B5F"/>
          <w:szCs w:val="24"/>
          <w:vertAlign w:val="superscript"/>
        </w:rPr>
        <w:t>15</w:t>
      </w:r>
    </w:p>
    <w:p w:rsidR="00F84FB2" w:rsidRDefault="00F84FB2" w:rsidP="00EB5B87">
      <w:pPr>
        <w:widowControl w:val="0"/>
        <w:numPr>
          <w:ilvl w:val="0"/>
          <w:numId w:val="12"/>
        </w:numPr>
        <w:pBdr>
          <w:top w:val="nil"/>
          <w:left w:val="nil"/>
          <w:bottom w:val="nil"/>
          <w:right w:val="nil"/>
          <w:between w:val="nil"/>
        </w:pBdr>
        <w:spacing w:after="0"/>
        <w:jc w:val="left"/>
      </w:pPr>
      <w:r w:rsidRPr="00F84FB2">
        <w:rPr>
          <w:b/>
          <w:bCs/>
        </w:rPr>
        <w:t>Normat e interesit:</w:t>
      </w:r>
      <w:r w:rsidRPr="00F84FB2">
        <w:t xml:space="preserve"> Normat e interesit për kreditë e reja për familjet ishin mesatarisht midis 5.6% dhe 6.2% gjatë vitit 2024, sipas të dhënave të BQK-së.</w:t>
      </w:r>
      <w:r w:rsidRPr="00F84FB2">
        <w:rPr>
          <w:rFonts w:eastAsia="Google Sans Text" w:cs="Times New Roman"/>
          <w:color w:val="575B5F"/>
          <w:szCs w:val="24"/>
          <w:vertAlign w:val="superscript"/>
        </w:rPr>
        <w:t>52</w:t>
      </w:r>
      <w:r>
        <w:rPr>
          <w:rFonts w:ascii="Google Sans Text" w:eastAsia="Google Sans Text" w:hAnsi="Google Sans Text"/>
          <w:szCs w:val="24"/>
        </w:rPr>
        <w:t xml:space="preserve"> </w:t>
      </w:r>
      <w:r w:rsidRPr="00F84FB2">
        <w:t>Shembuj specifikë nga bankat kryesore në fillim të vitit 2025 përfshijnë Raiffeisen që ofron një normë fikse prej 5.5% (Norma Neto Efektive e Interesit nga 5.64%).</w:t>
      </w:r>
      <w:r w:rsidRPr="00F84FB2">
        <w:rPr>
          <w:rFonts w:eastAsia="Google Sans Text" w:cs="Times New Roman"/>
          <w:color w:val="575B5F"/>
          <w:szCs w:val="24"/>
          <w:vertAlign w:val="superscript"/>
        </w:rPr>
        <w:t>135</w:t>
      </w:r>
      <w:r>
        <w:rPr>
          <w:rFonts w:ascii="Google Sans Text" w:eastAsia="Google Sans Text" w:hAnsi="Google Sans Text"/>
          <w:szCs w:val="24"/>
        </w:rPr>
        <w:t xml:space="preserve"> </w:t>
      </w:r>
      <w:r w:rsidRPr="00F84FB2">
        <w:t>dhe ProCredit që ofron një kredi personale deri në 10,000 € me një normë nominale prej 6.90% dhe një normë efektive prej 7.57%.</w:t>
      </w:r>
      <w:r w:rsidRPr="00F84FB2">
        <w:rPr>
          <w:rFonts w:eastAsia="Google Sans Text" w:cs="Times New Roman"/>
          <w:color w:val="575B5F"/>
          <w:szCs w:val="24"/>
          <w:vertAlign w:val="superscript"/>
        </w:rPr>
        <w:t>147</w:t>
      </w:r>
      <w:r>
        <w:rPr>
          <w:rFonts w:ascii="Google Sans Text" w:eastAsia="Google Sans Text" w:hAnsi="Google Sans Text"/>
          <w:szCs w:val="24"/>
        </w:rPr>
        <w:t xml:space="preserve"> </w:t>
      </w:r>
      <w:r w:rsidRPr="00F84FB2">
        <w:t>Kreditë e investimit të ProCredit varionin nga 6.00% nominale (6.71% efektive) në 6.25% nominale (7.57% efektive) në varësi të vendbanimit dhe burimit të të ardhurave, ndërsa kredia e tyre standarde e konsumatorit kishte një normë efektive prej 12.29%.</w:t>
      </w:r>
      <w:r w:rsidRPr="00F84FB2">
        <w:rPr>
          <w:rFonts w:eastAsia="Google Sans Text" w:cs="Times New Roman"/>
          <w:color w:val="575B5F"/>
          <w:szCs w:val="24"/>
          <w:vertAlign w:val="superscript"/>
        </w:rPr>
        <w:t>137</w:t>
      </w:r>
      <w:r>
        <w:rPr>
          <w:rFonts w:ascii="Google Sans Text" w:eastAsia="Google Sans Text" w:hAnsi="Google Sans Text"/>
          <w:szCs w:val="24"/>
        </w:rPr>
        <w:t xml:space="preserve"> </w:t>
      </w:r>
      <w:r w:rsidRPr="00F84FB2">
        <w:t>Credins Bank listoi një normë interesi për mikrokredi duke filluar nga 5.5% nominale (6.06% efektive).</w:t>
      </w:r>
      <w:r w:rsidRPr="00F84FB2">
        <w:rPr>
          <w:rFonts w:eastAsia="Google Sans Text" w:cs="Times New Roman"/>
          <w:color w:val="575B5F"/>
          <w:szCs w:val="24"/>
          <w:vertAlign w:val="superscript"/>
        </w:rPr>
        <w:t>104</w:t>
      </w:r>
      <w:r>
        <w:rPr>
          <w:rFonts w:ascii="Google Sans Text" w:eastAsia="Google Sans Text" w:hAnsi="Google Sans Text"/>
          <w:szCs w:val="24"/>
        </w:rPr>
        <w:t xml:space="preserve"> </w:t>
      </w:r>
      <w:r w:rsidRPr="00F84FB2">
        <w:t>Veçanërisht, normat e kreditimit në Kosovë kanë treguar më pak ndjeshmëri ndaj rritjeve të fundit të normës së politikës së BQE-së krahasuar me mesataren e zonës së euros, duke sugjeruar se faktorë si likuiditeti i lartë i sektorit bankar dhe përqendrimi i tregut mund të ulin efektin e transmetimit.</w:t>
      </w:r>
      <w:r w:rsidRPr="00F84FB2">
        <w:rPr>
          <w:rFonts w:eastAsia="Google Sans Text" w:cs="Times New Roman"/>
          <w:color w:val="575B5F"/>
          <w:szCs w:val="24"/>
          <w:vertAlign w:val="superscript"/>
        </w:rPr>
        <w:t>115</w:t>
      </w:r>
      <w:r>
        <w:rPr>
          <w:rFonts w:ascii="Google Sans Text" w:eastAsia="Google Sans Text" w:hAnsi="Google Sans Text"/>
          <w:szCs w:val="24"/>
        </w:rPr>
        <w:t xml:space="preserve"> </w:t>
      </w:r>
      <w:r w:rsidRPr="00F84FB2">
        <w:t>Norma mesatare e përgjithshme e huadhënies bankare e raportuar nga CEIC për janar 2025 ishte 6.011%, pak më lart se dhjetori 2024.</w:t>
      </w:r>
      <w:r w:rsidRPr="00F84FB2">
        <w:rPr>
          <w:rFonts w:eastAsia="Google Sans Text" w:cs="Times New Roman"/>
          <w:color w:val="575B5F"/>
          <w:szCs w:val="24"/>
          <w:vertAlign w:val="superscript"/>
        </w:rPr>
        <w:t>94</w:t>
      </w:r>
    </w:p>
    <w:p w:rsidR="00F84FB2" w:rsidRDefault="00F84FB2" w:rsidP="00EB5B87">
      <w:pPr>
        <w:widowControl w:val="0"/>
        <w:numPr>
          <w:ilvl w:val="0"/>
          <w:numId w:val="12"/>
        </w:numPr>
        <w:pBdr>
          <w:top w:val="nil"/>
          <w:left w:val="nil"/>
          <w:bottom w:val="nil"/>
          <w:right w:val="nil"/>
          <w:between w:val="nil"/>
        </w:pBdr>
        <w:spacing w:after="0"/>
        <w:jc w:val="left"/>
      </w:pPr>
      <w:r w:rsidRPr="00F84FB2">
        <w:rPr>
          <w:b/>
          <w:bCs/>
        </w:rPr>
        <w:t>Kushtet e Kredisë (Kohëzgjatja):</w:t>
      </w:r>
      <w:r w:rsidRPr="00F84FB2">
        <w:t xml:space="preserve"> Periudhat e shlyerjes ndryshojnë. Bankat komerciale si Raiffeisen ofrojnë afate deri në 10 vjet (120 muaj) për kreditë personale.</w:t>
      </w:r>
      <w:r w:rsidRPr="00F84FB2">
        <w:rPr>
          <w:rFonts w:eastAsia="Google Sans Text" w:cs="Times New Roman"/>
          <w:color w:val="575B5F"/>
          <w:szCs w:val="24"/>
          <w:vertAlign w:val="superscript"/>
        </w:rPr>
        <w:t>135</w:t>
      </w:r>
      <w:r>
        <w:rPr>
          <w:rFonts w:ascii="Google Sans Text" w:eastAsia="Google Sans Text" w:hAnsi="Google Sans Text"/>
          <w:szCs w:val="24"/>
        </w:rPr>
        <w:t xml:space="preserve"> </w:t>
      </w:r>
      <w:r w:rsidRPr="00F84FB2">
        <w:t>ProCredit ofron kredi personale deri në 5 vjet (60 muaj), kredi investimi deri në 60 muaj dhe kredi për strehim deri në 30 vjet.</w:t>
      </w:r>
      <w:r w:rsidRPr="00F84FB2">
        <w:rPr>
          <w:rFonts w:eastAsia="Google Sans Text" w:cs="Times New Roman"/>
          <w:color w:val="575B5F"/>
          <w:szCs w:val="24"/>
          <w:vertAlign w:val="superscript"/>
        </w:rPr>
        <w:t>147</w:t>
      </w:r>
      <w:r>
        <w:rPr>
          <w:rFonts w:ascii="Google Sans Text" w:eastAsia="Google Sans Text" w:hAnsi="Google Sans Text"/>
          <w:szCs w:val="24"/>
        </w:rPr>
        <w:t xml:space="preserve"> </w:t>
      </w:r>
      <w:r w:rsidRPr="00F84FB2">
        <w:t>IMFI-të zakonisht ofrojnë afate më të shkurtra, megjithëse kredia fillestare e FINCA-s lejon deri në 60 muaj.</w:t>
      </w:r>
      <w:r w:rsidRPr="00F84FB2">
        <w:rPr>
          <w:rFonts w:eastAsia="Google Sans Text" w:cs="Times New Roman"/>
          <w:color w:val="575B5F"/>
          <w:szCs w:val="24"/>
          <w:vertAlign w:val="superscript"/>
        </w:rPr>
        <w:t>154</w:t>
      </w:r>
      <w:r>
        <w:rPr>
          <w:rFonts w:ascii="Google Sans Text" w:eastAsia="Google Sans Text" w:hAnsi="Google Sans Text"/>
          <w:szCs w:val="24"/>
        </w:rPr>
        <w:t xml:space="preserve"> </w:t>
      </w:r>
      <w:r w:rsidRPr="00F84FB2">
        <w:t>Afatet prej 5-7 vitesh janë të zakonshme në treg.</w:t>
      </w:r>
      <w:r w:rsidRPr="00F84FB2">
        <w:rPr>
          <w:rFonts w:eastAsia="Google Sans Text" w:cs="Times New Roman"/>
          <w:color w:val="575B5F"/>
          <w:szCs w:val="24"/>
          <w:vertAlign w:val="superscript"/>
        </w:rPr>
        <w:t>52</w:t>
      </w:r>
    </w:p>
    <w:p w:rsidR="00F84FB2" w:rsidRDefault="00F84FB2" w:rsidP="00EB5B87">
      <w:pPr>
        <w:widowControl w:val="0"/>
        <w:numPr>
          <w:ilvl w:val="0"/>
          <w:numId w:val="12"/>
        </w:numPr>
        <w:pBdr>
          <w:top w:val="nil"/>
          <w:left w:val="nil"/>
          <w:bottom w:val="nil"/>
          <w:right w:val="nil"/>
          <w:between w:val="nil"/>
        </w:pBdr>
        <w:spacing w:after="0"/>
        <w:jc w:val="left"/>
      </w:pPr>
      <w:r w:rsidRPr="00077AA0">
        <w:rPr>
          <w:b/>
          <w:bCs/>
        </w:rPr>
        <w:t>Shumat e Kredisë:</w:t>
      </w:r>
      <w:r w:rsidRPr="00077AA0">
        <w:t xml:space="preserve"> Shumat maksimale varen nga huadhënësi dhe lloji i kredisë. Raiffeisen ofron kredi personale deri në 50,000 €.</w:t>
      </w:r>
      <w:r w:rsidRPr="00F84FB2">
        <w:rPr>
          <w:rFonts w:eastAsia="Google Sans Text" w:cs="Times New Roman"/>
          <w:color w:val="575B5F"/>
          <w:szCs w:val="24"/>
          <w:vertAlign w:val="superscript"/>
        </w:rPr>
        <w:t>130</w:t>
      </w:r>
      <w:r>
        <w:rPr>
          <w:rFonts w:ascii="Google Sans Text" w:eastAsia="Google Sans Text" w:hAnsi="Google Sans Text"/>
          <w:szCs w:val="24"/>
        </w:rPr>
        <w:t xml:space="preserve"> </w:t>
      </w:r>
      <w:r w:rsidRPr="00077AA0">
        <w:t xml:space="preserve">Kredia personale e reklamuar </w:t>
      </w:r>
      <w:r w:rsidRPr="00077AA0">
        <w:lastRenderedPageBreak/>
        <w:t>gjerësisht nga ProCredit shkon deri në 10,000 €</w:t>
      </w:r>
      <w:r w:rsidRPr="00F84FB2">
        <w:rPr>
          <w:rFonts w:eastAsia="Google Sans Text" w:cs="Times New Roman"/>
          <w:color w:val="575B5F"/>
          <w:szCs w:val="24"/>
          <w:vertAlign w:val="superscript"/>
        </w:rPr>
        <w:t>123</w:t>
      </w:r>
      <w:r w:rsidRPr="00077AA0">
        <w:t>, ndërsa kreditë e saj për investime variojnë nga 10,000 deri në 30,000 euro.</w:t>
      </w:r>
      <w:r w:rsidRPr="00F84FB2">
        <w:rPr>
          <w:rFonts w:eastAsia="Google Sans Text" w:cs="Times New Roman"/>
          <w:color w:val="575B5F"/>
          <w:szCs w:val="24"/>
          <w:vertAlign w:val="superscript"/>
        </w:rPr>
        <w:t>150</w:t>
      </w:r>
      <w:r>
        <w:rPr>
          <w:rFonts w:ascii="Google Sans Text" w:eastAsia="Google Sans Text" w:hAnsi="Google Sans Text"/>
          <w:szCs w:val="24"/>
        </w:rPr>
        <w:t xml:space="preserve"> </w:t>
      </w:r>
      <w:r w:rsidRPr="00077AA0">
        <w:t>Kreditë e MFI-ve janë përgjithësisht më të vogla; kredia fillestare e FINCA-s është e kufizuar në 5,000 €.</w:t>
      </w:r>
      <w:r w:rsidRPr="00F84FB2">
        <w:rPr>
          <w:rFonts w:eastAsia="Google Sans Text" w:cs="Times New Roman"/>
          <w:color w:val="575B5F"/>
          <w:szCs w:val="24"/>
          <w:vertAlign w:val="superscript"/>
        </w:rPr>
        <w:t>154</w:t>
      </w:r>
      <w:r w:rsidRPr="00077AA0">
        <w:t>, ndërsa produktet e tjera të IMFI-ve mund të variojnë nga 200 € deri në 25,000 €.</w:t>
      </w:r>
      <w:r w:rsidRPr="00F84FB2">
        <w:rPr>
          <w:rFonts w:eastAsia="Google Sans Text" w:cs="Times New Roman"/>
          <w:color w:val="575B5F"/>
          <w:szCs w:val="24"/>
          <w:vertAlign w:val="superscript"/>
        </w:rPr>
        <w:t>103</w:t>
      </w:r>
      <w:r>
        <w:rPr>
          <w:rFonts w:ascii="Google Sans Text" w:eastAsia="Google Sans Text" w:hAnsi="Google Sans Text"/>
          <w:szCs w:val="24"/>
        </w:rPr>
        <w:t xml:space="preserve"> </w:t>
      </w:r>
      <w:r w:rsidRPr="00077AA0">
        <w:t>Credins Bank ofron mikrokredi deri në 20,000 €.</w:t>
      </w:r>
      <w:r w:rsidRPr="00F84FB2">
        <w:rPr>
          <w:rFonts w:eastAsia="Google Sans Text" w:cs="Times New Roman"/>
          <w:color w:val="575B5F"/>
          <w:szCs w:val="24"/>
          <w:vertAlign w:val="superscript"/>
        </w:rPr>
        <w:t>104</w:t>
      </w:r>
    </w:p>
    <w:p w:rsidR="00F84FB2" w:rsidRPr="00EB5B87" w:rsidRDefault="00F84FB2" w:rsidP="00EB5B87">
      <w:pPr>
        <w:widowControl w:val="0"/>
        <w:numPr>
          <w:ilvl w:val="0"/>
          <w:numId w:val="12"/>
        </w:numPr>
        <w:pBdr>
          <w:top w:val="nil"/>
          <w:left w:val="nil"/>
          <w:bottom w:val="nil"/>
          <w:right w:val="nil"/>
          <w:between w:val="nil"/>
        </w:pBdr>
        <w:spacing w:after="120"/>
        <w:jc w:val="left"/>
      </w:pPr>
      <w:r w:rsidRPr="00EB5B87">
        <w:rPr>
          <w:b/>
          <w:bCs/>
        </w:rPr>
        <w:t>Kriteret e Kredisë dhe Kolaterali:</w:t>
      </w:r>
      <w:r w:rsidR="00077AA0" w:rsidRPr="00EB5B87">
        <w:t xml:space="preserve"> </w:t>
      </w:r>
      <w:r w:rsidRPr="00EB5B87">
        <w:t>Përfitimi zakonisht kërkon vendbanim në Kosovë, provë të të ardhurave të qëndrueshme (shpesh të kanalizuara përmes bankës huadhënëse) dhe një kontroll të kënaqshëm të kreditit përmes Regjistrit të Kredive të BQK-së.</w:t>
      </w:r>
      <w:r w:rsidRPr="00EB5B87">
        <w:rPr>
          <w:rFonts w:eastAsia="Google Sans Text" w:cs="Times New Roman"/>
          <w:color w:val="575B5F"/>
          <w:szCs w:val="24"/>
          <w:vertAlign w:val="superscript"/>
        </w:rPr>
        <w:t>52</w:t>
      </w:r>
      <w:r w:rsidR="00EB5B87">
        <w:rPr>
          <w:rFonts w:ascii="Google Sans Text" w:eastAsia="Google Sans Text" w:hAnsi="Google Sans Text"/>
          <w:szCs w:val="24"/>
        </w:rPr>
        <w:t xml:space="preserve"> </w:t>
      </w:r>
      <w:r w:rsidR="00EB5B87" w:rsidRPr="00EB5B87">
        <w:t>S</w:t>
      </w:r>
      <w:r w:rsidRPr="00EB5B87">
        <w:t>humica e kredive personale standarde janë të pasigurta.</w:t>
      </w:r>
      <w:r w:rsidRPr="00EB5B87">
        <w:rPr>
          <w:rFonts w:eastAsia="Google Sans Text" w:cs="Times New Roman"/>
          <w:color w:val="575B5F"/>
          <w:szCs w:val="24"/>
          <w:vertAlign w:val="superscript"/>
        </w:rPr>
        <w:t>15</w:t>
      </w:r>
      <w:r w:rsidR="00EB5B87">
        <w:rPr>
          <w:rFonts w:ascii="Google Sans Text" w:eastAsia="Google Sans Text" w:hAnsi="Google Sans Text"/>
          <w:szCs w:val="24"/>
        </w:rPr>
        <w:t xml:space="preserve"> </w:t>
      </w:r>
      <w:r w:rsidR="00EB5B87" w:rsidRPr="00EB5B87">
        <w:t>M</w:t>
      </w:r>
      <w:r w:rsidRPr="00EB5B87">
        <w:t>egjithatë, për shuma më të mëdha të pasiguruara, bankat mund të kërkojnë një bashkëhuamarrës ose garantues. Për shembull, Raiffeisen kërkon një garantues (me kritere specifike në lidhje me pagën dhe pronësinë e makinës) për kreditë personale që tejkalojnë 35,000 €.</w:t>
      </w:r>
      <w:r w:rsidRPr="00EB5B87">
        <w:rPr>
          <w:rFonts w:eastAsia="Google Sans Text" w:cs="Times New Roman"/>
          <w:color w:val="575B5F"/>
          <w:szCs w:val="24"/>
          <w:vertAlign w:val="superscript"/>
        </w:rPr>
        <w:t>135</w:t>
      </w:r>
      <w:r w:rsidR="00EB5B87">
        <w:rPr>
          <w:rFonts w:ascii="Google Sans Text" w:eastAsia="Google Sans Text" w:hAnsi="Google Sans Text"/>
          <w:szCs w:val="24"/>
        </w:rPr>
        <w:t xml:space="preserve"> </w:t>
      </w:r>
      <w:r w:rsidR="00EB5B87" w:rsidRPr="00EB5B87">
        <w:t>I</w:t>
      </w:r>
      <w:r w:rsidRPr="00EB5B87">
        <w:t>MFI-të mund të përdorin metodologjitë e huadhënies në grup, ku grupi vepron si një formë e kolateralit social.</w:t>
      </w:r>
      <w:r w:rsidRPr="00EB5B87">
        <w:rPr>
          <w:rFonts w:eastAsia="Google Sans Text" w:cs="Times New Roman"/>
          <w:color w:val="575B5F"/>
          <w:szCs w:val="24"/>
          <w:vertAlign w:val="superscript"/>
        </w:rPr>
        <w:t>155</w:t>
      </w: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EB5B87" w:rsidP="00EB5B87">
      <w:pPr>
        <w:widowControl w:val="0"/>
        <w:pBdr>
          <w:top w:val="nil"/>
          <w:left w:val="nil"/>
          <w:bottom w:val="nil"/>
          <w:right w:val="nil"/>
          <w:between w:val="nil"/>
        </w:pBdr>
        <w:spacing w:after="120"/>
        <w:jc w:val="left"/>
      </w:pPr>
    </w:p>
    <w:p w:rsidR="00EB5B87" w:rsidRDefault="00000000" w:rsidP="00EB5B87">
      <w:pPr>
        <w:pBdr>
          <w:top w:val="nil"/>
          <w:left w:val="nil"/>
          <w:bottom w:val="nil"/>
          <w:right w:val="nil"/>
          <w:between w:val="nil"/>
        </w:pBdr>
        <w:spacing w:before="120"/>
        <w:rPr>
          <w:rFonts w:ascii="Google Sans Text" w:eastAsia="Google Sans Text" w:hAnsi="Google Sans Text"/>
          <w:b/>
          <w:szCs w:val="24"/>
        </w:rPr>
      </w:pPr>
      <w:bookmarkStart w:id="23" w:name="_Hlk197802054"/>
      <w:r>
        <w:lastRenderedPageBreak/>
        <w:pict>
          <v:rect id="_x0000_i1025" style="width:0;height:1.5pt" o:hralign="center" o:hrstd="t" o:hr="t" fillcolor="#a0a0a0" stroked="f"/>
        </w:pict>
      </w:r>
      <w:r w:rsidR="00EB5B87" w:rsidRPr="00EB5B87">
        <w:rPr>
          <w:b/>
          <w:bCs/>
        </w:rPr>
        <w:t>Tabela 1: Përmbledhje e Karakteristikave të Kredive Personale në Kosovë (Ofruesit e Përzgjedhur, të Dhëna të Fillimit të Vitit 2025)</w:t>
      </w: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20" w:firstRow="1" w:lastRow="0" w:firstColumn="0" w:lastColumn="0" w:noHBand="1" w:noVBand="1"/>
      </w:tblPr>
      <w:tblGrid>
        <w:gridCol w:w="1560"/>
        <w:gridCol w:w="1560"/>
        <w:gridCol w:w="1560"/>
        <w:gridCol w:w="1560"/>
        <w:gridCol w:w="1560"/>
        <w:gridCol w:w="1560"/>
      </w:tblGrid>
      <w:tr w:rsidR="00EB5B87" w:rsidTr="00271368">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bookmarkEnd w:id="23"/>
          <w:p w:rsidR="00EB5B87" w:rsidRPr="00EB5B87" w:rsidRDefault="00EB5B87" w:rsidP="00EB5B87">
            <w:pPr>
              <w:pBdr>
                <w:top w:val="nil"/>
                <w:left w:val="nil"/>
                <w:bottom w:val="nil"/>
                <w:right w:val="nil"/>
                <w:between w:val="nil"/>
              </w:pBdr>
              <w:spacing w:before="120" w:after="120"/>
              <w:jc w:val="center"/>
              <w:rPr>
                <w:rFonts w:eastAsia="Google Sans Text" w:cs="Times New Roman"/>
                <w:b/>
                <w:sz w:val="20"/>
              </w:rPr>
            </w:pPr>
            <w:r w:rsidRPr="00EB5B87">
              <w:rPr>
                <w:rFonts w:eastAsia="Google Sans Text" w:cs="Times New Roman"/>
                <w:b/>
                <w:sz w:val="20"/>
              </w:rPr>
              <w:t>Ofruesi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jc w:val="center"/>
              <w:rPr>
                <w:rFonts w:eastAsia="Google Sans Text" w:cs="Times New Roman"/>
                <w:b/>
                <w:sz w:val="20"/>
              </w:rPr>
            </w:pPr>
            <w:r w:rsidRPr="00EB5B87">
              <w:rPr>
                <w:rFonts w:eastAsia="Google Sans Text" w:cs="Times New Roman"/>
                <w:b/>
                <w:sz w:val="20"/>
              </w:rPr>
              <w:t>Lloji i kredisë</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jc w:val="center"/>
              <w:rPr>
                <w:rFonts w:eastAsia="Google Sans Text" w:cs="Times New Roman"/>
                <w:b/>
                <w:sz w:val="20"/>
              </w:rPr>
            </w:pPr>
            <w:r w:rsidRPr="00EB5B87">
              <w:rPr>
                <w:rFonts w:eastAsia="Google Sans Text" w:cs="Times New Roman"/>
                <w:b/>
                <w:sz w:val="20"/>
              </w:rPr>
              <w:t>Shuma Maksimale (€)</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jc w:val="center"/>
              <w:rPr>
                <w:rFonts w:eastAsia="Google Sans Text" w:cs="Times New Roman"/>
                <w:b/>
                <w:sz w:val="20"/>
              </w:rPr>
            </w:pPr>
            <w:r w:rsidRPr="00EB5B87">
              <w:rPr>
                <w:rFonts w:eastAsia="Google Sans Text" w:cs="Times New Roman"/>
                <w:b/>
                <w:sz w:val="20"/>
              </w:rPr>
              <w:t>Norma e Interesit (Nominale / Efektive)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jc w:val="center"/>
              <w:rPr>
                <w:rFonts w:eastAsia="Google Sans Text" w:cs="Times New Roman"/>
                <w:b/>
                <w:sz w:val="20"/>
              </w:rPr>
            </w:pPr>
            <w:r w:rsidRPr="00EB5B87">
              <w:rPr>
                <w:rFonts w:eastAsia="Google Sans Text" w:cs="Times New Roman"/>
                <w:b/>
                <w:sz w:val="20"/>
              </w:rPr>
              <w:t>Afati maksimal (Muaj)</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jc w:val="center"/>
              <w:rPr>
                <w:rFonts w:eastAsia="Google Sans Text" w:cs="Times New Roman"/>
                <w:b/>
                <w:sz w:val="20"/>
              </w:rPr>
            </w:pPr>
            <w:r w:rsidRPr="00EB5B87">
              <w:rPr>
                <w:rFonts w:eastAsia="Google Sans Text" w:cs="Times New Roman"/>
                <w:b/>
                <w:sz w:val="20"/>
              </w:rPr>
              <w:t>Kërkohet kolateral/garantues</w:t>
            </w:r>
          </w:p>
        </w:tc>
      </w:tr>
      <w:tr w:rsidR="00EB5B87" w:rsidTr="00271368">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Raiffeisen</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Kredi Personale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50,000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5.5% Fiks / Nga 5.64% NE</w:t>
            </w:r>
            <w:r w:rsidR="00723CEB">
              <w:rPr>
                <w:rFonts w:eastAsia="Google Sans Text" w:cs="Times New Roman"/>
                <w:sz w:val="20"/>
              </w:rPr>
              <w:t>V</w:t>
            </w:r>
            <w:r w:rsidRPr="00EB5B87">
              <w:rPr>
                <w:rFonts w:eastAsia="Google Sans Text" w:cs="Times New Roman"/>
                <w:sz w:val="20"/>
              </w:rPr>
              <w:t>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120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723CEB" w:rsidP="00EB5B87">
            <w:pPr>
              <w:pBdr>
                <w:top w:val="nil"/>
                <w:left w:val="nil"/>
                <w:bottom w:val="nil"/>
                <w:right w:val="nil"/>
                <w:between w:val="nil"/>
              </w:pBdr>
              <w:spacing w:before="120" w:after="120" w:line="275" w:lineRule="auto"/>
              <w:jc w:val="center"/>
              <w:rPr>
                <w:rFonts w:eastAsia="Google Sans Text" w:cs="Times New Roman"/>
                <w:sz w:val="20"/>
              </w:rPr>
            </w:pPr>
            <w:r>
              <w:rPr>
                <w:rFonts w:eastAsia="Google Sans Text" w:cs="Times New Roman"/>
                <w:sz w:val="20"/>
              </w:rPr>
              <w:t>G</w:t>
            </w:r>
            <w:r w:rsidR="00EB5B87" w:rsidRPr="00EB5B87">
              <w:rPr>
                <w:rFonts w:eastAsia="Google Sans Text" w:cs="Times New Roman"/>
                <w:sz w:val="20"/>
              </w:rPr>
              <w:t>arantues për &gt; 35 mijë euro</w:t>
            </w:r>
          </w:p>
        </w:tc>
      </w:tr>
      <w:tr w:rsidR="00EB5B87" w:rsidTr="00271368">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ProCredit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Kredi Personale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10,000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6.90% / 7.57%</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Nuk është e nevojshme (sipas ofertës specifike)</w:t>
            </w:r>
          </w:p>
        </w:tc>
      </w:tr>
      <w:tr w:rsidR="00EB5B87" w:rsidTr="00271368">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ProCredit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Kredi Investimi (Rezident)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30,000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6.20% Fikse / 6.61% Ef. (≤36m); 5.60%+6mE (min 6.00%) / 6.11% Ef.</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Nuk specifikohet; ka të ngjarë të bazohet në besueshmërinë/shumën</w:t>
            </w:r>
          </w:p>
        </w:tc>
      </w:tr>
      <w:tr w:rsidR="00EB5B87" w:rsidTr="00271368">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ProCredit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Kredi Konsumatore</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N/A / 12.29%</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N/A</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Nuk specifikohet; ka të ngjarë të jetë i pasiguruar</w:t>
            </w:r>
          </w:p>
        </w:tc>
      </w:tr>
      <w:tr w:rsidR="00EB5B87" w:rsidTr="00271368">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FINCA Kosovë</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Kredi për Biznes Fillestar</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5,000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Nuk specifikohet; varet nga shuma, afati, etj.</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Në varësi të shumës së kredisë</w:t>
            </w:r>
          </w:p>
        </w:tc>
      </w:tr>
      <w:tr w:rsidR="00EB5B87" w:rsidTr="00271368">
        <w:trP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Banka Credins</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Mikrokredi</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20,000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Fillimi 5.5% / Fillimi 6.06%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36</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B5B87" w:rsidRPr="00EB5B87" w:rsidRDefault="00EB5B87" w:rsidP="00EB5B87">
            <w:pPr>
              <w:pBdr>
                <w:top w:val="nil"/>
                <w:left w:val="nil"/>
                <w:bottom w:val="nil"/>
                <w:right w:val="nil"/>
                <w:between w:val="nil"/>
              </w:pBdr>
              <w:spacing w:before="120" w:after="120" w:line="275" w:lineRule="auto"/>
              <w:jc w:val="center"/>
              <w:rPr>
                <w:rFonts w:eastAsia="Google Sans Text" w:cs="Times New Roman"/>
                <w:sz w:val="20"/>
              </w:rPr>
            </w:pPr>
            <w:r w:rsidRPr="00EB5B87">
              <w:rPr>
                <w:rFonts w:eastAsia="Google Sans Text" w:cs="Times New Roman"/>
                <w:sz w:val="20"/>
              </w:rPr>
              <w:t>Nuk nevojitet kolateral</w:t>
            </w:r>
          </w:p>
        </w:tc>
      </w:tr>
    </w:tbl>
    <w:p w:rsidR="00EB5B87" w:rsidRDefault="00EB5B87" w:rsidP="00EB5B87">
      <w:r>
        <w:t>Burimet: 104</w:t>
      </w:r>
    </w:p>
    <w:p w:rsidR="00EB5B87" w:rsidRDefault="00EB5B87" w:rsidP="00EB5B87">
      <w:r>
        <w:lastRenderedPageBreak/>
        <w:t>Shënim: Normat efektive për kreditë e ndryshueshme janë orientuese dhe bazohen në Euribor në kohën e listës së çmimeve. N/A = Nuk është e disponueshme në burimin e cituar.</w:t>
      </w:r>
    </w:p>
    <w:p w:rsidR="00EB5B87" w:rsidRDefault="00000000" w:rsidP="00EB5B87">
      <w:pPr>
        <w:rPr>
          <w:szCs w:val="24"/>
        </w:rPr>
      </w:pPr>
      <w:r>
        <w:pict>
          <v:rect id="_x0000_i1026" style="width:0;height:1.5pt" o:hralign="center" o:hrstd="t" o:hr="t" fillcolor="#a0a0a0" stroked="f"/>
        </w:pict>
      </w:r>
      <w:r w:rsidR="00EB5B87">
        <w:rPr>
          <w:szCs w:val="24"/>
        </w:rPr>
        <w:t>Kjo tabelë ofron një pamje krahasuese të karakteristikave kryesore të produkteve nga aktorët kryesorë të tregut, duke bashkuar detaje specifike të shpërndara në burime të shumta në një pamje të vetme, duke lehtësuar analizën e ofertave të tregut dhe konkurrencës.</w:t>
      </w:r>
    </w:p>
    <w:p w:rsidR="00DC170B" w:rsidRDefault="00DC170B" w:rsidP="00EB5B87">
      <w:pPr>
        <w:widowControl w:val="0"/>
        <w:pBdr>
          <w:top w:val="nil"/>
          <w:left w:val="nil"/>
          <w:bottom w:val="nil"/>
          <w:right w:val="nil"/>
          <w:between w:val="nil"/>
        </w:pBdr>
      </w:pPr>
    </w:p>
    <w:p w:rsidR="00DC170B" w:rsidRDefault="00DC170B"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EB5B87">
      <w:pPr>
        <w:widowControl w:val="0"/>
        <w:pBdr>
          <w:top w:val="nil"/>
          <w:left w:val="nil"/>
          <w:bottom w:val="nil"/>
          <w:right w:val="nil"/>
          <w:between w:val="nil"/>
        </w:pBdr>
      </w:pPr>
    </w:p>
    <w:p w:rsidR="00EB5B87" w:rsidRDefault="00EB5B87" w:rsidP="00416198">
      <w:pPr>
        <w:widowControl w:val="0"/>
        <w:pBdr>
          <w:top w:val="nil"/>
          <w:left w:val="nil"/>
          <w:bottom w:val="nil"/>
          <w:right w:val="nil"/>
          <w:between w:val="nil"/>
        </w:pBdr>
      </w:pPr>
    </w:p>
    <w:p w:rsidR="00EB5B87" w:rsidRDefault="00EB5B87" w:rsidP="003F6AFA">
      <w:pPr>
        <w:pStyle w:val="Heading2"/>
      </w:pPr>
      <w:bookmarkStart w:id="24" w:name="_Toc198554998"/>
      <w:r w:rsidRPr="00EB5B87">
        <w:lastRenderedPageBreak/>
        <w:t xml:space="preserve">2.4 </w:t>
      </w:r>
      <w:r w:rsidR="00077A39" w:rsidRPr="00077A39">
        <w:t>Zhvillimet e Tregut dhe Transformimi Dixhital</w:t>
      </w:r>
      <w:bookmarkEnd w:id="24"/>
    </w:p>
    <w:p w:rsidR="00EB5B87" w:rsidRDefault="00EB5B87" w:rsidP="00416198">
      <w:r>
        <w:t>Tregu i kredive personale në Kosovë karakterizohet nga disa dinamika kryesore:</w:t>
      </w:r>
    </w:p>
    <w:p w:rsidR="00EB5B87" w:rsidRDefault="00EB5B87" w:rsidP="00416198">
      <w:pPr>
        <w:widowControl w:val="0"/>
        <w:numPr>
          <w:ilvl w:val="0"/>
          <w:numId w:val="13"/>
        </w:numPr>
        <w:pBdr>
          <w:top w:val="nil"/>
          <w:left w:val="nil"/>
          <w:bottom w:val="nil"/>
          <w:right w:val="nil"/>
          <w:between w:val="nil"/>
        </w:pBdr>
        <w:spacing w:after="0"/>
        <w:jc w:val="left"/>
      </w:pPr>
      <w:r w:rsidRPr="00416198">
        <w:rPr>
          <w:b/>
          <w:bCs/>
        </w:rPr>
        <w:t>Rritje e shpejtë e tregut:</w:t>
      </w:r>
      <w:r w:rsidRPr="00416198">
        <w:t xml:space="preserve"> Trendi më i spikatur është zgjerimi i shpejtë i kreditimit, veçanërisht për familjet. Totali i kredive të papaguara u rrit me 18.7% nga viti në vit në janar 2025.</w:t>
      </w:r>
      <w:r w:rsidRPr="00EB5B87">
        <w:rPr>
          <w:rFonts w:eastAsia="Google Sans Text" w:cs="Times New Roman"/>
          <w:color w:val="575B5F"/>
          <w:szCs w:val="24"/>
          <w:vertAlign w:val="superscript"/>
        </w:rPr>
        <w:t>95</w:t>
      </w:r>
      <w:r>
        <w:rPr>
          <w:rFonts w:ascii="Google Sans Text" w:eastAsia="Google Sans Text" w:hAnsi="Google Sans Text"/>
          <w:szCs w:val="24"/>
        </w:rPr>
        <w:t>,</w:t>
      </w:r>
      <w:r w:rsidRPr="00416198">
        <w:t xml:space="preserve"> duke kontribuar në një thellim të ndjeshëm financiar, me kredinë për sektorin privat që tejkalon 56% të PBB-së në vitin 2024.</w:t>
      </w:r>
      <w:r w:rsidRPr="00EB5B87">
        <w:rPr>
          <w:rFonts w:eastAsia="Google Sans Text" w:cs="Times New Roman"/>
          <w:color w:val="575B5F"/>
          <w:szCs w:val="24"/>
          <w:vertAlign w:val="superscript"/>
        </w:rPr>
        <w:t>2</w:t>
      </w:r>
      <w:r>
        <w:rPr>
          <w:rFonts w:ascii="Google Sans Text" w:eastAsia="Google Sans Text" w:hAnsi="Google Sans Text"/>
          <w:szCs w:val="24"/>
        </w:rPr>
        <w:t xml:space="preserve"> </w:t>
      </w:r>
      <w:r w:rsidRPr="00416198">
        <w:t>Kreditimi për familjet arriti në 2.34 miliardë euro deri në fund të tremujorit të katërt të vitit 2024.</w:t>
      </w:r>
      <w:r w:rsidRPr="00416198">
        <w:rPr>
          <w:rFonts w:eastAsia="Google Sans Text" w:cs="Times New Roman"/>
          <w:color w:val="575B5F"/>
          <w:szCs w:val="24"/>
          <w:vertAlign w:val="superscript"/>
        </w:rPr>
        <w:t>52</w:t>
      </w:r>
      <w:r w:rsidR="00416198">
        <w:rPr>
          <w:rFonts w:ascii="Google Sans Text" w:eastAsia="Google Sans Text" w:hAnsi="Google Sans Text"/>
          <w:szCs w:val="24"/>
        </w:rPr>
        <w:t xml:space="preserve"> </w:t>
      </w:r>
      <w:r w:rsidR="005D0E9E" w:rsidRPr="005D0E9E">
        <w:t>Kjo rritje është nxitur kryesisht nga kërkesa e lartë për kredi personale dhe konsumatore nga individët dhe familjet</w:t>
      </w:r>
      <w:r w:rsidRPr="00416198">
        <w:t>.</w:t>
      </w:r>
      <w:r w:rsidRPr="00416198">
        <w:rPr>
          <w:rFonts w:eastAsia="Google Sans Text" w:cs="Times New Roman"/>
          <w:color w:val="575B5F"/>
          <w:szCs w:val="24"/>
          <w:vertAlign w:val="superscript"/>
        </w:rPr>
        <w:t>52</w:t>
      </w:r>
    </w:p>
    <w:p w:rsidR="00EB5B87" w:rsidRPr="00416198" w:rsidRDefault="00EB5B87" w:rsidP="00416198">
      <w:pPr>
        <w:widowControl w:val="0"/>
        <w:numPr>
          <w:ilvl w:val="0"/>
          <w:numId w:val="13"/>
        </w:numPr>
        <w:pBdr>
          <w:top w:val="nil"/>
          <w:left w:val="nil"/>
          <w:bottom w:val="nil"/>
          <w:right w:val="nil"/>
          <w:between w:val="nil"/>
        </w:pBdr>
        <w:spacing w:after="0"/>
        <w:jc w:val="left"/>
      </w:pPr>
      <w:r w:rsidRPr="00416198">
        <w:rPr>
          <w:b/>
          <w:bCs/>
        </w:rPr>
        <w:t>Dixhitalizimi:</w:t>
      </w:r>
      <w:r w:rsidR="00416198" w:rsidRPr="00416198">
        <w:t xml:space="preserve"> </w:t>
      </w:r>
      <w:r w:rsidRPr="00416198">
        <w:t>Bankat po bëjnë investime të konsiderueshme në kanalet dixhitale. Platformat e bankave online dhe mobile si Raiffeisen Plus</w:t>
      </w:r>
      <w:r w:rsidRPr="00416198">
        <w:rPr>
          <w:rFonts w:eastAsia="Google Sans Text" w:cs="Times New Roman"/>
          <w:color w:val="575B5F"/>
          <w:szCs w:val="24"/>
          <w:vertAlign w:val="superscript"/>
        </w:rPr>
        <w:t>132</w:t>
      </w:r>
      <w:r w:rsidR="00416198">
        <w:rPr>
          <w:rFonts w:ascii="Google Sans Text" w:eastAsia="Google Sans Text" w:hAnsi="Google Sans Text"/>
          <w:szCs w:val="24"/>
        </w:rPr>
        <w:t xml:space="preserve"> </w:t>
      </w:r>
      <w:r w:rsidR="00416198" w:rsidRPr="00416198">
        <w:t>d</w:t>
      </w:r>
      <w:r w:rsidRPr="00416198">
        <w:t>he e-Banking i ProCredit-it</w:t>
      </w:r>
      <w:r w:rsidRPr="00416198">
        <w:rPr>
          <w:rFonts w:eastAsia="Google Sans Text" w:cs="Times New Roman"/>
          <w:color w:val="575B5F"/>
          <w:szCs w:val="24"/>
          <w:vertAlign w:val="superscript"/>
        </w:rPr>
        <w:t>143</w:t>
      </w:r>
      <w:r>
        <w:rPr>
          <w:rFonts w:ascii="Google Sans Text" w:eastAsia="Google Sans Text" w:hAnsi="Google Sans Text"/>
          <w:szCs w:val="24"/>
        </w:rPr>
        <w:t xml:space="preserve"> </w:t>
      </w:r>
      <w:r w:rsidR="00416198" w:rsidRPr="00416198">
        <w:t xml:space="preserve">u </w:t>
      </w:r>
      <w:r w:rsidRPr="00416198">
        <w:t>ofrojnë klientëve qasje 24/7 në llogari dhe mundësi transaksionesh. Kjo përfshin transferta vendase dhe ndërkombëtare, pagesa faturash dhe aplikime për kredi.</w:t>
      </w:r>
      <w:r w:rsidRPr="00416198">
        <w:rPr>
          <w:rFonts w:eastAsia="Google Sans Text" w:cs="Times New Roman"/>
          <w:color w:val="575B5F"/>
          <w:szCs w:val="24"/>
          <w:vertAlign w:val="superscript"/>
        </w:rPr>
        <w:t>2</w:t>
      </w:r>
      <w:r w:rsidR="00416198">
        <w:rPr>
          <w:rFonts w:ascii="Google Sans Text" w:eastAsia="Google Sans Text" w:hAnsi="Google Sans Text"/>
          <w:szCs w:val="24"/>
        </w:rPr>
        <w:t xml:space="preserve"> </w:t>
      </w:r>
      <w:r w:rsidR="00416198" w:rsidRPr="00416198">
        <w:t>S</w:t>
      </w:r>
      <w:r w:rsidRPr="00416198">
        <w:t>hërbimet e pagesave të tregtisë elektronike po promovohen gjithashtu.</w:t>
      </w:r>
      <w:r w:rsidRPr="00416198">
        <w:rPr>
          <w:rFonts w:eastAsia="Google Sans Text" w:cs="Times New Roman"/>
          <w:color w:val="575B5F"/>
          <w:szCs w:val="24"/>
          <w:vertAlign w:val="superscript"/>
        </w:rPr>
        <w:t>144</w:t>
      </w:r>
      <w:r w:rsidR="00416198">
        <w:rPr>
          <w:rFonts w:ascii="Google Sans Text" w:eastAsia="Google Sans Text" w:hAnsi="Google Sans Text"/>
          <w:szCs w:val="24"/>
        </w:rPr>
        <w:t xml:space="preserve"> </w:t>
      </w:r>
      <w:r w:rsidR="00416198" w:rsidRPr="00416198">
        <w:t>K</w:t>
      </w:r>
      <w:r w:rsidRPr="00416198">
        <w:t>y ndryshim dixhital rrit komoditetin dhe potencialisht zgjeron aksesin në shërbimet financiare.</w:t>
      </w:r>
    </w:p>
    <w:p w:rsidR="00EB5B87" w:rsidRDefault="00EB5B87" w:rsidP="00416198">
      <w:pPr>
        <w:widowControl w:val="0"/>
        <w:numPr>
          <w:ilvl w:val="0"/>
          <w:numId w:val="13"/>
        </w:numPr>
        <w:pBdr>
          <w:top w:val="nil"/>
          <w:left w:val="nil"/>
          <w:bottom w:val="nil"/>
          <w:right w:val="nil"/>
          <w:between w:val="nil"/>
        </w:pBdr>
        <w:spacing w:after="0"/>
        <w:jc w:val="left"/>
      </w:pPr>
      <w:r w:rsidRPr="00416198">
        <w:rPr>
          <w:b/>
          <w:bCs/>
        </w:rPr>
        <w:t>Përpjekjet për Përfshirje Financiare:</w:t>
      </w:r>
      <w:r w:rsidR="00416198" w:rsidRPr="00416198">
        <w:t xml:space="preserve"> </w:t>
      </w:r>
      <w:r w:rsidRPr="00416198">
        <w:t>Duke njohur nevojën për të zgjeruar shërbimet financiare për të gjitha segmentet e popullsisë, si BQK-ja ashtu edhe pjesëmarrësit në treg po ndërmarrin iniciativa. Rregullorja e BQK-së për Qasjen në Llogaritë e Pagesave me Shërbime Bazë synon të sigurojë që të gjithë qytetarët, pavarësisht nga gjendja financiare, të mund të hapin një llogari bazë me kosto të ulët ose pa kosto.</w:t>
      </w:r>
      <w:r w:rsidRPr="00416198">
        <w:rPr>
          <w:rFonts w:eastAsia="Google Sans Text" w:cs="Times New Roman"/>
          <w:color w:val="575B5F"/>
          <w:szCs w:val="24"/>
          <w:vertAlign w:val="superscript"/>
        </w:rPr>
        <w:t>52</w:t>
      </w:r>
      <w:r w:rsidR="00416198">
        <w:rPr>
          <w:rFonts w:ascii="Google Sans Text" w:eastAsia="Google Sans Text" w:hAnsi="Google Sans Text"/>
          <w:szCs w:val="24"/>
        </w:rPr>
        <w:t xml:space="preserve"> </w:t>
      </w:r>
      <w:r w:rsidR="00416198" w:rsidRPr="00416198">
        <w:t>I</w:t>
      </w:r>
      <w:r w:rsidRPr="00416198">
        <w:t>MF-të vazhdojnë të luajnë një rol vendimtar duke synuar posaçërisht grupet e pashërbyera si familjet me të ardhura të ulëta, popullatat rurale dhe mikro-sipërmarrësit.</w:t>
      </w:r>
      <w:r w:rsidRPr="00416198">
        <w:rPr>
          <w:rFonts w:eastAsia="Google Sans Text" w:cs="Times New Roman"/>
          <w:color w:val="575B5F"/>
          <w:szCs w:val="24"/>
          <w:vertAlign w:val="superscript"/>
        </w:rPr>
        <w:t>102</w:t>
      </w:r>
      <w:r w:rsidR="00416198">
        <w:rPr>
          <w:rFonts w:ascii="Google Sans Text" w:eastAsia="Google Sans Text" w:hAnsi="Google Sans Text"/>
          <w:szCs w:val="24"/>
        </w:rPr>
        <w:t xml:space="preserve"> </w:t>
      </w:r>
      <w:r w:rsidR="00416198" w:rsidRPr="00416198">
        <w:t>F</w:t>
      </w:r>
      <w:r w:rsidRPr="00416198">
        <w:t>ondi i Garancisë së Kreditit të Kosovës (FKGK), i mbështetur nga partnerë ndërkombëtarë si Banka Botërore, ndihmon në zbutjen e rrezikut për institucionet huadhënëse, duke inkurajuar kështu më shumë huadhënie për NMVM-të.</w:t>
      </w:r>
      <w:r w:rsidRPr="00416198">
        <w:rPr>
          <w:rFonts w:eastAsia="Google Sans Text" w:cs="Times New Roman"/>
          <w:color w:val="575B5F"/>
          <w:szCs w:val="24"/>
          <w:vertAlign w:val="superscript"/>
        </w:rPr>
        <w:t>102</w:t>
      </w:r>
      <w:r w:rsidR="00416198">
        <w:rPr>
          <w:rFonts w:ascii="Google Sans Text" w:eastAsia="Google Sans Text" w:hAnsi="Google Sans Text"/>
          <w:szCs w:val="24"/>
        </w:rPr>
        <w:t xml:space="preserve"> </w:t>
      </w:r>
      <w:r w:rsidR="00416198" w:rsidRPr="00416198">
        <w:t>N</w:t>
      </w:r>
      <w:r w:rsidRPr="00416198">
        <w:t>johuritë financiare janë një tjetër fushë fokusi, ku SHBK-ja dhe BQK-ja promovojnë fushata edukative.</w:t>
      </w:r>
      <w:r w:rsidRPr="00416198">
        <w:rPr>
          <w:rFonts w:eastAsia="Google Sans Text" w:cs="Times New Roman"/>
          <w:color w:val="575B5F"/>
          <w:szCs w:val="24"/>
          <w:vertAlign w:val="superscript"/>
        </w:rPr>
        <w:t>76</w:t>
      </w:r>
      <w:r w:rsidR="00416198">
        <w:rPr>
          <w:rFonts w:ascii="Google Sans Text" w:eastAsia="Google Sans Text" w:hAnsi="Google Sans Text"/>
          <w:szCs w:val="24"/>
        </w:rPr>
        <w:t xml:space="preserve"> </w:t>
      </w:r>
      <w:r w:rsidR="00416198" w:rsidRPr="00416198">
        <w:t>A</w:t>
      </w:r>
      <w:r w:rsidRPr="00416198">
        <w:t>nëtarësimi i fundit i BQK-së në FinCoNet nënvizon angazhimin e saj ndaj standardeve ndërkombëtare të mbrojtjes së konsumatorit.</w:t>
      </w:r>
      <w:r w:rsidRPr="00416198">
        <w:rPr>
          <w:rFonts w:eastAsia="Google Sans Text" w:cs="Times New Roman"/>
          <w:color w:val="575B5F"/>
          <w:szCs w:val="24"/>
          <w:vertAlign w:val="superscript"/>
        </w:rPr>
        <w:t>76</w:t>
      </w:r>
    </w:p>
    <w:p w:rsidR="00EB5B87" w:rsidRDefault="00EB5B87" w:rsidP="00416198">
      <w:pPr>
        <w:widowControl w:val="0"/>
        <w:numPr>
          <w:ilvl w:val="0"/>
          <w:numId w:val="13"/>
        </w:numPr>
        <w:pBdr>
          <w:top w:val="nil"/>
          <w:left w:val="nil"/>
          <w:bottom w:val="nil"/>
          <w:right w:val="nil"/>
          <w:between w:val="nil"/>
        </w:pBdr>
        <w:spacing w:after="120"/>
        <w:jc w:val="left"/>
      </w:pPr>
      <w:r w:rsidRPr="00416198">
        <w:rPr>
          <w:b/>
          <w:bCs/>
        </w:rPr>
        <w:t>Iniciativat e Transparencës:</w:t>
      </w:r>
      <w:r w:rsidR="00416198" w:rsidRPr="00416198">
        <w:t xml:space="preserve"> </w:t>
      </w:r>
      <w:r w:rsidRPr="00416198">
        <w:t xml:space="preserve">Po bëhen përpjekje për të përmirësuar transparencën e tregut. BQK-ja lançoi një platformë online që u lejon konsumatorëve të </w:t>
      </w:r>
      <w:r w:rsidRPr="00416198">
        <w:lastRenderedPageBreak/>
        <w:t>krahasojnë produktet dhe shërbimet financiare.</w:t>
      </w:r>
      <w:r w:rsidRPr="00416198">
        <w:rPr>
          <w:rFonts w:eastAsia="Google Sans Text" w:cs="Times New Roman"/>
          <w:color w:val="575B5F"/>
          <w:szCs w:val="24"/>
          <w:vertAlign w:val="superscript"/>
        </w:rPr>
        <w:t>52</w:t>
      </w:r>
      <w:r w:rsidR="00416198">
        <w:rPr>
          <w:rFonts w:ascii="Google Sans Text" w:eastAsia="Google Sans Text" w:hAnsi="Google Sans Text"/>
          <w:szCs w:val="24"/>
        </w:rPr>
        <w:t xml:space="preserve"> </w:t>
      </w:r>
      <w:r w:rsidR="00416198" w:rsidRPr="00416198">
        <w:t>P</w:t>
      </w:r>
      <w:r w:rsidRPr="00416198">
        <w:t>ublikime si 'The Kosovo Banker' i SHBK-së synojnë të shpërndajnë informacion në lidhje me sektorin tek një audiencë më e gjerë.</w:t>
      </w:r>
      <w:r w:rsidRPr="00416198">
        <w:rPr>
          <w:rFonts w:eastAsia="Google Sans Text" w:cs="Times New Roman"/>
          <w:color w:val="575B5F"/>
          <w:szCs w:val="24"/>
          <w:vertAlign w:val="superscript"/>
        </w:rPr>
        <w:t>158</w:t>
      </w:r>
    </w:p>
    <w:p w:rsidR="00EB5B87" w:rsidRDefault="00EB5B87" w:rsidP="00416198">
      <w:pPr>
        <w:pBdr>
          <w:top w:val="nil"/>
          <w:left w:val="nil"/>
          <w:bottom w:val="nil"/>
          <w:right w:val="nil"/>
          <w:between w:val="nil"/>
        </w:pBdr>
        <w:spacing w:before="240"/>
        <w:rPr>
          <w:rFonts w:ascii="Google Sans Text" w:eastAsia="Google Sans Text" w:hAnsi="Google Sans Text"/>
          <w:szCs w:val="24"/>
        </w:rPr>
      </w:pPr>
      <w:r>
        <w:rPr>
          <w:rFonts w:ascii="Google Sans Text" w:eastAsia="Google Sans Text" w:hAnsi="Google Sans Text"/>
          <w:szCs w:val="24"/>
        </w:rPr>
        <w:t>Tregu i kredive personale në Kosovë është qartësisht dinamik, i nxitur nga kërkesa e fortë dhe i lehtësuar nga rritja e dixhitalizimit. Megjithatë, sigurimi që kjo rritje të jetë e qëndrueshme dhe gjithëpërfshirëse mbetet një sfidë kryesore. Ndërsa zgjerimi i shpejtë i kredisë është pozitiv në aspektin e thellimit financiar</w:t>
      </w:r>
      <w:r>
        <w:rPr>
          <w:rFonts w:ascii="Google Sans Text" w:eastAsia="Google Sans Text" w:hAnsi="Google Sans Text"/>
          <w:color w:val="575B5F"/>
          <w:szCs w:val="24"/>
          <w:vertAlign w:val="superscript"/>
        </w:rPr>
        <w:t>2</w:t>
      </w:r>
      <w:r>
        <w:rPr>
          <w:rFonts w:ascii="Google Sans Text" w:eastAsia="Google Sans Text" w:hAnsi="Google Sans Text"/>
          <w:szCs w:val="24"/>
        </w:rPr>
        <w:t>, kërkon monitorim të kujdesshëm për të parandaluar mbinxehjen ose përkeqësimin e mundshëm të cilësisë së kredisë. Dixhitalizimi rrit aksesin</w:t>
      </w:r>
      <w:r w:rsidRPr="00416198">
        <w:rPr>
          <w:rFonts w:eastAsia="Google Sans Text" w:cs="Times New Roman"/>
          <w:color w:val="575B5F"/>
          <w:szCs w:val="24"/>
          <w:vertAlign w:val="superscript"/>
        </w:rPr>
        <w:t>52</w:t>
      </w:r>
      <w:r w:rsidR="00416198">
        <w:rPr>
          <w:rFonts w:ascii="Google Sans Text" w:eastAsia="Google Sans Text" w:hAnsi="Google Sans Text"/>
          <w:szCs w:val="24"/>
        </w:rPr>
        <w:t xml:space="preserve"> p</w:t>
      </w:r>
      <w:r>
        <w:rPr>
          <w:rFonts w:ascii="Google Sans Text" w:eastAsia="Google Sans Text" w:hAnsi="Google Sans Text"/>
          <w:szCs w:val="24"/>
        </w:rPr>
        <w:t>or rrezikon përjashtimin e atyre që nuk kanë njohuri ose qasje dixhitale. Iniciativat nga BQK-ja, SHBK-ja dhe IMFI-të e përqendruara në llogaritë bazë, edukimin financiar dhe huadhënien e synuar janë, pra, kritike për tejkalimin e këtyre boshllëqeve dhe për të siguruar që konsumatorët të mund të marrin vendime të informuara.</w:t>
      </w:r>
      <w:r w:rsidRPr="00416198">
        <w:rPr>
          <w:rFonts w:eastAsia="Google Sans Text" w:cs="Times New Roman"/>
          <w:color w:val="575B5F"/>
          <w:szCs w:val="24"/>
          <w:vertAlign w:val="superscript"/>
        </w:rPr>
        <w:t>11</w:t>
      </w:r>
      <w:r w:rsidR="00416198">
        <w:rPr>
          <w:rFonts w:ascii="Google Sans Text" w:eastAsia="Google Sans Text" w:hAnsi="Google Sans Text"/>
          <w:szCs w:val="24"/>
        </w:rPr>
        <w:t xml:space="preserve"> A</w:t>
      </w:r>
      <w:r>
        <w:rPr>
          <w:rFonts w:ascii="Google Sans Text" w:eastAsia="Google Sans Text" w:hAnsi="Google Sans Text"/>
          <w:szCs w:val="24"/>
        </w:rPr>
        <w:t>dresimi i problemeve të mundshme të besimit, të ngjashme me ato të vërejtura në tregjet e tjera</w:t>
      </w:r>
      <w:r w:rsidRPr="00416198">
        <w:rPr>
          <w:rFonts w:eastAsia="Google Sans Text" w:cs="Times New Roman"/>
          <w:color w:val="575B5F"/>
          <w:szCs w:val="24"/>
          <w:vertAlign w:val="superscript"/>
        </w:rPr>
        <w:t>166</w:t>
      </w:r>
      <w:r>
        <w:rPr>
          <w:rFonts w:ascii="Google Sans Text" w:eastAsia="Google Sans Text" w:hAnsi="Google Sans Text"/>
          <w:szCs w:val="24"/>
        </w:rPr>
        <w:t>, nëpërmjet transparencës së shtuar është gjithashtu e rëndësishme për shëndetin afatgjatë të tregut.</w:t>
      </w: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416198">
      <w:pPr>
        <w:pBdr>
          <w:top w:val="nil"/>
          <w:left w:val="nil"/>
          <w:bottom w:val="nil"/>
          <w:right w:val="nil"/>
          <w:between w:val="nil"/>
        </w:pBdr>
        <w:spacing w:before="240"/>
        <w:rPr>
          <w:rFonts w:ascii="Google Sans Text" w:eastAsia="Google Sans Text" w:hAnsi="Google Sans Text"/>
          <w:szCs w:val="24"/>
        </w:rPr>
      </w:pPr>
    </w:p>
    <w:p w:rsidR="00416198" w:rsidRDefault="00416198" w:rsidP="003F6AFA">
      <w:pPr>
        <w:pStyle w:val="Heading2"/>
      </w:pPr>
      <w:bookmarkStart w:id="25" w:name="_Toc198554999"/>
      <w:r w:rsidRPr="00416198">
        <w:lastRenderedPageBreak/>
        <w:t>2.5 Korniza Rregullatore dhe Zhvillimet e Fundit</w:t>
      </w:r>
      <w:bookmarkEnd w:id="25"/>
    </w:p>
    <w:p w:rsidR="00416198" w:rsidRDefault="00416198" w:rsidP="00B86BAF">
      <w:r>
        <w:t>Funksionimi i bankave dhe dhënia e kredive në Kosovë rregullohet nga një kornizë e mbikëqyrur nga BQK-ja, bazuar në disa pjesë kyçe të legjislacionit dhe rregulloreve plotësuese.</w:t>
      </w:r>
    </w:p>
    <w:p w:rsidR="00416198" w:rsidRDefault="00416198" w:rsidP="00B86BAF">
      <w:pPr>
        <w:widowControl w:val="0"/>
        <w:numPr>
          <w:ilvl w:val="0"/>
          <w:numId w:val="14"/>
        </w:numPr>
        <w:pBdr>
          <w:top w:val="nil"/>
          <w:left w:val="nil"/>
          <w:bottom w:val="nil"/>
          <w:right w:val="nil"/>
          <w:between w:val="nil"/>
        </w:pBdr>
        <w:spacing w:after="0"/>
        <w:jc w:val="left"/>
      </w:pPr>
      <w:r w:rsidRPr="00B86BAF">
        <w:rPr>
          <w:b/>
          <w:bCs/>
        </w:rPr>
        <w:t>Legjislacioni kryesor:</w:t>
      </w:r>
      <w:r w:rsidRPr="00B86BAF">
        <w:t xml:space="preserve"> Ligji themelor është Ligji për Bankat, Institucionet Mikrofinanciare dhe Institucionet Financiare Jobankare (fillimisht Ligji Nr. 04/L-093, tani i përditësuar).</w:t>
      </w:r>
      <w:r w:rsidRPr="00416198">
        <w:rPr>
          <w:rFonts w:eastAsia="Google Sans Text" w:cs="Times New Roman"/>
          <w:color w:val="575B5F"/>
          <w:szCs w:val="24"/>
          <w:vertAlign w:val="superscript"/>
        </w:rPr>
        <w:t>65</w:t>
      </w:r>
      <w:r>
        <w:rPr>
          <w:rFonts w:ascii="Google Sans Text" w:eastAsia="Google Sans Text" w:hAnsi="Google Sans Text"/>
          <w:szCs w:val="24"/>
        </w:rPr>
        <w:t xml:space="preserve"> </w:t>
      </w:r>
      <w:r w:rsidRPr="00B86BAF">
        <w:t>Kjo plotësohet nga Ligji për Mbrojtjen e Konsumatorit (Nr. 04/L-121)</w:t>
      </w:r>
      <w:r w:rsidRPr="00416198">
        <w:rPr>
          <w:rFonts w:eastAsia="Google Sans Text" w:cs="Times New Roman"/>
          <w:color w:val="575B5F"/>
          <w:szCs w:val="24"/>
          <w:vertAlign w:val="superscript"/>
        </w:rPr>
        <w:t>10</w:t>
      </w:r>
      <w:r w:rsidRPr="00B86BAF">
        <w:t>, ligjet që kanë të bëjnë me Parandalimin e Pastrimit të Parave dhe Financimin e Terrorizmit (AML/CFT)</w:t>
      </w:r>
      <w:r w:rsidRPr="00B86BAF">
        <w:rPr>
          <w:rFonts w:eastAsia="Google Sans Text" w:cs="Times New Roman"/>
          <w:color w:val="575B5F"/>
          <w:szCs w:val="24"/>
          <w:vertAlign w:val="superscript"/>
        </w:rPr>
        <w:t>71</w:t>
      </w:r>
      <w:r w:rsidRPr="00B86BAF">
        <w:t>, dhe Ligjin për themelimin e Fondit të Garancisë Kreditore të Kosovës (FKGK).</w:t>
      </w:r>
      <w:r w:rsidRPr="00B86BAF">
        <w:rPr>
          <w:rFonts w:eastAsia="Google Sans Text" w:cs="Times New Roman"/>
          <w:color w:val="575B5F"/>
          <w:szCs w:val="24"/>
          <w:vertAlign w:val="superscript"/>
        </w:rPr>
        <w:t>175</w:t>
      </w:r>
    </w:p>
    <w:p w:rsidR="00416198" w:rsidRPr="00B86BAF" w:rsidRDefault="00416198" w:rsidP="00B86BAF">
      <w:pPr>
        <w:widowControl w:val="0"/>
        <w:numPr>
          <w:ilvl w:val="0"/>
          <w:numId w:val="14"/>
        </w:numPr>
        <w:pBdr>
          <w:top w:val="nil"/>
          <w:left w:val="nil"/>
          <w:bottom w:val="nil"/>
          <w:right w:val="nil"/>
          <w:between w:val="nil"/>
        </w:pBdr>
        <w:spacing w:after="0"/>
        <w:jc w:val="left"/>
      </w:pPr>
      <w:r w:rsidRPr="00B86BAF">
        <w:rPr>
          <w:b/>
          <w:bCs/>
        </w:rPr>
        <w:t>Forcimi Rregullator i Kohëve të Fundit:</w:t>
      </w:r>
      <w:r w:rsidR="00B86BAF" w:rsidRPr="00B86BAF">
        <w:t xml:space="preserve"> </w:t>
      </w:r>
      <w:r w:rsidRPr="00B86BAF">
        <w:t>Kosova kohët e fundit ka ndërmarrë reforma të rëndësishme legjislative për të modernizuar kornizën e sektorit të saj financiar, kryesisht duke synuar përafrimin me standardet e BE-së dhe praktikat më të mira ndërkombëtare.</w:t>
      </w:r>
    </w:p>
    <w:p w:rsidR="00416198" w:rsidRDefault="00416198" w:rsidP="00B86BAF">
      <w:pPr>
        <w:widowControl w:val="0"/>
        <w:numPr>
          <w:ilvl w:val="1"/>
          <w:numId w:val="15"/>
        </w:numPr>
        <w:pBdr>
          <w:top w:val="nil"/>
          <w:left w:val="nil"/>
          <w:bottom w:val="nil"/>
          <w:right w:val="nil"/>
          <w:between w:val="nil"/>
        </w:pBdr>
        <w:spacing w:after="0"/>
        <w:jc w:val="left"/>
      </w:pPr>
      <w:r w:rsidRPr="00B86BAF">
        <w:rPr>
          <w:b/>
          <w:bCs/>
        </w:rPr>
        <w:t>Ligji i Ri për Bankat (Ligji 08/L-304):</w:t>
      </w:r>
      <w:r w:rsidR="00B86BAF" w:rsidRPr="00B86BAF">
        <w:t xml:space="preserve"> </w:t>
      </w:r>
      <w:r w:rsidRPr="00B86BAF">
        <w:t>I miratuar së fundmi, ky ligj zëvendëson kuadrin e vjetër (04/L-093) dhe prezanton një regjim rregullator më të fuqishëm. Përmirësimet kryesore përfshijnë forcimin e kompetencave dhe mjeteve të BQK-së për zgjidhjen e bankave (menaxhimin e bankave në dështim), caktimin në mënyrë të qartë të BQK-së një mandat më të fortë për mbikëqyrjen e sjelljes financiare me theks në mbrojtjen e konsumatorit dhe rritjen e kërkesave minimale të kapitalit për bankat me afërsisht 43% për të forcuar qëndrueshmërinë e sektorit.</w:t>
      </w:r>
      <w:r w:rsidRPr="00B86BAF">
        <w:rPr>
          <w:rFonts w:eastAsia="Google Sans Text" w:cs="Times New Roman"/>
          <w:color w:val="575B5F"/>
          <w:szCs w:val="24"/>
          <w:vertAlign w:val="superscript"/>
        </w:rPr>
        <w:t>4</w:t>
      </w:r>
    </w:p>
    <w:p w:rsidR="00416198" w:rsidRDefault="00416198" w:rsidP="00B86BAF">
      <w:pPr>
        <w:widowControl w:val="0"/>
        <w:numPr>
          <w:ilvl w:val="1"/>
          <w:numId w:val="15"/>
        </w:numPr>
        <w:pBdr>
          <w:top w:val="nil"/>
          <w:left w:val="nil"/>
          <w:bottom w:val="nil"/>
          <w:right w:val="nil"/>
          <w:between w:val="nil"/>
        </w:pBdr>
        <w:spacing w:after="0"/>
        <w:jc w:val="left"/>
      </w:pPr>
      <w:r w:rsidRPr="00B86BAF">
        <w:rPr>
          <w:b/>
          <w:bCs/>
        </w:rPr>
        <w:t>Ligji i ri për Shërbimet e Pagesave (Ligji 08/L-328):</w:t>
      </w:r>
      <w:r w:rsidR="00B86BAF" w:rsidRPr="00B86BAF">
        <w:t xml:space="preserve"> </w:t>
      </w:r>
      <w:r w:rsidRPr="00B86BAF">
        <w:t>Ky ligj modernizon rregullimin e shërbimeve të pagesave, duke synuar krijimin e një sistemi më të sigurt dhe efikas. Çështja kryesore është se ai lehtëson transaksionet ndërkufitare, duke mbështetur qëllimin e Kosovës për t'u integruar në Zonën e Vetme të Pagesave në Euro (SEPA). Një risi e madhe është futja e parimeve të Bankës së Hapur, duke u lejuar ofruesve të palëve të treta të rregulluara (me pëlqimin e klientit) të kenë qasje në të dhënat e llogarisë bankare për të ofruar zgjidhje të reja të pagesave dhe menaxhimit financiar - një koncept që më parë mungonte në legjislacionin e Kosovës.</w:t>
      </w:r>
      <w:r w:rsidRPr="00B86BAF">
        <w:rPr>
          <w:rFonts w:eastAsia="Google Sans Text" w:cs="Times New Roman"/>
          <w:color w:val="575B5F"/>
          <w:szCs w:val="24"/>
          <w:vertAlign w:val="superscript"/>
        </w:rPr>
        <w:t>2</w:t>
      </w:r>
    </w:p>
    <w:p w:rsidR="00416198" w:rsidRDefault="00416198" w:rsidP="00B86BAF">
      <w:pPr>
        <w:widowControl w:val="0"/>
        <w:numPr>
          <w:ilvl w:val="1"/>
          <w:numId w:val="15"/>
        </w:numPr>
        <w:pBdr>
          <w:top w:val="nil"/>
          <w:left w:val="nil"/>
          <w:bottom w:val="nil"/>
          <w:right w:val="nil"/>
          <w:between w:val="nil"/>
        </w:pBdr>
        <w:spacing w:after="0"/>
        <w:jc w:val="left"/>
      </w:pPr>
      <w:r w:rsidRPr="00B86BAF">
        <w:rPr>
          <w:b/>
          <w:bCs/>
        </w:rPr>
        <w:t>Mbikëqyrja e Përmirësuar e BQK-së (SREP):</w:t>
      </w:r>
      <w:r w:rsidR="00B86BAF" w:rsidRPr="00B86BAF">
        <w:t xml:space="preserve"> </w:t>
      </w:r>
      <w:r w:rsidRPr="00B86BAF">
        <w:t xml:space="preserve">BQK-ja po zbaton Procesin e </w:t>
      </w:r>
      <w:r w:rsidRPr="00B86BAF">
        <w:lastRenderedPageBreak/>
        <w:t>Rishikimit dhe Vlerësimit Mbikëqyrës (SREP), një metodologji e përdorur brenda BE-së, për të ecur drejt një mbikëqyrjeje më gjithëpërfshirëse dhe të bazuar në rrezik të institucioneve individuale bankare.</w:t>
      </w:r>
      <w:r w:rsidRPr="00B86BAF">
        <w:rPr>
          <w:rFonts w:eastAsia="Google Sans Text" w:cs="Times New Roman"/>
          <w:color w:val="575B5F"/>
          <w:szCs w:val="24"/>
          <w:vertAlign w:val="superscript"/>
        </w:rPr>
        <w:t>2</w:t>
      </w:r>
    </w:p>
    <w:p w:rsidR="00416198" w:rsidRDefault="00416198" w:rsidP="00B86BAF">
      <w:pPr>
        <w:widowControl w:val="0"/>
        <w:numPr>
          <w:ilvl w:val="1"/>
          <w:numId w:val="15"/>
        </w:numPr>
        <w:pBdr>
          <w:top w:val="nil"/>
          <w:left w:val="nil"/>
          <w:bottom w:val="nil"/>
          <w:right w:val="nil"/>
          <w:between w:val="nil"/>
        </w:pBdr>
        <w:spacing w:after="0"/>
        <w:jc w:val="left"/>
      </w:pPr>
      <w:r w:rsidRPr="00B86BAF">
        <w:rPr>
          <w:b/>
          <w:bCs/>
        </w:rPr>
        <w:t>Korniza Makroprudenciale:</w:t>
      </w:r>
      <w:r w:rsidR="00B86BAF" w:rsidRPr="00B86BAF">
        <w:t xml:space="preserve"> </w:t>
      </w:r>
      <w:r w:rsidRPr="00B86BAF">
        <w:t>BQK-ja po zhvillon dhe po vë në funksionim aktivisht një kuadër formal të politikave makroprudenciale për të monitoruar dhe zbutur rreziqet sistemike që rrjedhin nga sektori financiar në tërësi.</w:t>
      </w:r>
      <w:r w:rsidRPr="00B86BAF">
        <w:rPr>
          <w:rFonts w:eastAsia="Google Sans Text" w:cs="Times New Roman"/>
          <w:color w:val="575B5F"/>
          <w:szCs w:val="24"/>
          <w:vertAlign w:val="superscript"/>
        </w:rPr>
        <w:t>2</w:t>
      </w:r>
    </w:p>
    <w:p w:rsidR="00416198" w:rsidRDefault="00416198" w:rsidP="00B86BAF">
      <w:pPr>
        <w:widowControl w:val="0"/>
        <w:numPr>
          <w:ilvl w:val="1"/>
          <w:numId w:val="15"/>
        </w:numPr>
        <w:pBdr>
          <w:top w:val="nil"/>
          <w:left w:val="nil"/>
          <w:bottom w:val="nil"/>
          <w:right w:val="nil"/>
          <w:between w:val="nil"/>
        </w:pBdr>
        <w:spacing w:after="0"/>
        <w:jc w:val="left"/>
      </w:pPr>
      <w:r w:rsidRPr="00B86BAF">
        <w:rPr>
          <w:b/>
          <w:bCs/>
        </w:rPr>
        <w:t>Përgatitja për Kriza:</w:t>
      </w:r>
      <w:r w:rsidR="00B86BAF" w:rsidRPr="00B86BAF">
        <w:t xml:space="preserve"> </w:t>
      </w:r>
      <w:r w:rsidRPr="00B86BAF">
        <w:t>Masat për të forcuar përgatitjen për kriza përfshijnë sigurimin e një instrumenti mbështetës nga BQE-ja (100 milionë euro) dhe rritjen e primeve që bankat paguajnë në Fondin e Sigurimit të Depozitave.</w:t>
      </w:r>
      <w:r w:rsidRPr="00B86BAF">
        <w:rPr>
          <w:rFonts w:eastAsia="Google Sans Text" w:cs="Times New Roman"/>
          <w:color w:val="575B5F"/>
          <w:szCs w:val="24"/>
          <w:vertAlign w:val="superscript"/>
        </w:rPr>
        <w:t>2</w:t>
      </w:r>
    </w:p>
    <w:p w:rsidR="00416198" w:rsidRDefault="00416198" w:rsidP="00B86BAF">
      <w:pPr>
        <w:widowControl w:val="0"/>
        <w:numPr>
          <w:ilvl w:val="1"/>
          <w:numId w:val="15"/>
        </w:numPr>
        <w:pBdr>
          <w:top w:val="nil"/>
          <w:left w:val="nil"/>
          <w:bottom w:val="nil"/>
          <w:right w:val="nil"/>
          <w:between w:val="nil"/>
        </w:pBdr>
        <w:spacing w:after="0"/>
        <w:jc w:val="left"/>
      </w:pPr>
      <w:r w:rsidRPr="00B86BAF">
        <w:rPr>
          <w:b/>
          <w:bCs/>
        </w:rPr>
        <w:t>Menaxhimi i NPL-ve:</w:t>
      </w:r>
      <w:r w:rsidR="00B86BAF" w:rsidRPr="00B86BAF">
        <w:t xml:space="preserve"> </w:t>
      </w:r>
      <w:r w:rsidRPr="00B86BAF">
        <w:t>Rregulloret ekzistuese të BQK-së, siç është Rregullorja për Menaxhimin e Rrezikut të Kredisë</w:t>
      </w:r>
      <w:r w:rsidRPr="00B86BAF">
        <w:rPr>
          <w:rFonts w:eastAsia="Google Sans Text" w:cs="Times New Roman"/>
          <w:color w:val="575B5F"/>
          <w:szCs w:val="24"/>
          <w:vertAlign w:val="superscript"/>
        </w:rPr>
        <w:t>70</w:t>
      </w:r>
      <w:r w:rsidRPr="00B86BAF">
        <w:t>, përkufizojnë kreditë me probleme (zakonisht ekspozimet me vonesë prej më shumë se 90 ditësh)</w:t>
      </w:r>
      <w:r w:rsidRPr="00B86BAF">
        <w:rPr>
          <w:rFonts w:eastAsia="Google Sans Text" w:cs="Times New Roman"/>
          <w:color w:val="575B5F"/>
          <w:szCs w:val="24"/>
          <w:vertAlign w:val="superscript"/>
        </w:rPr>
        <w:t>69</w:t>
      </w:r>
      <w:r w:rsidRPr="00B86BAF">
        <w:t>) dhe i mandatojnë bankat të krijojnë rezerva (distributione) të mjaftueshme për të mbuluar humbjet e mundshme. Bankat duhet të kenë sisteme, strategji dhe politika gjithëpërfshirëse të menaxhimit të rrezikut të kreditit, të miratuara dhe të monitoruara nga bordet e tyre.</w:t>
      </w:r>
      <w:r w:rsidRPr="00B86BAF">
        <w:rPr>
          <w:rFonts w:eastAsia="Google Sans Text" w:cs="Times New Roman"/>
          <w:color w:val="575B5F"/>
          <w:szCs w:val="24"/>
          <w:vertAlign w:val="superscript"/>
        </w:rPr>
        <w:t>68</w:t>
      </w:r>
    </w:p>
    <w:p w:rsidR="00416198" w:rsidRDefault="00416198" w:rsidP="00B86BAF">
      <w:pPr>
        <w:widowControl w:val="0"/>
        <w:numPr>
          <w:ilvl w:val="0"/>
          <w:numId w:val="14"/>
        </w:numPr>
        <w:pBdr>
          <w:top w:val="nil"/>
          <w:left w:val="nil"/>
          <w:bottom w:val="nil"/>
          <w:right w:val="nil"/>
          <w:between w:val="nil"/>
        </w:pBdr>
        <w:spacing w:after="120"/>
        <w:jc w:val="left"/>
      </w:pPr>
      <w:r w:rsidRPr="00B86BAF">
        <w:rPr>
          <w:b/>
          <w:bCs/>
        </w:rPr>
        <w:t>Mbrojtja e Konsumatorit:</w:t>
      </w:r>
      <w:r w:rsidR="00B86BAF" w:rsidRPr="00B86BAF">
        <w:t xml:space="preserve"> </w:t>
      </w:r>
      <w:r w:rsidRPr="00B86BAF">
        <w:t>Të drejtat e konsumatorëve në transaksionet financiare janë të përcaktuara në Ligjin për Mbrojtjen e Konsumatorit (04/L-121).</w:t>
      </w:r>
      <w:r w:rsidRPr="00B86BAF">
        <w:rPr>
          <w:rFonts w:eastAsia="Google Sans Text" w:cs="Times New Roman"/>
          <w:color w:val="575B5F"/>
          <w:szCs w:val="24"/>
          <w:vertAlign w:val="superscript"/>
        </w:rPr>
        <w:t>78</w:t>
      </w:r>
      <w:r w:rsidR="00B86BAF">
        <w:rPr>
          <w:rFonts w:ascii="Google Sans Text" w:eastAsia="Google Sans Text" w:hAnsi="Google Sans Text"/>
          <w:szCs w:val="24"/>
        </w:rPr>
        <w:t xml:space="preserve"> </w:t>
      </w:r>
      <w:r w:rsidR="00B86BAF" w:rsidRPr="00B86BAF">
        <w:t>d</w:t>
      </w:r>
      <w:r w:rsidRPr="00B86BAF">
        <w:t>he specifikohen më tej nga rregulloret e BQK-së. Këto kërkojnë transparencë në kreditim, duke përfshirë zbulimin e normave efektive të interesit.</w:t>
      </w:r>
      <w:r w:rsidRPr="00B86BAF">
        <w:rPr>
          <w:rFonts w:eastAsia="Google Sans Text" w:cs="Times New Roman"/>
          <w:color w:val="575B5F"/>
          <w:szCs w:val="24"/>
          <w:vertAlign w:val="superscript"/>
        </w:rPr>
        <w:t>152</w:t>
      </w:r>
      <w:r w:rsidR="00B86BAF">
        <w:rPr>
          <w:rFonts w:ascii="Google Sans Text" w:eastAsia="Google Sans Text" w:hAnsi="Google Sans Text"/>
          <w:szCs w:val="24"/>
        </w:rPr>
        <w:t xml:space="preserve"> </w:t>
      </w:r>
      <w:r w:rsidR="00B86BAF" w:rsidRPr="00B86BAF">
        <w:t>L</w:t>
      </w:r>
      <w:r w:rsidRPr="00B86BAF">
        <w:t>igji i ri për bankat forcon në mënyrë të qartë mandatin e BQK-së në mbikëqyrjen e sjelljes financiare.</w:t>
      </w:r>
      <w:r w:rsidRPr="00B86BAF">
        <w:rPr>
          <w:rFonts w:eastAsia="Google Sans Text" w:cs="Times New Roman"/>
          <w:color w:val="575B5F"/>
          <w:szCs w:val="24"/>
          <w:vertAlign w:val="superscript"/>
        </w:rPr>
        <w:t>71</w:t>
      </w:r>
      <w:r w:rsidR="00B86BAF">
        <w:rPr>
          <w:rFonts w:ascii="Google Sans Text" w:eastAsia="Google Sans Text" w:hAnsi="Google Sans Text"/>
          <w:szCs w:val="24"/>
        </w:rPr>
        <w:t xml:space="preserve"> </w:t>
      </w:r>
      <w:r w:rsidR="00B86BAF" w:rsidRPr="00B86BAF">
        <w:t>A</w:t>
      </w:r>
      <w:r w:rsidRPr="00B86BAF">
        <w:t>ngazhimi i BQK-së demonstrohet më tej nga anëtarësimi i saj i fundit në FinCoNet.</w:t>
      </w:r>
      <w:r w:rsidRPr="00B86BAF">
        <w:rPr>
          <w:rFonts w:eastAsia="Google Sans Text" w:cs="Times New Roman"/>
          <w:color w:val="575B5F"/>
          <w:szCs w:val="24"/>
          <w:vertAlign w:val="superscript"/>
        </w:rPr>
        <w:t>76</w:t>
      </w:r>
      <w:r w:rsidR="00B86BAF">
        <w:rPr>
          <w:rFonts w:ascii="Google Sans Text" w:eastAsia="Google Sans Text" w:hAnsi="Google Sans Text"/>
          <w:szCs w:val="24"/>
        </w:rPr>
        <w:t xml:space="preserve"> </w:t>
      </w:r>
      <w:r w:rsidR="00B86BAF" w:rsidRPr="00B86BAF">
        <w:t>d</w:t>
      </w:r>
      <w:r w:rsidRPr="00B86BAF">
        <w:t>he iniciativa si Rregullorja për Qasjen në Llogaritë e Pagesave me Shërbime Bazë.</w:t>
      </w:r>
      <w:r w:rsidRPr="00B86BAF">
        <w:rPr>
          <w:rFonts w:eastAsia="Google Sans Text" w:cs="Times New Roman"/>
          <w:color w:val="575B5F"/>
          <w:szCs w:val="24"/>
          <w:vertAlign w:val="superscript"/>
        </w:rPr>
        <w:t>74</w:t>
      </w:r>
    </w:p>
    <w:p w:rsidR="00416198" w:rsidRDefault="00416198" w:rsidP="005022C3">
      <w:pPr>
        <w:pBdr>
          <w:top w:val="nil"/>
          <w:left w:val="nil"/>
          <w:bottom w:val="nil"/>
          <w:right w:val="nil"/>
          <w:between w:val="nil"/>
        </w:pBdr>
        <w:spacing w:before="240"/>
      </w:pPr>
      <w:r w:rsidRPr="00B86BAF">
        <w:t>Vala e fundit e përditësimeve legjislative dhe rregullatore nënkupton një përpjekje të përbashkët nga Kosova për të modernizuar sistemin e saj financiar, për të rritur stabilitetin e saj dhe për t'u përafruar me standardet evropiane. Ligjet e reja për bankat dhe shërbimet e pagesave</w:t>
      </w:r>
      <w:r w:rsidRPr="00B86BAF">
        <w:rPr>
          <w:rFonts w:eastAsia="Google Sans Text" w:cs="Times New Roman"/>
          <w:color w:val="575B5F"/>
          <w:szCs w:val="24"/>
          <w:vertAlign w:val="superscript"/>
        </w:rPr>
        <w:t>71</w:t>
      </w:r>
      <w:r w:rsidRPr="00B86BAF">
        <w:t>, së bashku me zbatimin e SREP-së nga BQK-ja dhe një kuadri makroprudencial</w:t>
      </w:r>
      <w:r w:rsidRPr="00B86BAF">
        <w:rPr>
          <w:rFonts w:eastAsia="Google Sans Text" w:cs="Times New Roman"/>
          <w:color w:val="575B5F"/>
          <w:szCs w:val="24"/>
          <w:vertAlign w:val="superscript"/>
        </w:rPr>
        <w:t>2</w:t>
      </w:r>
      <w:r w:rsidRPr="00B86BAF">
        <w:t>, synojnë të krijojnë një sektor financiar më elastik dhe të mbikëqyrur në mënyrë efektive. Kjo është veçanërisht e rëndësishme duke pasur parasysh kontekstin e rritjes së shpejtë të kredisë. Këto reforma janë hartuar jo vetëm për të ruajtur stabilitetin, por edhe për të forcuar besimin e investitorëve dhe për të mbështetur aspiratat e Kosovës për integrim më të thellë me strukturat financiare evropiane, siç është SEPA.</w:t>
      </w:r>
      <w:r w:rsidRPr="00B86BAF">
        <w:rPr>
          <w:rFonts w:eastAsia="Google Sans Text" w:cs="Times New Roman"/>
          <w:color w:val="575B5F"/>
          <w:szCs w:val="24"/>
          <w:vertAlign w:val="superscript"/>
        </w:rPr>
        <w:t>71</w:t>
      </w:r>
      <w:r w:rsidR="00B86BAF">
        <w:rPr>
          <w:rFonts w:ascii="Google Sans Text" w:eastAsia="Google Sans Text" w:hAnsi="Google Sans Text"/>
          <w:szCs w:val="24"/>
        </w:rPr>
        <w:t xml:space="preserve"> </w:t>
      </w:r>
      <w:r w:rsidR="00B86BAF" w:rsidRPr="00B86BAF">
        <w:t>P</w:t>
      </w:r>
      <w:r w:rsidRPr="00B86BAF">
        <w:t xml:space="preserve">rezantimi </w:t>
      </w:r>
      <w:r w:rsidRPr="00B86BAF">
        <w:lastRenderedPageBreak/>
        <w:t>i Bankës së Hapur</w:t>
      </w:r>
      <w:r w:rsidRPr="00B86BAF">
        <w:rPr>
          <w:rFonts w:eastAsia="Google Sans Text" w:cs="Times New Roman"/>
          <w:color w:val="575B5F"/>
          <w:szCs w:val="24"/>
          <w:vertAlign w:val="superscript"/>
        </w:rPr>
        <w:t>71</w:t>
      </w:r>
      <w:r w:rsidR="00B86BAF">
        <w:rPr>
          <w:rFonts w:ascii="Google Sans Text" w:eastAsia="Google Sans Text" w:hAnsi="Google Sans Text"/>
          <w:szCs w:val="24"/>
        </w:rPr>
        <w:t xml:space="preserve"> </w:t>
      </w:r>
      <w:r w:rsidR="00B86BAF" w:rsidRPr="00B86BAF">
        <w:t>ë</w:t>
      </w:r>
      <w:r w:rsidRPr="00B86BAF">
        <w:t>shtë një hap dukshëm përpara që mund të stimulojë inovacionin në shërbimet financiare.</w:t>
      </w:r>
    </w:p>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Default="008A0862" w:rsidP="005022C3"/>
    <w:p w:rsidR="008A0862" w:rsidRPr="00B86BAF" w:rsidRDefault="008A0862" w:rsidP="003F6AFA">
      <w:pPr>
        <w:pStyle w:val="Heading2"/>
      </w:pPr>
      <w:r>
        <w:lastRenderedPageBreak/>
        <w:t xml:space="preserve"> </w:t>
      </w:r>
      <w:bookmarkStart w:id="26" w:name="_Toc198555000"/>
      <w:r w:rsidRPr="008A0862">
        <w:t xml:space="preserve">2.6 </w:t>
      </w:r>
      <w:r w:rsidR="00077A39" w:rsidRPr="00077A39">
        <w:t>Determinantët e Kërkesës për Kreditim Personal</w:t>
      </w:r>
      <w:bookmarkEnd w:id="26"/>
    </w:p>
    <w:p w:rsidR="005022C3" w:rsidRDefault="005022C3" w:rsidP="005022C3">
      <w:r>
        <w:t>Disa faktorë kontribuojnë në kërkesën e fortë për kredi personale të vërejtur në Kosovë:</w:t>
      </w:r>
    </w:p>
    <w:p w:rsidR="005022C3" w:rsidRDefault="005022C3" w:rsidP="005022C3">
      <w:pPr>
        <w:widowControl w:val="0"/>
        <w:numPr>
          <w:ilvl w:val="0"/>
          <w:numId w:val="16"/>
        </w:numPr>
        <w:pBdr>
          <w:top w:val="nil"/>
          <w:left w:val="nil"/>
          <w:bottom w:val="nil"/>
          <w:right w:val="nil"/>
          <w:between w:val="nil"/>
        </w:pBdr>
        <w:spacing w:after="0"/>
        <w:jc w:val="left"/>
      </w:pPr>
      <w:r w:rsidRPr="005022C3">
        <w:rPr>
          <w:b/>
          <w:bCs/>
        </w:rPr>
        <w:t>Konsum i fortë familjar:</w:t>
      </w:r>
      <w:r w:rsidRPr="005022C3">
        <w:t xml:space="preserve"> Konsumi është motori kryesor i rritjes ekonomike të Kosovës, dhe kreditë personale shpesh përdoren për të financuar shpenzimet e konsumatorëve.</w:t>
      </w:r>
      <w:r w:rsidRPr="005022C3">
        <w:rPr>
          <w:rFonts w:eastAsia="Google Sans Text" w:cs="Times New Roman"/>
          <w:color w:val="575B5F"/>
          <w:szCs w:val="24"/>
          <w:vertAlign w:val="superscript"/>
        </w:rPr>
        <w:t>2</w:t>
      </w:r>
      <w:r>
        <w:rPr>
          <w:rFonts w:ascii="Google Sans Text" w:eastAsia="Google Sans Text" w:hAnsi="Google Sans Text"/>
          <w:szCs w:val="24"/>
        </w:rPr>
        <w:t xml:space="preserve"> </w:t>
      </w:r>
      <w:r w:rsidRPr="005022C3">
        <w:t>Ky konsum mbështetet nga rritja e të ardhurave reale, papunësia relativisht e ulët dhe flukset e konsiderueshme të remitancave.</w:t>
      </w:r>
      <w:r w:rsidRPr="005022C3">
        <w:rPr>
          <w:rFonts w:eastAsia="Google Sans Text" w:cs="Times New Roman"/>
          <w:color w:val="575B5F"/>
          <w:szCs w:val="24"/>
          <w:vertAlign w:val="superscript"/>
        </w:rPr>
        <w:t>86</w:t>
      </w:r>
    </w:p>
    <w:p w:rsidR="005022C3" w:rsidRDefault="005022C3" w:rsidP="005022C3">
      <w:pPr>
        <w:widowControl w:val="0"/>
        <w:numPr>
          <w:ilvl w:val="0"/>
          <w:numId w:val="16"/>
        </w:numPr>
        <w:pBdr>
          <w:top w:val="nil"/>
          <w:left w:val="nil"/>
          <w:bottom w:val="nil"/>
          <w:right w:val="nil"/>
          <w:between w:val="nil"/>
        </w:pBdr>
        <w:spacing w:after="0"/>
        <w:jc w:val="left"/>
      </w:pPr>
      <w:r w:rsidRPr="005022C3">
        <w:rPr>
          <w:b/>
          <w:bCs/>
        </w:rPr>
        <w:t>Remitancat:</w:t>
      </w:r>
      <w:r w:rsidRPr="005022C3">
        <w:t xml:space="preserve"> Flukset hyrëse nga diaspora e madhe kosovare që jeton jashtë vendit janë një komponent kritik i ekonomisë, duke rritur ndjeshëm fuqinë blerëse të familjeve dhe duke siguruar një burim të qëndrueshëm fondesh që rrit aftësinë e huamarrësve për të shërbyer borxhin.</w:t>
      </w:r>
      <w:r w:rsidRPr="005022C3">
        <w:rPr>
          <w:rFonts w:eastAsia="Google Sans Text" w:cs="Times New Roman"/>
          <w:color w:val="575B5F"/>
          <w:szCs w:val="24"/>
          <w:vertAlign w:val="superscript"/>
        </w:rPr>
        <w:t>2</w:t>
      </w:r>
    </w:p>
    <w:p w:rsidR="005022C3" w:rsidRDefault="005022C3" w:rsidP="005022C3">
      <w:pPr>
        <w:widowControl w:val="0"/>
        <w:numPr>
          <w:ilvl w:val="0"/>
          <w:numId w:val="16"/>
        </w:numPr>
        <w:pBdr>
          <w:top w:val="nil"/>
          <w:left w:val="nil"/>
          <w:bottom w:val="nil"/>
          <w:right w:val="nil"/>
          <w:between w:val="nil"/>
        </w:pBdr>
        <w:spacing w:after="0"/>
        <w:jc w:val="left"/>
      </w:pPr>
      <w:r w:rsidRPr="005022C3">
        <w:rPr>
          <w:b/>
          <w:bCs/>
        </w:rPr>
        <w:t>Konsolidimi i Borxhit:</w:t>
      </w:r>
      <w:r w:rsidRPr="005022C3">
        <w:t xml:space="preserve"> Huamarrësit mund të kërkojnë kredi personale për të konsoliduar borxhe të shumta ekzistuese, potencialisht me norma interesi më të larta, në një kredi të vetme me një strukturë pagese më të menaxhueshme.</w:t>
      </w:r>
      <w:r w:rsidRPr="005022C3">
        <w:rPr>
          <w:rFonts w:eastAsia="Google Sans Text" w:cs="Times New Roman"/>
          <w:color w:val="575B5F"/>
          <w:szCs w:val="24"/>
          <w:vertAlign w:val="superscript"/>
        </w:rPr>
        <w:t>162</w:t>
      </w:r>
    </w:p>
    <w:p w:rsidR="005022C3" w:rsidRDefault="005022C3" w:rsidP="005022C3">
      <w:pPr>
        <w:widowControl w:val="0"/>
        <w:numPr>
          <w:ilvl w:val="0"/>
          <w:numId w:val="16"/>
        </w:numPr>
        <w:pBdr>
          <w:top w:val="nil"/>
          <w:left w:val="nil"/>
          <w:bottom w:val="nil"/>
          <w:right w:val="nil"/>
          <w:between w:val="nil"/>
        </w:pBdr>
        <w:spacing w:after="0"/>
        <w:jc w:val="left"/>
      </w:pPr>
      <w:r w:rsidRPr="005022C3">
        <w:rPr>
          <w:b/>
          <w:bCs/>
        </w:rPr>
        <w:t>Ngjarjet e Jetës dhe Blerjet e Mëdha:</w:t>
      </w:r>
      <w:r w:rsidRPr="005022C3">
        <w:t xml:space="preserve"> Kreditë personale ofrojnë financim për shpenzime të konsiderueshme personale që familjet mund të mos jenë në gjendje t'i mbulojnë nga të ardhurat ose kursimet e rregullta. Kjo përfshin financimin e dasmave, udhëtimeve, kostove të arsimit të lartë, rinovimeve të shtëpive ose blerjes së automjeteve.</w:t>
      </w:r>
      <w:r w:rsidRPr="005022C3">
        <w:rPr>
          <w:rFonts w:eastAsia="Google Sans Text" w:cs="Times New Roman"/>
          <w:color w:val="575B5F"/>
          <w:szCs w:val="24"/>
          <w:vertAlign w:val="superscript"/>
        </w:rPr>
        <w:t>20</w:t>
      </w:r>
    </w:p>
    <w:p w:rsidR="005022C3" w:rsidRDefault="005022C3" w:rsidP="005022C3">
      <w:pPr>
        <w:widowControl w:val="0"/>
        <w:numPr>
          <w:ilvl w:val="0"/>
          <w:numId w:val="16"/>
        </w:numPr>
        <w:pBdr>
          <w:top w:val="nil"/>
          <w:left w:val="nil"/>
          <w:bottom w:val="nil"/>
          <w:right w:val="nil"/>
          <w:between w:val="nil"/>
        </w:pBdr>
        <w:spacing w:after="120"/>
        <w:jc w:val="left"/>
      </w:pPr>
      <w:r w:rsidRPr="005022C3">
        <w:rPr>
          <w:b/>
          <w:bCs/>
        </w:rPr>
        <w:t>Aksesueshmëri e shtuar dhe thellim financiar:</w:t>
      </w:r>
      <w:r w:rsidRPr="005022C3">
        <w:t xml:space="preserve"> Zhvillimi i vazhdueshëm i sektorit financiar të Kosovës, duke përfshirë zgjerimin e rrjeteve bankare dhe të IMFI-ve, së bashku me rritjen e dixhitalizimit (duke i bërë aplikimet për kredi më të lehta dhe më të shpejta), ka rritur aksesin në kredi për një segment më të gjerë të popullsisë.</w:t>
      </w:r>
      <w:r w:rsidRPr="005022C3">
        <w:rPr>
          <w:rFonts w:eastAsia="Google Sans Text" w:cs="Times New Roman"/>
          <w:color w:val="575B5F"/>
          <w:szCs w:val="24"/>
          <w:vertAlign w:val="superscript"/>
        </w:rPr>
        <w:t>2</w:t>
      </w:r>
      <w:r>
        <w:rPr>
          <w:rFonts w:ascii="Google Sans Text" w:eastAsia="Google Sans Text" w:hAnsi="Google Sans Text"/>
          <w:szCs w:val="24"/>
        </w:rPr>
        <w:t xml:space="preserve"> </w:t>
      </w:r>
      <w:r w:rsidRPr="005022C3">
        <w:t>Iniciativat e përfshirjes financiare kontribuojnë më tej në këtë trend.</w:t>
      </w:r>
      <w:r w:rsidRPr="005022C3">
        <w:rPr>
          <w:rFonts w:eastAsia="Google Sans Text" w:cs="Times New Roman"/>
          <w:color w:val="575B5F"/>
          <w:szCs w:val="24"/>
          <w:vertAlign w:val="superscript"/>
        </w:rPr>
        <w:t>162</w:t>
      </w:r>
    </w:p>
    <w:p w:rsidR="005022C3" w:rsidRPr="005022C3" w:rsidRDefault="005022C3" w:rsidP="005022C3">
      <w:pPr>
        <w:pBdr>
          <w:top w:val="nil"/>
          <w:left w:val="nil"/>
          <w:bottom w:val="nil"/>
          <w:right w:val="nil"/>
          <w:between w:val="nil"/>
        </w:pBdr>
        <w:spacing w:before="240"/>
      </w:pPr>
      <w:r w:rsidRPr="005022C3">
        <w:t>Ndërsa konsumi, i mbështetur shumë nga remitancat, qëndron si nxitësi kryesor i kërkesës për kredi personale, kjo varësi sjell një shkallë cenueshmërie. Rënia ekonomike në vendet pritëse të diasporës mund të ndikojë negativisht në flukset e remitancave, duke ndikuar kështu si në kërkesën për kredi të reja ashtu edhe në aftësinë e huamarrësve ekzistues për të shlyer.</w:t>
      </w:r>
      <w:r w:rsidRPr="005022C3">
        <w:rPr>
          <w:rFonts w:eastAsia="Google Sans Text" w:cs="Times New Roman"/>
          <w:color w:val="575B5F"/>
          <w:szCs w:val="24"/>
          <w:vertAlign w:val="superscript"/>
        </w:rPr>
        <w:t>86</w:t>
      </w:r>
      <w:r>
        <w:rPr>
          <w:rFonts w:ascii="Google Sans Text" w:eastAsia="Google Sans Text" w:hAnsi="Google Sans Text"/>
          <w:szCs w:val="24"/>
        </w:rPr>
        <w:t xml:space="preserve"> </w:t>
      </w:r>
      <w:r w:rsidRPr="005022C3">
        <w:t>Rritja e aksesueshmërisë e lehtësuar nga dixhitalizimi</w:t>
      </w:r>
      <w:r w:rsidRPr="005022C3">
        <w:rPr>
          <w:rFonts w:eastAsia="Google Sans Text" w:cs="Times New Roman"/>
          <w:color w:val="575B5F"/>
          <w:szCs w:val="24"/>
          <w:vertAlign w:val="superscript"/>
        </w:rPr>
        <w:t>52</w:t>
      </w:r>
      <w:r>
        <w:rPr>
          <w:rFonts w:ascii="Google Sans Text" w:eastAsia="Google Sans Text" w:hAnsi="Google Sans Text"/>
          <w:szCs w:val="24"/>
        </w:rPr>
        <w:t xml:space="preserve"> </w:t>
      </w:r>
      <w:r w:rsidRPr="005022C3">
        <w:t>po zgjeron tregun, por kërkon menaxhim të kujdesshëm të riskut nga huadhënësit për të shmangur problemet e mundshme të cilësisë së kredisë, edhe pse anketat e fundit sugjerojnë se standardet kanë mbetur përgjithësisht të qëndrueshme.</w:t>
      </w:r>
      <w:r w:rsidRPr="005022C3">
        <w:rPr>
          <w:rFonts w:eastAsia="Google Sans Text" w:cs="Times New Roman"/>
          <w:color w:val="575B5F"/>
          <w:szCs w:val="24"/>
          <w:vertAlign w:val="superscript"/>
        </w:rPr>
        <w:t>52</w:t>
      </w:r>
      <w:r>
        <w:rPr>
          <w:rFonts w:ascii="Google Sans Text" w:eastAsia="Google Sans Text" w:hAnsi="Google Sans Text"/>
          <w:szCs w:val="24"/>
        </w:rPr>
        <w:t xml:space="preserve"> </w:t>
      </w:r>
      <w:r w:rsidRPr="005022C3">
        <w:t xml:space="preserve">Një studim i mëparshëm akademik (2007-2017) vuri në dukje një korrelacion negativ midis rritjes së kredisë konsumatore dhe pjesës së </w:t>
      </w:r>
      <w:r w:rsidRPr="005022C3">
        <w:lastRenderedPageBreak/>
        <w:t>konsumit në PBB, duke sugjeruar se gjatë asaj periudhe, rritja e huamarrjes nuk e rriti në mënyrë proporcionale raportin e konsumit.</w:t>
      </w:r>
      <w:r w:rsidRPr="005022C3">
        <w:rPr>
          <w:rFonts w:eastAsia="Google Sans Text" w:cs="Times New Roman"/>
          <w:color w:val="575B5F"/>
          <w:szCs w:val="24"/>
          <w:vertAlign w:val="superscript"/>
        </w:rPr>
        <w:t>179</w:t>
      </w:r>
      <w:r>
        <w:rPr>
          <w:rFonts w:ascii="Google Sans Text" w:eastAsia="Google Sans Text" w:hAnsi="Google Sans Text"/>
          <w:szCs w:val="24"/>
        </w:rPr>
        <w:t xml:space="preserve"> </w:t>
      </w:r>
      <w:r w:rsidRPr="005022C3">
        <w:t>Ky zbulim mund të pasqyrojë përdorime specifike të kredive (si konsolidimi i borxhit që nuk nxit drejtpërdrejt konsumin e ri) ose dinamika më të gjera ekonomike mbizotëruese në atë kohë, duke kërkuar interpretim të kujdesshëm në sfondin aktual të kërkesës së fortë të udhëhequr nga konsumi.</w:t>
      </w:r>
    </w:p>
    <w:p w:rsidR="00416198" w:rsidRDefault="00416198" w:rsidP="005022C3">
      <w:pPr>
        <w:pBdr>
          <w:top w:val="nil"/>
          <w:left w:val="nil"/>
          <w:bottom w:val="nil"/>
          <w:right w:val="nil"/>
          <w:between w:val="nil"/>
        </w:pBdr>
        <w:spacing w:before="240"/>
        <w:rPr>
          <w:rFonts w:ascii="Google Sans Text" w:eastAsia="Google Sans Text" w:hAnsi="Google Sans Text"/>
          <w:szCs w:val="24"/>
        </w:rPr>
      </w:pPr>
    </w:p>
    <w:p w:rsidR="00416198" w:rsidRDefault="00416198" w:rsidP="005022C3">
      <w:pPr>
        <w:pBdr>
          <w:top w:val="nil"/>
          <w:left w:val="nil"/>
          <w:bottom w:val="nil"/>
          <w:right w:val="nil"/>
          <w:between w:val="nil"/>
        </w:pBdr>
        <w:spacing w:before="240"/>
        <w:rPr>
          <w:rFonts w:ascii="Google Sans Text" w:eastAsia="Google Sans Text" w:hAnsi="Google Sans Text"/>
          <w:szCs w:val="24"/>
        </w:rPr>
      </w:pPr>
    </w:p>
    <w:p w:rsidR="00416198" w:rsidRDefault="00416198"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5022C3">
      <w:pPr>
        <w:pBdr>
          <w:top w:val="nil"/>
          <w:left w:val="nil"/>
          <w:bottom w:val="nil"/>
          <w:right w:val="nil"/>
          <w:between w:val="nil"/>
        </w:pBdr>
        <w:spacing w:before="240"/>
        <w:rPr>
          <w:rFonts w:ascii="Google Sans Text" w:eastAsia="Google Sans Text" w:hAnsi="Google Sans Text"/>
          <w:szCs w:val="24"/>
        </w:rPr>
      </w:pPr>
    </w:p>
    <w:p w:rsidR="005022C3" w:rsidRDefault="005022C3" w:rsidP="00A60DDA">
      <w:pPr>
        <w:pBdr>
          <w:top w:val="nil"/>
          <w:left w:val="nil"/>
          <w:bottom w:val="nil"/>
          <w:right w:val="nil"/>
          <w:between w:val="nil"/>
        </w:pBdr>
        <w:spacing w:before="240"/>
        <w:rPr>
          <w:rFonts w:ascii="Google Sans Text" w:eastAsia="Google Sans Text" w:hAnsi="Google Sans Text"/>
          <w:szCs w:val="24"/>
        </w:rPr>
      </w:pPr>
    </w:p>
    <w:p w:rsidR="005022C3" w:rsidRDefault="005022C3" w:rsidP="00A60DDA">
      <w:pPr>
        <w:pBdr>
          <w:top w:val="nil"/>
          <w:left w:val="nil"/>
          <w:bottom w:val="nil"/>
          <w:right w:val="nil"/>
          <w:between w:val="nil"/>
        </w:pBdr>
        <w:spacing w:before="240"/>
        <w:rPr>
          <w:rFonts w:ascii="Google Sans Text" w:eastAsia="Google Sans Text" w:hAnsi="Google Sans Text"/>
          <w:szCs w:val="24"/>
        </w:rPr>
      </w:pPr>
    </w:p>
    <w:p w:rsidR="005022C3" w:rsidRDefault="005022C3" w:rsidP="003F6AFA">
      <w:pPr>
        <w:pStyle w:val="Heading2"/>
        <w:rPr>
          <w:rFonts w:cs="Google Sans Text"/>
          <w:color w:val="1B1C1D"/>
          <w:sz w:val="24"/>
        </w:rPr>
      </w:pPr>
      <w:bookmarkStart w:id="27" w:name="_Toc198555001"/>
      <w:r w:rsidRPr="005022C3">
        <w:lastRenderedPageBreak/>
        <w:t>2.7 Të dhëna nga anketat e fundit të kreditimit bankar (T4 2024 / T1 2025)</w:t>
      </w:r>
      <w:bookmarkEnd w:id="27"/>
    </w:p>
    <w:p w:rsidR="005022C3" w:rsidRPr="005022C3" w:rsidRDefault="005022C3" w:rsidP="00A60DDA">
      <w:pPr>
        <w:pBdr>
          <w:top w:val="nil"/>
          <w:left w:val="nil"/>
          <w:bottom w:val="nil"/>
          <w:right w:val="nil"/>
          <w:between w:val="nil"/>
        </w:pBdr>
        <w:spacing w:after="120"/>
      </w:pPr>
      <w:r w:rsidRPr="005022C3">
        <w:t>Anketa e Huadhënies Bankare (BLSK) Nr. 22 e BQK-së, që mbulon tremujorin e katërt të vitit 2024 dhe pritjet për tremujorin e parë të vitit 2025, ofron njohuri të vlefshme mbi ndjenjën dhe trendet e tregut nga perspektiva e institucioneve huadhënëse.</w:t>
      </w:r>
      <w:r w:rsidRPr="005022C3">
        <w:rPr>
          <w:rFonts w:eastAsia="Google Sans Text" w:cs="Times New Roman"/>
          <w:color w:val="575B5F"/>
          <w:szCs w:val="24"/>
          <w:vertAlign w:val="superscript"/>
        </w:rPr>
        <w:t>52</w:t>
      </w:r>
      <w:r w:rsidRPr="005022C3">
        <w:t>:</w:t>
      </w:r>
    </w:p>
    <w:p w:rsidR="005022C3" w:rsidRDefault="005022C3" w:rsidP="00A60DDA">
      <w:pPr>
        <w:widowControl w:val="0"/>
        <w:numPr>
          <w:ilvl w:val="0"/>
          <w:numId w:val="17"/>
        </w:numPr>
        <w:pBdr>
          <w:top w:val="nil"/>
          <w:left w:val="nil"/>
          <w:bottom w:val="nil"/>
          <w:right w:val="nil"/>
          <w:between w:val="nil"/>
        </w:pBdr>
        <w:spacing w:after="0"/>
        <w:jc w:val="left"/>
      </w:pPr>
      <w:r w:rsidRPr="005022C3">
        <w:rPr>
          <w:b/>
          <w:bCs/>
        </w:rPr>
        <w:t>Trendi i Përgjithshëm (T4 2024):</w:t>
      </w:r>
      <w:r w:rsidRPr="005022C3">
        <w:t xml:space="preserve"> Bankat raportuan se kushtet e tyre të ofertës së kreditimit (standardet, afatet dhe kushtet e kreditimit) mbetën kryesisht të pandryshuara si për ndërmarrjet ashtu edhe për familjet. Megjithatë, ato vunë re një rritje të ndjeshme të kërkesës për kredi, veçanërisht nga sektori i ndërmarrjeve.</w:t>
      </w:r>
      <w:r w:rsidRPr="005022C3">
        <w:rPr>
          <w:rFonts w:eastAsia="Google Sans Text" w:cs="Times New Roman"/>
          <w:color w:val="575B5F"/>
          <w:szCs w:val="24"/>
          <w:vertAlign w:val="superscript"/>
        </w:rPr>
        <w:t>52</w:t>
      </w:r>
    </w:p>
    <w:p w:rsidR="005022C3" w:rsidRDefault="005022C3" w:rsidP="00A60DDA">
      <w:pPr>
        <w:widowControl w:val="0"/>
        <w:numPr>
          <w:ilvl w:val="0"/>
          <w:numId w:val="17"/>
        </w:numPr>
        <w:pBdr>
          <w:top w:val="nil"/>
          <w:left w:val="nil"/>
          <w:bottom w:val="nil"/>
          <w:right w:val="nil"/>
          <w:between w:val="nil"/>
        </w:pBdr>
        <w:spacing w:after="0"/>
        <w:jc w:val="left"/>
      </w:pPr>
      <w:r w:rsidRPr="005022C3">
        <w:rPr>
          <w:b/>
          <w:bCs/>
        </w:rPr>
        <w:t>Kredi për Ndërmarrjet:</w:t>
      </w:r>
    </w:p>
    <w:p w:rsidR="005022C3" w:rsidRDefault="005022C3" w:rsidP="00A60DDA">
      <w:pPr>
        <w:widowControl w:val="0"/>
        <w:numPr>
          <w:ilvl w:val="1"/>
          <w:numId w:val="18"/>
        </w:numPr>
        <w:pBdr>
          <w:top w:val="nil"/>
          <w:left w:val="nil"/>
          <w:bottom w:val="nil"/>
          <w:right w:val="nil"/>
          <w:between w:val="nil"/>
        </w:pBdr>
        <w:spacing w:after="0"/>
        <w:jc w:val="left"/>
      </w:pPr>
      <w:r w:rsidRPr="005022C3">
        <w:rPr>
          <w:i/>
          <w:iCs/>
        </w:rPr>
        <w:t>Oferta: Standardet e kredisë mbetën kryesisht të pandryshuara në përgjithësi në tremujorin e katërt, megjithëse u vu re një lehtësim i lehtë për NVM-të, i mbështetur nga faktorë si garancitë e KCGF-së, rënia e Euribor-it dhe likuiditeti i mirë. Një shtrëngim i lehtë u parashikua për tremujorin e parë të vitit 2025, veçanërisht për NVM-të. Kushtet dhe afatet gjithashtu panë lehtësim të lehtë për NVM-të në tremujorin e katërt (norma më të ulëta, kolateral i lehtësuar), me pritje për kushte kryesisht të pandryshuara në tremujorin e parë të vitit 2025, përveç disa lehtësimeve për kolateralin.</w:t>
      </w:r>
      <w:r w:rsidRPr="005022C3">
        <w:rPr>
          <w:rFonts w:eastAsia="Google Sans Text" w:cs="Times New Roman"/>
          <w:color w:val="575B5F"/>
          <w:szCs w:val="24"/>
          <w:vertAlign w:val="superscript"/>
        </w:rPr>
        <w:t>52</w:t>
      </w:r>
    </w:p>
    <w:p w:rsidR="005022C3" w:rsidRDefault="005022C3" w:rsidP="00A60DDA">
      <w:pPr>
        <w:widowControl w:val="0"/>
        <w:numPr>
          <w:ilvl w:val="1"/>
          <w:numId w:val="18"/>
        </w:numPr>
        <w:pBdr>
          <w:top w:val="nil"/>
          <w:left w:val="nil"/>
          <w:bottom w:val="nil"/>
          <w:right w:val="nil"/>
          <w:between w:val="nil"/>
        </w:pBdr>
        <w:spacing w:after="0"/>
        <w:jc w:val="left"/>
      </w:pPr>
      <w:r w:rsidRPr="002D6957">
        <w:rPr>
          <w:i/>
          <w:iCs/>
        </w:rPr>
        <w:t>Kërkesa: Kërkesa nga ndërmarrjet ishte e lartë në tremujorin e katërt, e nxitur nga nevojat për financim për investime fikse dhe kapital qarkullues, veçanërisht midis NVM-ve. Megjithatë, bankat prisnin një rënie të ndjeshme të kërkesës së përgjithshme të ndërmarrjeve në tremujorin e parë të vitit 2025, ku vetëm NVM-të treguan rritje të lehtë të parashikuar.</w:t>
      </w:r>
      <w:r w:rsidRPr="002D6957">
        <w:rPr>
          <w:rFonts w:eastAsia="Google Sans Text" w:cs="Times New Roman"/>
          <w:color w:val="575B5F"/>
          <w:szCs w:val="24"/>
          <w:vertAlign w:val="superscript"/>
        </w:rPr>
        <w:t>52</w:t>
      </w:r>
    </w:p>
    <w:p w:rsidR="005022C3" w:rsidRDefault="005022C3" w:rsidP="00A60DDA">
      <w:pPr>
        <w:widowControl w:val="0"/>
        <w:numPr>
          <w:ilvl w:val="1"/>
          <w:numId w:val="18"/>
        </w:numPr>
        <w:pBdr>
          <w:top w:val="nil"/>
          <w:left w:val="nil"/>
          <w:bottom w:val="nil"/>
          <w:right w:val="nil"/>
          <w:between w:val="nil"/>
        </w:pBdr>
        <w:spacing w:after="0"/>
        <w:jc w:val="left"/>
      </w:pPr>
      <w:r w:rsidRPr="002D6957">
        <w:rPr>
          <w:i/>
          <w:iCs/>
        </w:rPr>
        <w:t>Cilësia: Bankat raportuan një rënie në raportin e kredive me probleme për ndërmarrjet në tremujorin e katërt, me pritje për stabilitet në tremujorin e parë të vitit 2025.</w:t>
      </w:r>
      <w:r w:rsidRPr="002D6957">
        <w:rPr>
          <w:rFonts w:eastAsia="Google Sans Text" w:cs="Times New Roman"/>
          <w:color w:val="575B5F"/>
          <w:szCs w:val="24"/>
          <w:vertAlign w:val="superscript"/>
        </w:rPr>
        <w:t>52</w:t>
      </w:r>
    </w:p>
    <w:p w:rsidR="005022C3" w:rsidRDefault="005022C3" w:rsidP="00A60DDA">
      <w:pPr>
        <w:widowControl w:val="0"/>
        <w:numPr>
          <w:ilvl w:val="0"/>
          <w:numId w:val="17"/>
        </w:numPr>
        <w:pBdr>
          <w:top w:val="nil"/>
          <w:left w:val="nil"/>
          <w:bottom w:val="nil"/>
          <w:right w:val="nil"/>
          <w:between w:val="nil"/>
        </w:pBdr>
        <w:spacing w:after="0"/>
        <w:jc w:val="left"/>
      </w:pPr>
      <w:r w:rsidRPr="002D6957">
        <w:rPr>
          <w:b/>
          <w:bCs/>
        </w:rPr>
        <w:t>Kredi për Familjet:</w:t>
      </w:r>
    </w:p>
    <w:p w:rsidR="005022C3" w:rsidRDefault="005022C3" w:rsidP="00A60DDA">
      <w:pPr>
        <w:widowControl w:val="0"/>
        <w:numPr>
          <w:ilvl w:val="1"/>
          <w:numId w:val="19"/>
        </w:numPr>
        <w:pBdr>
          <w:top w:val="nil"/>
          <w:left w:val="nil"/>
          <w:bottom w:val="nil"/>
          <w:right w:val="nil"/>
          <w:between w:val="nil"/>
        </w:pBdr>
        <w:spacing w:after="0"/>
        <w:jc w:val="left"/>
      </w:pPr>
      <w:r w:rsidRPr="002D6957">
        <w:rPr>
          <w:i/>
          <w:iCs/>
        </w:rPr>
        <w:t xml:space="preserve">Oferta: Standardet e kredisë si për kreditë për strehim ashtu edhe për ato për konsumatorë mbetën kryesisht të pandryshuara në tremujorin e katërt. Faktorët pozitivë si perspektiva pozitive e tregut të bankave, rritja e besimit të huamarrësve dhe konkurrenca u balancuan nga shqetësimet në lidhje me cilësinë e portofolit të kredisë. Standardet pritej të mbeteshin të pandryshuara në tremujorin e parë të vitit 2025 (me një bankë sistemike që planifikonte </w:t>
      </w:r>
      <w:r w:rsidRPr="002D6957">
        <w:rPr>
          <w:i/>
          <w:iCs/>
        </w:rPr>
        <w:lastRenderedPageBreak/>
        <w:t>lehtësim). Kushtet dhe afatet gjithashtu mbetën përgjithësisht të pandryshuara në tremujorin e katërt (përsëri, me një bankë sistemike që lehtësoi kushtet e kredisë për konsumatorë), të ndikuara nga faktorë të ngjashëm konkurrues (perspektivë pozitive/konkurrencë kundrejt shqetësimeve për cilësinë/tolerancë ndaj riskut). Vetëm një lehtësim i maturimit të kredisë për strehim pritej në tremujorin e parë të vitit 2025. Normat e miratimit të kredisë u rritën në tremujorin e katërt.</w:t>
      </w:r>
      <w:r w:rsidRPr="002D6957">
        <w:rPr>
          <w:rFonts w:eastAsia="Google Sans Text" w:cs="Times New Roman"/>
          <w:color w:val="575B5F"/>
          <w:szCs w:val="24"/>
          <w:vertAlign w:val="superscript"/>
        </w:rPr>
        <w:t>52</w:t>
      </w:r>
    </w:p>
    <w:p w:rsidR="005022C3" w:rsidRDefault="005022C3" w:rsidP="00A60DDA">
      <w:pPr>
        <w:widowControl w:val="0"/>
        <w:numPr>
          <w:ilvl w:val="1"/>
          <w:numId w:val="19"/>
        </w:numPr>
        <w:pBdr>
          <w:top w:val="nil"/>
          <w:left w:val="nil"/>
          <w:bottom w:val="nil"/>
          <w:right w:val="nil"/>
          <w:between w:val="nil"/>
        </w:pBdr>
        <w:spacing w:after="0"/>
        <w:jc w:val="left"/>
      </w:pPr>
      <w:r w:rsidRPr="002D6957">
        <w:rPr>
          <w:i/>
          <w:iCs/>
        </w:rPr>
        <w:t>Kërkesa: Në dallim nga sektori i ndërmarrjeve, kërkesa për kredi nga familjet u rrit në tremujorin e katërt si për kredinë konsumatore ashtu edhe për kreditë për strehim, e nxitur nga besimi i konsumatorit, shpenzimet e konsumit dhe një perspektivë pozitive e tregut të pasurive të paluajtshme. Çështja kryesore është se bankat parashikuan një përshpejtim të rritjes së kërkesës për kredi nga familjet në tremujorin e parë të vitit 2025, veçanërisht për kredinë konsumatore dhe kreditë afatshkurtra.</w:t>
      </w:r>
      <w:r w:rsidRPr="002D6957">
        <w:rPr>
          <w:rFonts w:eastAsia="Google Sans Text" w:cs="Times New Roman"/>
          <w:color w:val="575B5F"/>
          <w:szCs w:val="24"/>
          <w:vertAlign w:val="superscript"/>
        </w:rPr>
        <w:t>52</w:t>
      </w:r>
    </w:p>
    <w:p w:rsidR="005022C3" w:rsidRDefault="005022C3" w:rsidP="00A60DDA">
      <w:pPr>
        <w:widowControl w:val="0"/>
        <w:numPr>
          <w:ilvl w:val="1"/>
          <w:numId w:val="19"/>
        </w:numPr>
        <w:pBdr>
          <w:top w:val="nil"/>
          <w:left w:val="nil"/>
          <w:bottom w:val="nil"/>
          <w:right w:val="nil"/>
          <w:between w:val="nil"/>
        </w:pBdr>
        <w:spacing w:after="0"/>
        <w:jc w:val="left"/>
      </w:pPr>
      <w:r w:rsidRPr="002D6957">
        <w:rPr>
          <w:i/>
          <w:iCs/>
        </w:rPr>
        <w:t>Cilësia: Disa banka me rëndësi sistemike raportuan një rënie të kredive me probleme për familjet në tremujorin e katërt, ndërsa të tjerat nuk panë ndryshim. Pritja e përgjithshme ishte për cilësi të pandryshuar të portofolit të kredisë për familjet në tremujorin e parë të vitit 2025.</w:t>
      </w:r>
      <w:r w:rsidRPr="002D6957">
        <w:rPr>
          <w:rFonts w:eastAsia="Google Sans Text" w:cs="Times New Roman"/>
          <w:color w:val="575B5F"/>
          <w:szCs w:val="24"/>
          <w:vertAlign w:val="superscript"/>
        </w:rPr>
        <w:t>52</w:t>
      </w:r>
    </w:p>
    <w:p w:rsidR="005022C3" w:rsidRDefault="005022C3" w:rsidP="00A60DDA">
      <w:pPr>
        <w:widowControl w:val="0"/>
        <w:numPr>
          <w:ilvl w:val="0"/>
          <w:numId w:val="17"/>
        </w:numPr>
        <w:pBdr>
          <w:top w:val="nil"/>
          <w:left w:val="nil"/>
          <w:bottom w:val="nil"/>
          <w:right w:val="nil"/>
          <w:between w:val="nil"/>
        </w:pBdr>
        <w:spacing w:after="120"/>
        <w:jc w:val="left"/>
      </w:pPr>
      <w:r w:rsidRPr="00A60DDA">
        <w:rPr>
          <w:b/>
          <w:bCs/>
        </w:rPr>
        <w:t>Financimi dhe Rreziqet:</w:t>
      </w:r>
      <w:r w:rsidR="002D6957" w:rsidRPr="00A60DDA">
        <w:t xml:space="preserve"> </w:t>
      </w:r>
      <w:r w:rsidRPr="00A60DDA">
        <w:t>Bankat raportuan një rritje të ndjeshme të aksesit në financim në tremujorin e katërt, veçanërisht nga depozitat e familjeve, por pritej që kjo rritje të ngadalësohej në tremujorin e parë të vitit 2025. Rreziqet kryesore të identifikuara për vitin 2025 përfshinin faktorët makroekonomikë (inflacionin, çmimet e pasurive të paluajtshme) dhe çështjet e sektorit bankar (normat e interesit, kreditë me probleme, likuiditetin), me bankat sistemike që theksuan gjithashtu rreziqet gjeopolitike.</w:t>
      </w:r>
      <w:r w:rsidRPr="00A60DDA">
        <w:rPr>
          <w:rFonts w:eastAsia="Google Sans Text" w:cs="Times New Roman"/>
          <w:color w:val="575B5F"/>
          <w:szCs w:val="24"/>
          <w:vertAlign w:val="superscript"/>
        </w:rPr>
        <w:t>52</w:t>
      </w:r>
    </w:p>
    <w:p w:rsidR="005022C3" w:rsidRPr="00A60DDA" w:rsidRDefault="005022C3" w:rsidP="00A60DDA">
      <w:pPr>
        <w:pBdr>
          <w:top w:val="nil"/>
          <w:left w:val="nil"/>
          <w:bottom w:val="nil"/>
          <w:right w:val="nil"/>
          <w:between w:val="nil"/>
        </w:pBdr>
        <w:spacing w:before="240"/>
      </w:pPr>
      <w:r w:rsidRPr="00A60DDA">
        <w:t>Gjetjet e BLSK zbulojnë një divergjencë të dukshme midis segmenteve të ndërmarrjeve dhe familjeve në fund të vitit 2024/fillim të vitit 2025. Ndërsa bankat ruajtën kushte relativisht të qëndrueshme të kreditimit në të gjitha nivelet, kërkesa e familjeve u rrit dhe pritej të përshpejtohej më tej, duke qenë në kontrast të fortë me ngadalësimin e parashikuar të kërkesës së ndërmarrjeve.</w:t>
      </w:r>
      <w:r w:rsidRPr="00A60DDA">
        <w:rPr>
          <w:rFonts w:eastAsia="Google Sans Text" w:cs="Times New Roman"/>
          <w:color w:val="575B5F"/>
          <w:szCs w:val="24"/>
          <w:vertAlign w:val="superscript"/>
        </w:rPr>
        <w:t>52</w:t>
      </w:r>
      <w:r w:rsidR="00A60DDA">
        <w:rPr>
          <w:rFonts w:ascii="Google Sans Text" w:eastAsia="Google Sans Text" w:hAnsi="Google Sans Text"/>
          <w:szCs w:val="24"/>
        </w:rPr>
        <w:t xml:space="preserve"> </w:t>
      </w:r>
      <w:r w:rsidR="00A60DDA" w:rsidRPr="00A60DDA">
        <w:t>K</w:t>
      </w:r>
      <w:r w:rsidRPr="00A60DDA">
        <w:t xml:space="preserve">jo tregon rreziqe të mundshme që përqendrohen në segmentin e kreditimit për individë, të nxitura nga optimizmi i konsumatorëve (besimi, perspektiva e pasurive të paluajtshme) që duket se i tejkalon shqetësimet themelore të bankave në lidhje me cilësinë e portofolit dhe rreziqet </w:t>
      </w:r>
      <w:r w:rsidRPr="00A60DDA">
        <w:lastRenderedPageBreak/>
        <w:t>makroekonomike.</w:t>
      </w:r>
      <w:r w:rsidRPr="00A60DDA">
        <w:rPr>
          <w:rFonts w:eastAsia="Google Sans Text" w:cs="Times New Roman"/>
          <w:color w:val="575B5F"/>
          <w:szCs w:val="24"/>
          <w:vertAlign w:val="superscript"/>
        </w:rPr>
        <w:t>52</w:t>
      </w:r>
      <w:r w:rsidR="00A60DDA">
        <w:rPr>
          <w:rFonts w:ascii="Google Sans Text" w:eastAsia="Google Sans Text" w:hAnsi="Google Sans Text"/>
          <w:szCs w:val="24"/>
        </w:rPr>
        <w:t xml:space="preserve"> </w:t>
      </w:r>
      <w:r w:rsidR="00A60DDA" w:rsidRPr="00A60DDA">
        <w:t>R</w:t>
      </w:r>
      <w:r w:rsidRPr="00A60DDA">
        <w:t>ritja e vazhdueshme e pritur e kërkesës së familjeve në tremujorin e parë të vitit 2025, pavarësisht standardeve të qëndrueshme bankare, kërkon monitorim të ngushtë nga BQK-ja për të siguruar që cilësia e kredisë të ruhet në mes të zgjerimit të shpejtë.</w:t>
      </w:r>
    </w:p>
    <w:p w:rsidR="005022C3" w:rsidRDefault="00000000" w:rsidP="00A60DDA">
      <w:pPr>
        <w:pBdr>
          <w:top w:val="nil"/>
          <w:left w:val="nil"/>
          <w:bottom w:val="nil"/>
          <w:right w:val="nil"/>
          <w:between w:val="nil"/>
        </w:pBdr>
        <w:spacing w:before="120"/>
        <w:rPr>
          <w:rFonts w:ascii="Google Sans Text" w:eastAsia="Google Sans Text" w:hAnsi="Google Sans Text"/>
          <w:b/>
          <w:szCs w:val="24"/>
        </w:rPr>
      </w:pPr>
      <w:r>
        <w:pict>
          <v:rect id="_x0000_i1027" style="width:0;height:1.5pt" o:hralign="center" o:hrstd="t" o:hr="t" fillcolor="#a0a0a0" stroked="f"/>
        </w:pict>
      </w:r>
      <w:r w:rsidR="005022C3" w:rsidRPr="00A60DDA">
        <w:rPr>
          <w:b/>
          <w:bCs/>
        </w:rPr>
        <w:t>Tabela 2: Treguesit kryesorë makroekonomikë dhe financiarë të Kosovës (Vitet dhe parashikimet e zgjedhura)</w:t>
      </w:r>
    </w:p>
    <w:p w:rsidR="005022C3" w:rsidRDefault="005022C3" w:rsidP="00A60DDA">
      <w:pPr>
        <w:pBdr>
          <w:top w:val="nil"/>
          <w:left w:val="nil"/>
          <w:bottom w:val="nil"/>
          <w:right w:val="nil"/>
          <w:between w:val="nil"/>
        </w:pBdr>
        <w:rPr>
          <w:rFonts w:ascii="Google Sans Text" w:eastAsia="Google Sans Text" w:hAnsi="Google Sans Text"/>
          <w:b/>
          <w:szCs w:val="24"/>
        </w:rPr>
      </w:pPr>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20" w:firstRow="1" w:lastRow="0" w:firstColumn="0" w:lastColumn="0" w:noHBand="1" w:noVBand="1"/>
      </w:tblPr>
      <w:tblGrid>
        <w:gridCol w:w="1338"/>
        <w:gridCol w:w="1337"/>
        <w:gridCol w:w="1337"/>
        <w:gridCol w:w="1337"/>
        <w:gridCol w:w="1337"/>
        <w:gridCol w:w="1337"/>
        <w:gridCol w:w="1337"/>
      </w:tblGrid>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5022C3" w:rsidRPr="00A60DDA" w:rsidRDefault="005022C3" w:rsidP="00A60DDA">
            <w:pPr>
              <w:jc w:val="center"/>
              <w:rPr>
                <w:b/>
                <w:bCs/>
              </w:rPr>
            </w:pPr>
            <w:r w:rsidRPr="00A60DDA">
              <w:rPr>
                <w:b/>
                <w:bCs/>
              </w:rPr>
              <w:t>Treguesi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5022C3" w:rsidRPr="00A60DDA" w:rsidRDefault="005022C3" w:rsidP="00A60DDA">
            <w:pPr>
              <w:jc w:val="center"/>
              <w:rPr>
                <w:b/>
                <w:bCs/>
              </w:rPr>
            </w:pPr>
            <w:r w:rsidRPr="00A60DDA">
              <w:rPr>
                <w:b/>
                <w:bCs/>
              </w:rPr>
              <w:t>Njësia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5022C3" w:rsidRPr="00A60DDA" w:rsidRDefault="005022C3" w:rsidP="00A60DDA">
            <w:pPr>
              <w:jc w:val="center"/>
              <w:rPr>
                <w:b/>
                <w:bCs/>
              </w:rPr>
            </w:pPr>
            <w:r w:rsidRPr="00A60DDA">
              <w:rPr>
                <w:b/>
                <w:bCs/>
              </w:rPr>
              <w:t>2022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5022C3" w:rsidRPr="00A60DDA" w:rsidRDefault="005022C3" w:rsidP="00A60DDA">
            <w:pPr>
              <w:jc w:val="center"/>
              <w:rPr>
                <w:b/>
                <w:bCs/>
              </w:rPr>
            </w:pPr>
            <w:r w:rsidRPr="00A60DDA">
              <w:rPr>
                <w:b/>
                <w:bCs/>
              </w:rPr>
              <w:t>2023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5022C3" w:rsidRPr="00A60DDA" w:rsidRDefault="005022C3" w:rsidP="00A60DDA">
            <w:pPr>
              <w:jc w:val="center"/>
              <w:rPr>
                <w:b/>
                <w:bCs/>
              </w:rPr>
            </w:pPr>
            <w:r w:rsidRPr="00A60DDA">
              <w:rPr>
                <w:b/>
                <w:bCs/>
              </w:rPr>
              <w:t>2024 (vlerësim/aktual)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5022C3" w:rsidRPr="00A60DDA" w:rsidRDefault="005022C3" w:rsidP="00A60DDA">
            <w:pPr>
              <w:jc w:val="center"/>
              <w:rPr>
                <w:b/>
                <w:bCs/>
              </w:rPr>
            </w:pPr>
            <w:r w:rsidRPr="00A60DDA">
              <w:rPr>
                <w:b/>
                <w:bCs/>
              </w:rPr>
              <w:t>2025 (projekti)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5022C3" w:rsidRPr="00A60DDA" w:rsidRDefault="005022C3" w:rsidP="00A60DDA">
            <w:pPr>
              <w:jc w:val="center"/>
              <w:rPr>
                <w:b/>
                <w:bCs/>
              </w:rPr>
            </w:pPr>
            <w:r w:rsidRPr="00A60DDA">
              <w:rPr>
                <w:b/>
                <w:bCs/>
              </w:rPr>
              <w:t>Burimet</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Rritja reale e PBB-së</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4.3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3.3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4.0 - 4.25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~4.0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4</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Inflacioni (Mesatar)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11.7</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5.2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1.6 - 1.8</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1.9 - 2.5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2</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Rritja Totale e Kredive (VV)</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~16.0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12.9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~18.2 (Dhjetor)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89</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Kreditë e Papaguara për Familjet (Fundi i Tremujorit të 4-të)</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Miliardë euro</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~2.12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~2.34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color w:val="575B5F"/>
                <w:szCs w:val="24"/>
                <w:vertAlign w:val="superscript"/>
              </w:rPr>
              <w:t>52</w:t>
            </w:r>
            <w:r w:rsidRPr="00A60DDA">
              <w:rPr>
                <w:rFonts w:eastAsia="Google Sans Text" w:cs="Times New Roman"/>
                <w:sz w:val="20"/>
              </w:rPr>
              <w:t>(E nxjerrë nga vlera e tremujorit të katërt 2024 dhe vlera e tremujorit të tretë 2024)</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Raporti i Kredive Jo-Performuese (KKP)</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1.8 (Dhjetor)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~2.0 (Eksperiencë)</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63</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lastRenderedPageBreak/>
              <w:t>Raporti i Kredisë me Depozitë</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~79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~80</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81.6 (Janar 2024)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68</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Raporti i Mjaftueshmërisë së Kapitalit (Gjithsej)</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~14.5</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~16.9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&gt;15 (Prill 2024)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92</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Remitancat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 e PBB-së</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~13.7</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13.8</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~13.2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~13.3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86</w:t>
            </w:r>
          </w:p>
        </w:tc>
      </w:tr>
      <w:tr w:rsidR="005022C3" w:rsidTr="00271368">
        <w:trPr>
          <w:jc w:val="center"/>
        </w:trPr>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Norma Mesatare e Interesit (Kreditë e Reja për Shtëpitë Familjare)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5.9</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6.2 (Mesatare) / 5.6 (T3)</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sz w:val="20"/>
              </w:rPr>
            </w:pPr>
            <w:r w:rsidRPr="00A60DDA">
              <w:rPr>
                <w:rFonts w:eastAsia="Google Sans Text" w:cs="Times New Roman"/>
                <w:sz w:val="20"/>
              </w:rPr>
              <w:t>N/A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022C3" w:rsidRPr="00A60DDA" w:rsidRDefault="005022C3" w:rsidP="00A60DDA">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A60DDA">
              <w:rPr>
                <w:rFonts w:eastAsia="Google Sans Text" w:cs="Times New Roman"/>
                <w:color w:val="575B5F"/>
                <w:szCs w:val="24"/>
                <w:vertAlign w:val="superscript"/>
              </w:rPr>
              <w:t>52</w:t>
            </w:r>
          </w:p>
        </w:tc>
      </w:tr>
    </w:tbl>
    <w:p w:rsidR="005022C3" w:rsidRPr="00A60DDA" w:rsidRDefault="005022C3" w:rsidP="00A60DDA">
      <w:pPr>
        <w:rPr>
          <w:i/>
          <w:iCs/>
        </w:rPr>
      </w:pPr>
      <w:r w:rsidRPr="00A60DDA">
        <w:rPr>
          <w:i/>
          <w:iCs/>
        </w:rPr>
        <w:t>Shënime: Të dhënat janë mbledhur nga burime të shumta me data/periudha raportimi të ndryshme; vlerat janë të përafërta ose përfaqësojnë shifrat/projeksionet më të fundit të disponueshme rreth fillimit të vitit 2025. Pritja e NPL-ve bazohet në parashikimin e BLSK për tremujorin e parë të vitit 2025. Të dhënat e CAR shpesh raportohen çdo vit ose gjashtëmujor.</w:t>
      </w:r>
    </w:p>
    <w:p w:rsidR="005022C3" w:rsidRDefault="00000000" w:rsidP="00A60DDA">
      <w:r>
        <w:pict>
          <v:rect id="_x0000_i1028" style="width:0;height:1.5pt" o:hralign="center" o:hrstd="t" o:hr="t" fillcolor="#a0a0a0" stroked="f"/>
        </w:pict>
      </w:r>
      <w:r w:rsidR="005022C3">
        <w:t>Ky panel kontrolli sintetizon tregues kritikë nga raporte të ndryshme (FMN, BQK, BERZH, etj.) në një tabelë të vetme, duke lehtësuar ndjekjen e trendeve dhe marrëdhënien midis kushteve makroekonomike dhe performancës së sektorit financiar që lidhet me analizën e tregut të kredive personale.</w:t>
      </w:r>
    </w:p>
    <w:p w:rsidR="00DC170B" w:rsidRDefault="00DC170B" w:rsidP="00A60DDA"/>
    <w:p w:rsidR="00DC170B" w:rsidRDefault="00DC170B" w:rsidP="00A60DDA"/>
    <w:p w:rsidR="00DC170B" w:rsidRDefault="00DC170B" w:rsidP="00A60DDA"/>
    <w:p w:rsidR="00DC170B" w:rsidRDefault="00DC170B" w:rsidP="00A60DDA"/>
    <w:p w:rsidR="00DC170B" w:rsidRDefault="00DC170B" w:rsidP="00A60DDA"/>
    <w:p w:rsidR="00DC170B" w:rsidRDefault="00A60DDA" w:rsidP="00A60DDA">
      <w:pPr>
        <w:pStyle w:val="Heading1"/>
      </w:pPr>
      <w:bookmarkStart w:id="28" w:name="_Toc198555002"/>
      <w:r w:rsidRPr="00A60DDA">
        <w:lastRenderedPageBreak/>
        <w:t>Pjesa 3: Studimi i Rastit – Hetimi i Hashim Rexhepit dhe Qeverisja Financiare</w:t>
      </w:r>
      <w:bookmarkEnd w:id="28"/>
    </w:p>
    <w:p w:rsidR="00A60DDA" w:rsidRDefault="00A60DDA" w:rsidP="007637AF">
      <w:r>
        <w:t>Hetimi ndaj Hashim Rexhepit, Guvernatorit të parë të Bankës Qendrore të Kosovës pas pavarësisë, përfaqëson një moment kritik në përpjekjet e Kosovës për të vendosur integritetin institucional dhe sundimin e ligjit, veçanërisht brenda sistemit të saj financiar në lindje e sipër. Çështja u zhvillua në një sfond të ndërtimit të hershëm të shtetit dhe vendosjes së Misionit të Bashkimit Evropian për Sundimin e Ligjit (EULEX) me mandat për të luftuar korrupsionin e nivelit të lartë.</w:t>
      </w:r>
    </w:p>
    <w:p w:rsidR="005022C3" w:rsidRDefault="007637AF" w:rsidP="003F6AFA">
      <w:pPr>
        <w:pStyle w:val="Heading2"/>
      </w:pPr>
      <w:bookmarkStart w:id="29" w:name="_Toc198555003"/>
      <w:r w:rsidRPr="007637AF">
        <w:t>3.1 Konteksti: Banka Qendrore e Kosovës dhe Mandati i EULEX-it</w:t>
      </w:r>
      <w:bookmarkEnd w:id="29"/>
    </w:p>
    <w:p w:rsidR="007637AF" w:rsidRDefault="007637AF" w:rsidP="007637AF">
      <w:pPr>
        <w:widowControl w:val="0"/>
        <w:numPr>
          <w:ilvl w:val="0"/>
          <w:numId w:val="20"/>
        </w:numPr>
        <w:pBdr>
          <w:top w:val="nil"/>
          <w:left w:val="nil"/>
          <w:bottom w:val="nil"/>
          <w:right w:val="nil"/>
          <w:between w:val="nil"/>
        </w:pBdr>
        <w:spacing w:after="0"/>
        <w:jc w:val="left"/>
      </w:pPr>
      <w:r w:rsidRPr="007637AF">
        <w:rPr>
          <w:b/>
          <w:bCs/>
        </w:rPr>
        <w:t>Hashim Rexhepi dhe BQK-ja:</w:t>
      </w:r>
      <w:r w:rsidRPr="007637AF">
        <w:t xml:space="preserve"> I emëruar në vitin 2008, Hashim Rexhepi udhëhoqi BQK-në gjatë viteve të saj formuese pas shpalljes së pavarësisë së Kosovës.</w:t>
      </w:r>
      <w:r w:rsidRPr="007637AF">
        <w:rPr>
          <w:rFonts w:eastAsia="Google Sans Text" w:cs="Times New Roman"/>
          <w:color w:val="575B5F"/>
          <w:szCs w:val="24"/>
          <w:vertAlign w:val="superscript"/>
        </w:rPr>
        <w:t>1</w:t>
      </w:r>
      <w:r>
        <w:rPr>
          <w:rFonts w:ascii="Google Sans Text" w:eastAsia="Google Sans Text" w:hAnsi="Google Sans Text"/>
          <w:szCs w:val="24"/>
        </w:rPr>
        <w:t xml:space="preserve"> </w:t>
      </w:r>
      <w:r w:rsidRPr="007637AF">
        <w:t>BQK-ja, si një institucion i pavarur, ishte jetike për sigurimin e stabilitetit financiar, licencimin dhe mbikëqyrjen e bankave dhe subjekteve të tjera financiare, si dhe menaxhimin e fondeve të konsiderueshme publike, duke përfshirë depozitat nga Agjencia e Privatizimit të Kosovës (AKP).</w:t>
      </w:r>
      <w:r w:rsidRPr="007637AF">
        <w:rPr>
          <w:rFonts w:eastAsia="Google Sans Text" w:cs="Times New Roman"/>
          <w:color w:val="575B5F"/>
          <w:szCs w:val="24"/>
          <w:vertAlign w:val="superscript"/>
        </w:rPr>
        <w:t>3</w:t>
      </w:r>
      <w:r>
        <w:rPr>
          <w:rFonts w:ascii="Google Sans Text" w:eastAsia="Google Sans Text" w:hAnsi="Google Sans Text"/>
          <w:szCs w:val="24"/>
        </w:rPr>
        <w:t xml:space="preserve"> </w:t>
      </w:r>
      <w:r w:rsidRPr="007637AF">
        <w:t>Përpara hetimit, BQK-ja shpesh konsiderohej si një nga institucionet më funksionale dhe më të besueshme të Kosovës.</w:t>
      </w:r>
      <w:r w:rsidRPr="007637AF">
        <w:rPr>
          <w:rFonts w:eastAsia="Google Sans Text" w:cs="Times New Roman"/>
          <w:color w:val="575B5F"/>
          <w:szCs w:val="24"/>
          <w:vertAlign w:val="superscript"/>
        </w:rPr>
        <w:t>3</w:t>
      </w:r>
    </w:p>
    <w:p w:rsidR="007637AF" w:rsidRDefault="007637AF" w:rsidP="007637AF">
      <w:pPr>
        <w:widowControl w:val="0"/>
        <w:numPr>
          <w:ilvl w:val="0"/>
          <w:numId w:val="20"/>
        </w:numPr>
        <w:pBdr>
          <w:top w:val="nil"/>
          <w:left w:val="nil"/>
          <w:bottom w:val="nil"/>
          <w:right w:val="nil"/>
          <w:between w:val="nil"/>
        </w:pBdr>
        <w:spacing w:after="0"/>
        <w:jc w:val="left"/>
      </w:pPr>
      <w:r w:rsidRPr="007637AF">
        <w:rPr>
          <w:b/>
          <w:bCs/>
        </w:rPr>
        <w:t>Mandati i EULEX-it:</w:t>
      </w:r>
      <w:r w:rsidRPr="007637AF">
        <w:t xml:space="preserve"> EULEX-i u vendos në vitin 2008 me kompetenca të konsiderueshme ekzekutive, duke përfshirë autoritetin për prokurorët dhe gjyqtarët ndërkombëtarë për të hetuar dhe gjykuar krime të rënda, duke synuar konkretisht korrupsionin e nivelit të lartë dhe krimin e organizuar.</w:t>
      </w:r>
      <w:r w:rsidRPr="007637AF">
        <w:rPr>
          <w:rFonts w:eastAsia="Google Sans Text" w:cs="Times New Roman"/>
          <w:color w:val="575B5F"/>
          <w:szCs w:val="24"/>
          <w:vertAlign w:val="superscript"/>
        </w:rPr>
        <w:t>1</w:t>
      </w:r>
      <w:r>
        <w:rPr>
          <w:rFonts w:ascii="Google Sans Text" w:eastAsia="Google Sans Text" w:hAnsi="Google Sans Text"/>
          <w:color w:val="575B5F"/>
          <w:szCs w:val="24"/>
          <w:vertAlign w:val="superscript"/>
        </w:rPr>
        <w:t xml:space="preserve"> </w:t>
      </w:r>
      <w:r>
        <w:rPr>
          <w:rFonts w:ascii="Google Sans Text" w:eastAsia="Google Sans Text" w:hAnsi="Google Sans Text"/>
          <w:szCs w:val="24"/>
        </w:rPr>
        <w:t xml:space="preserve"> </w:t>
      </w:r>
      <w:r w:rsidRPr="007637AF">
        <w:t>Misioni synonte të mbështeste Kosovën në ndërtimin e institucioneve të qëndrueshme dhe të përgjegjshme të sundimit të ligjit sipas standardeve evropiane.</w:t>
      </w:r>
      <w:r w:rsidRPr="007637AF">
        <w:rPr>
          <w:rFonts w:eastAsia="Google Sans Text" w:cs="Times New Roman"/>
          <w:color w:val="575B5F"/>
          <w:szCs w:val="24"/>
          <w:vertAlign w:val="superscript"/>
        </w:rPr>
        <w:t>182</w:t>
      </w:r>
      <w:r>
        <w:rPr>
          <w:rFonts w:ascii="Google Sans Text" w:eastAsia="Google Sans Text" w:hAnsi="Google Sans Text"/>
          <w:color w:val="575B5F"/>
          <w:szCs w:val="24"/>
          <w:vertAlign w:val="superscript"/>
        </w:rPr>
        <w:t xml:space="preserve"> </w:t>
      </w:r>
      <w:r>
        <w:rPr>
          <w:rFonts w:ascii="Google Sans Text" w:eastAsia="Google Sans Text" w:hAnsi="Google Sans Text"/>
          <w:szCs w:val="24"/>
        </w:rPr>
        <w:t xml:space="preserve"> </w:t>
      </w:r>
      <w:r w:rsidRPr="007637AF">
        <w:t>Hetimi që kishte në shënjestër kreun e bankës qendrore u perceptua kështu si një rast historik dhe një provë e rëndësishme e efektivitetit dhe paanshmërisë së EULEX-it.</w:t>
      </w:r>
      <w:r w:rsidRPr="007637AF">
        <w:rPr>
          <w:rFonts w:eastAsia="Google Sans Text" w:cs="Times New Roman"/>
          <w:color w:val="575B5F"/>
          <w:szCs w:val="24"/>
          <w:vertAlign w:val="superscript"/>
        </w:rPr>
        <w:t>1</w:t>
      </w:r>
    </w:p>
    <w:p w:rsidR="007637AF" w:rsidRDefault="007637AF" w:rsidP="007637AF">
      <w:pPr>
        <w:widowControl w:val="0"/>
        <w:numPr>
          <w:ilvl w:val="0"/>
          <w:numId w:val="20"/>
        </w:numPr>
        <w:pBdr>
          <w:top w:val="nil"/>
          <w:left w:val="nil"/>
          <w:bottom w:val="nil"/>
          <w:right w:val="nil"/>
          <w:between w:val="nil"/>
        </w:pBdr>
        <w:spacing w:after="120"/>
        <w:jc w:val="left"/>
      </w:pPr>
      <w:r w:rsidRPr="007637AF">
        <w:rPr>
          <w:b/>
          <w:bCs/>
        </w:rPr>
        <w:t>Mjedisi Operativ:</w:t>
      </w:r>
      <w:r w:rsidRPr="007637AF">
        <w:t xml:space="preserve"> Periudha që çoi në hetim (2008-2010) u shënua nga sfidat e vendosjes së normave institucionale dhe pavarësisë në një shtet të ri. U shfaqën raporte që sugjeronin se mbi BQK-në dhe Guvernatorin Rexhepi po ushtrohej presion politik.</w:t>
      </w:r>
      <w:r w:rsidRPr="007637AF">
        <w:rPr>
          <w:rFonts w:eastAsia="Google Sans Text" w:cs="Times New Roman"/>
          <w:color w:val="575B5F"/>
          <w:szCs w:val="24"/>
          <w:vertAlign w:val="superscript"/>
        </w:rPr>
        <w:t>1</w:t>
      </w:r>
      <w:r>
        <w:rPr>
          <w:rFonts w:ascii="Google Sans Text" w:eastAsia="Google Sans Text" w:hAnsi="Google Sans Text"/>
          <w:szCs w:val="24"/>
        </w:rPr>
        <w:t xml:space="preserve"> </w:t>
      </w:r>
      <w:r w:rsidRPr="007637AF">
        <w:t xml:space="preserve">Pikat e pretenduara të mosmarrëveshjes përfshinin vendime në lidhje me vendosjen e fondeve publike, licencimin e kompanive të sigurimeve (me një rast që thuhet se përfshinte një kompani të lidhur me vëllain e Kryeministrit, Gani Thaçi, në lidhje me skemën fitimprurëse të sigurimeve kufitare), reformat e </w:t>
      </w:r>
      <w:r w:rsidRPr="007637AF">
        <w:lastRenderedPageBreak/>
        <w:t>propozuara në sektorin e sigurimeve dhe strategjitë e investimit për fondet e menaxhuara nga BQK-ja.</w:t>
      </w:r>
      <w:r w:rsidRPr="007637AF">
        <w:rPr>
          <w:rFonts w:eastAsia="Google Sans Text" w:cs="Times New Roman"/>
          <w:color w:val="575B5F"/>
          <w:szCs w:val="24"/>
          <w:vertAlign w:val="superscript"/>
        </w:rPr>
        <w:t>3</w:t>
      </w:r>
      <w:r>
        <w:rPr>
          <w:rFonts w:ascii="Google Sans Text" w:eastAsia="Google Sans Text" w:hAnsi="Google Sans Text"/>
          <w:szCs w:val="24"/>
        </w:rPr>
        <w:t xml:space="preserve"> </w:t>
      </w:r>
      <w:r w:rsidRPr="007637AF">
        <w:t>Raportet hetimore dhe burimet e cituara në media gjithashtu vunë në dukje një fushatë të koordinuar negative mediatike kundër Rexhepit që i parapriu arrestimit të tij, potencialisht e orkestruar nga qarqe politike të pakënaqura me qëndrimin e tij të pavarur.</w:t>
      </w:r>
      <w:r w:rsidRPr="007637AF">
        <w:rPr>
          <w:rFonts w:eastAsia="Google Sans Text" w:cs="Times New Roman"/>
          <w:color w:val="575B5F"/>
          <w:szCs w:val="24"/>
          <w:vertAlign w:val="superscript"/>
        </w:rPr>
        <w:t>1</w:t>
      </w:r>
    </w:p>
    <w:p w:rsidR="005022C3" w:rsidRDefault="005022C3"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7637AF" w:rsidRDefault="007637AF" w:rsidP="00EB5B87">
      <w:pPr>
        <w:widowControl w:val="0"/>
        <w:pBdr>
          <w:top w:val="nil"/>
          <w:left w:val="nil"/>
          <w:bottom w:val="nil"/>
          <w:right w:val="nil"/>
          <w:between w:val="nil"/>
        </w:pBdr>
      </w:pPr>
    </w:p>
    <w:p w:rsidR="005022C3" w:rsidRDefault="007637AF" w:rsidP="003F6AFA">
      <w:pPr>
        <w:pStyle w:val="Heading2"/>
      </w:pPr>
      <w:bookmarkStart w:id="30" w:name="_Toc198555004"/>
      <w:r w:rsidRPr="007637AF">
        <w:lastRenderedPageBreak/>
        <w:t>3.2 Hetimi: Akuzat, Akuzat dhe Palët e Interesuara</w:t>
      </w:r>
      <w:bookmarkEnd w:id="30"/>
    </w:p>
    <w:p w:rsidR="007637AF" w:rsidRDefault="007637AF" w:rsidP="00E331D7">
      <w:pPr>
        <w:widowControl w:val="0"/>
        <w:numPr>
          <w:ilvl w:val="0"/>
          <w:numId w:val="21"/>
        </w:numPr>
        <w:pBdr>
          <w:top w:val="nil"/>
          <w:left w:val="nil"/>
          <w:bottom w:val="nil"/>
          <w:right w:val="nil"/>
          <w:between w:val="nil"/>
        </w:pBdr>
        <w:spacing w:after="0"/>
        <w:jc w:val="left"/>
      </w:pPr>
      <w:r w:rsidRPr="007637AF">
        <w:rPr>
          <w:b/>
          <w:bCs/>
        </w:rPr>
        <w:t>Arrestimi dhe akuzat fillestare (korrik 2010):</w:t>
      </w:r>
      <w:r w:rsidRPr="007637AF">
        <w:t xml:space="preserve"> Më 23 korrik 2010, në një operacion të profilit të lartë që përfshinte Policinë e Kosovës nën mbikëqyrjen e EULEX-it, Guvernatori Rexhepi u arrestua së bashku me Shkendije Himajn (Kryetare e Mbikëqyrjes së BQK-së), Ibish Mazrekun (ish-Mbikëqyrës i Sigurimeve) dhe Ismet Jashanicën (punonjës i kompanisë së sigurimeve Dardania).</w:t>
      </w:r>
      <w:r w:rsidRPr="007637AF">
        <w:rPr>
          <w:rFonts w:eastAsia="Google Sans Text" w:cs="Times New Roman"/>
          <w:color w:val="575B5F"/>
          <w:szCs w:val="24"/>
          <w:vertAlign w:val="superscript"/>
        </w:rPr>
        <w:t>1</w:t>
      </w:r>
      <w:r>
        <w:rPr>
          <w:rFonts w:ascii="Google Sans Text" w:eastAsia="Google Sans Text" w:hAnsi="Google Sans Text"/>
          <w:szCs w:val="24"/>
        </w:rPr>
        <w:t xml:space="preserve"> </w:t>
      </w:r>
      <w:r w:rsidRPr="007637AF">
        <w:t>Bastisjet dhe arrestimet u autorizuan nga një gjyqtar i procedurës paraprake i EULEX-it bazuar në dyshime që mbulonin një gamë të gjerë veprash penale: abuzim me pozitën ose autoritetin zyrtar, pranim ryshfeti, shmangie nga taksat, ushtrim ndikimi dhe pastrim parash.</w:t>
      </w:r>
      <w:r w:rsidRPr="007637AF">
        <w:rPr>
          <w:rFonts w:eastAsia="Google Sans Text" w:cs="Times New Roman"/>
          <w:color w:val="575B5F"/>
          <w:szCs w:val="24"/>
          <w:vertAlign w:val="superscript"/>
        </w:rPr>
        <w:t>1</w:t>
      </w:r>
    </w:p>
    <w:p w:rsidR="007637AF" w:rsidRDefault="007637AF" w:rsidP="00E331D7">
      <w:pPr>
        <w:widowControl w:val="0"/>
        <w:numPr>
          <w:ilvl w:val="0"/>
          <w:numId w:val="21"/>
        </w:numPr>
        <w:pBdr>
          <w:top w:val="nil"/>
          <w:left w:val="nil"/>
          <w:bottom w:val="nil"/>
          <w:right w:val="nil"/>
          <w:between w:val="nil"/>
        </w:pBdr>
        <w:spacing w:after="0"/>
        <w:jc w:val="left"/>
      </w:pPr>
      <w:r w:rsidRPr="007637AF">
        <w:rPr>
          <w:b/>
          <w:bCs/>
        </w:rPr>
        <w:t>Akuza specifike (kundër Rexhepit):</w:t>
      </w:r>
      <w:r w:rsidRPr="007637AF">
        <w:t xml:space="preserve"> Gjatë hetimit dhe procedurave ligjore, kundër Rexhepit u ngritën akuza të shumta specifike. Shumë prej tyre u kundërshtuan nga mbrojtja dhe disa prej tyre në fund u rrëzuan ose u rrëzuan për shkak të mungesës së provave ose pasaktësive faktike:</w:t>
      </w:r>
    </w:p>
    <w:p w:rsidR="007637AF" w:rsidRDefault="007637AF" w:rsidP="00E331D7">
      <w:pPr>
        <w:widowControl w:val="0"/>
        <w:numPr>
          <w:ilvl w:val="1"/>
          <w:numId w:val="22"/>
        </w:numPr>
        <w:pBdr>
          <w:top w:val="nil"/>
          <w:left w:val="nil"/>
          <w:bottom w:val="nil"/>
          <w:right w:val="nil"/>
          <w:between w:val="nil"/>
        </w:pBdr>
        <w:spacing w:after="0"/>
        <w:jc w:val="left"/>
      </w:pPr>
      <w:r w:rsidRPr="007637AF">
        <w:rPr>
          <w:i/>
          <w:iCs/>
        </w:rPr>
        <w:t>Ryshfeti: Akuzat përfshinin marrjen e një ryshfeti nga sigurimi Dardania në formën e një prone buzë detit në Shqipëri (Rexhepi paraqiti të dhëna zyrtare që tregonin se nuk kishte pronësi të tillë dhe prokuroria nuk paraqiti asnjë provë).</w:t>
      </w:r>
      <w:r w:rsidRPr="007637AF">
        <w:rPr>
          <w:rFonts w:eastAsia="Google Sans Text" w:cs="Times New Roman"/>
          <w:color w:val="575B5F"/>
          <w:szCs w:val="24"/>
          <w:vertAlign w:val="superscript"/>
        </w:rPr>
        <w:t>182</w:t>
      </w:r>
      <w:r>
        <w:rPr>
          <w:rFonts w:ascii="Google Sans Text" w:eastAsia="Google Sans Text" w:hAnsi="Google Sans Text"/>
          <w:szCs w:val="24"/>
        </w:rPr>
        <w:t xml:space="preserve"> </w:t>
      </w:r>
      <w:r w:rsidRPr="007637AF">
        <w:rPr>
          <w:i/>
          <w:iCs/>
        </w:rPr>
        <w:t>Akuzat fillestare përfshinin gjithashtu pretendime anonime për ryshfet në lidhje me licencat e sigurimit.</w:t>
      </w:r>
      <w:r w:rsidRPr="007637AF">
        <w:rPr>
          <w:rFonts w:eastAsia="Google Sans Text" w:cs="Times New Roman"/>
          <w:color w:val="575B5F"/>
          <w:szCs w:val="24"/>
          <w:vertAlign w:val="superscript"/>
        </w:rPr>
        <w:t>182</w:t>
      </w:r>
      <w:r>
        <w:rPr>
          <w:rFonts w:ascii="Google Sans Text" w:eastAsia="Google Sans Text" w:hAnsi="Google Sans Text"/>
          <w:szCs w:val="24"/>
        </w:rPr>
        <w:t xml:space="preserve"> </w:t>
      </w:r>
      <w:r w:rsidRPr="007637AF">
        <w:rPr>
          <w:i/>
          <w:iCs/>
        </w:rPr>
        <w:t>Një ryshfet prej 120,000 eurosh nga sigurimi Sigma u mor kundër znj. Himaj.</w:t>
      </w:r>
      <w:r w:rsidRPr="007637AF">
        <w:rPr>
          <w:rFonts w:eastAsia="Google Sans Text" w:cs="Times New Roman"/>
          <w:color w:val="575B5F"/>
          <w:szCs w:val="24"/>
          <w:vertAlign w:val="superscript"/>
        </w:rPr>
        <w:t>182</w:t>
      </w:r>
    </w:p>
    <w:p w:rsidR="007637AF" w:rsidRDefault="007637AF" w:rsidP="00E331D7">
      <w:pPr>
        <w:widowControl w:val="0"/>
        <w:numPr>
          <w:ilvl w:val="1"/>
          <w:numId w:val="22"/>
        </w:numPr>
        <w:pBdr>
          <w:top w:val="nil"/>
          <w:left w:val="nil"/>
          <w:bottom w:val="nil"/>
          <w:right w:val="nil"/>
          <w:between w:val="nil"/>
        </w:pBdr>
        <w:spacing w:after="0"/>
        <w:jc w:val="left"/>
      </w:pPr>
      <w:r w:rsidRPr="00E331D7">
        <w:rPr>
          <w:i/>
          <w:iCs/>
        </w:rPr>
        <w:t>Shpërdorim i Detyrës/Shfrytëzim i Ndikimit (Kredi nga BpB): Rexhepi u akuzua për marrjen e pahijshme të një kredie personale prej 23,000 eurosh nga Banka për Biznes (BpB) menjëherë pasi BQK-ja, nën udhëheqjen e tij, kishte lehtësuar kufizimet e kreditimit për bankën, e cila po përballej me vështirësi financiare. Prokuroria argumentoi se kjo shkelte rregullat e stabilizimit dhe përkeqësonte problemet e BpB-së.</w:t>
      </w:r>
      <w:r w:rsidRPr="007637AF">
        <w:rPr>
          <w:rFonts w:eastAsia="Google Sans Text" w:cs="Times New Roman"/>
          <w:color w:val="575B5F"/>
          <w:szCs w:val="24"/>
          <w:vertAlign w:val="superscript"/>
        </w:rPr>
        <w:t>1</w:t>
      </w:r>
      <w:r>
        <w:rPr>
          <w:rFonts w:ascii="Google Sans Text" w:eastAsia="Google Sans Text" w:hAnsi="Google Sans Text"/>
          <w:szCs w:val="24"/>
        </w:rPr>
        <w:t xml:space="preserve"> </w:t>
      </w:r>
      <w:r w:rsidRPr="00E331D7">
        <w:rPr>
          <w:i/>
          <w:iCs/>
        </w:rPr>
        <w:t>Mbrojtja e Rexhepit kundërshtoi duke thënë se kufizimet zbatoheshin vetëm për kreditë komerciale, jo personale, dhe se shuma ishte e parëndësishme në krahasim me gjendjen e përgjithshme financiare të bankës.</w:t>
      </w:r>
      <w:r w:rsidRPr="007637AF">
        <w:rPr>
          <w:rFonts w:eastAsia="Google Sans Text" w:cs="Times New Roman"/>
          <w:color w:val="575B5F"/>
          <w:szCs w:val="24"/>
          <w:vertAlign w:val="superscript"/>
        </w:rPr>
        <w:t>182</w:t>
      </w:r>
      <w:r>
        <w:rPr>
          <w:rFonts w:ascii="Google Sans Text" w:eastAsia="Google Sans Text" w:hAnsi="Google Sans Text"/>
          <w:szCs w:val="24"/>
        </w:rPr>
        <w:t xml:space="preserve"> </w:t>
      </w:r>
      <w:r w:rsidRPr="00E331D7">
        <w:rPr>
          <w:i/>
          <w:iCs/>
        </w:rPr>
        <w:t>Gjykatësi Gallo më vonë e konsideroi veprimin të papërshtatshëm, por jo si shpërdorim penal të detyrës.</w:t>
      </w:r>
      <w:r w:rsidRPr="007637AF">
        <w:rPr>
          <w:rFonts w:eastAsia="Google Sans Text" w:cs="Times New Roman"/>
          <w:color w:val="575B5F"/>
          <w:szCs w:val="24"/>
          <w:vertAlign w:val="superscript"/>
        </w:rPr>
        <w:t>186</w:t>
      </w:r>
    </w:p>
    <w:p w:rsidR="007637AF" w:rsidRDefault="007637AF" w:rsidP="00E331D7">
      <w:pPr>
        <w:widowControl w:val="0"/>
        <w:numPr>
          <w:ilvl w:val="1"/>
          <w:numId w:val="22"/>
        </w:numPr>
        <w:pBdr>
          <w:top w:val="nil"/>
          <w:left w:val="nil"/>
          <w:bottom w:val="nil"/>
          <w:right w:val="nil"/>
          <w:between w:val="nil"/>
        </w:pBdr>
        <w:spacing w:after="0"/>
        <w:jc w:val="left"/>
      </w:pPr>
      <w:r w:rsidRPr="00E331D7">
        <w:rPr>
          <w:i/>
          <w:iCs/>
        </w:rPr>
        <w:t xml:space="preserve">Shpërdorim Detyre/Shfrytëzim Ndikimi (Sponsorizim nga BpB): Një akuzë e përqendruar te presioni i Rexhepit ndaj BpB për të siguruar një sponsorizim prej 30,000 eurosh për Klubin e Basketbollit Prishtina, ku ai shërbeu në bord. </w:t>
      </w:r>
      <w:r w:rsidRPr="00E331D7">
        <w:rPr>
          <w:i/>
          <w:iCs/>
        </w:rPr>
        <w:lastRenderedPageBreak/>
        <w:t>Dokumentet fillestare i referoheshin gabimisht Klubit të Futbollit Prishtina.</w:t>
      </w:r>
      <w:r w:rsidRPr="007637AF">
        <w:rPr>
          <w:rFonts w:eastAsia="Google Sans Text" w:cs="Times New Roman"/>
          <w:color w:val="575B5F"/>
          <w:szCs w:val="24"/>
          <w:vertAlign w:val="superscript"/>
        </w:rPr>
        <w:t>182</w:t>
      </w:r>
      <w:r>
        <w:rPr>
          <w:rFonts w:ascii="Google Sans Text" w:eastAsia="Google Sans Text" w:hAnsi="Google Sans Text"/>
          <w:szCs w:val="24"/>
        </w:rPr>
        <w:t xml:space="preserve"> </w:t>
      </w:r>
      <w:r w:rsidRPr="00E331D7">
        <w:rPr>
          <w:i/>
          <w:iCs/>
        </w:rPr>
        <w:t>Akuza u rrëzua kur u vërtetua se marrëveshja e sponsorizimit i parapriu emërimit të Rexhepit në bordin e klubit.</w:t>
      </w:r>
      <w:r w:rsidRPr="007637AF">
        <w:rPr>
          <w:rFonts w:eastAsia="Google Sans Text" w:cs="Times New Roman"/>
          <w:color w:val="575B5F"/>
          <w:szCs w:val="24"/>
          <w:vertAlign w:val="superscript"/>
        </w:rPr>
        <w:t>186</w:t>
      </w:r>
    </w:p>
    <w:p w:rsidR="007637AF" w:rsidRDefault="007637AF" w:rsidP="00E331D7">
      <w:pPr>
        <w:widowControl w:val="0"/>
        <w:numPr>
          <w:ilvl w:val="1"/>
          <w:numId w:val="22"/>
        </w:numPr>
        <w:pBdr>
          <w:top w:val="nil"/>
          <w:left w:val="nil"/>
          <w:bottom w:val="nil"/>
          <w:right w:val="nil"/>
          <w:between w:val="nil"/>
        </w:pBdr>
        <w:spacing w:after="0"/>
        <w:jc w:val="left"/>
      </w:pPr>
      <w:r w:rsidRPr="00E331D7">
        <w:rPr>
          <w:i/>
          <w:iCs/>
        </w:rPr>
        <w:t>Shpërdorim i Detyrës/Mashtrim/Shfrytëzim i Ndikimit (Dardania Insurance): Rexhepi u akuzua për përdorim të ndikimit të tij në lidhje me emërimin e një administratori për Dardania Insurance dhe lehtësimin e shlyerjes së një borxhi të konsiderueshëm (gati 2 milionë marka gjermane) që i detyrohej kompania.</w:t>
      </w:r>
      <w:r w:rsidRPr="007637AF">
        <w:rPr>
          <w:rFonts w:eastAsia="Google Sans Text" w:cs="Times New Roman"/>
          <w:color w:val="575B5F"/>
          <w:szCs w:val="24"/>
          <w:vertAlign w:val="superscript"/>
        </w:rPr>
        <w:t>1</w:t>
      </w:r>
      <w:r>
        <w:rPr>
          <w:rFonts w:ascii="Google Sans Text" w:eastAsia="Google Sans Text" w:hAnsi="Google Sans Text"/>
          <w:szCs w:val="24"/>
        </w:rPr>
        <w:t xml:space="preserve"> </w:t>
      </w:r>
      <w:r w:rsidRPr="00E331D7">
        <w:rPr>
          <w:i/>
          <w:iCs/>
        </w:rPr>
        <w:t>Gjyqtari i konfirmimit nuk gjeti prova se Rexhepi përfitoi personalisht nga ky veprim.</w:t>
      </w:r>
      <w:r w:rsidRPr="007637AF">
        <w:rPr>
          <w:rFonts w:eastAsia="Google Sans Text" w:cs="Times New Roman"/>
          <w:color w:val="575B5F"/>
          <w:szCs w:val="24"/>
          <w:vertAlign w:val="superscript"/>
        </w:rPr>
        <w:t>186</w:t>
      </w:r>
    </w:p>
    <w:p w:rsidR="007637AF" w:rsidRDefault="007637AF" w:rsidP="00E331D7">
      <w:pPr>
        <w:widowControl w:val="0"/>
        <w:numPr>
          <w:ilvl w:val="1"/>
          <w:numId w:val="22"/>
        </w:numPr>
        <w:pBdr>
          <w:top w:val="nil"/>
          <w:left w:val="nil"/>
          <w:bottom w:val="nil"/>
          <w:right w:val="nil"/>
          <w:between w:val="nil"/>
        </w:pBdr>
        <w:spacing w:after="0"/>
        <w:jc w:val="left"/>
      </w:pPr>
      <w:r w:rsidRPr="00E331D7">
        <w:rPr>
          <w:i/>
          <w:iCs/>
        </w:rPr>
        <w:t>Konflikt Interesi (Aksionar): Akuzat e hershme pretendonin se Rexhepi ishte aksionar në një firmë që përfitonte nga kontratat e BQK-së. Kjo u rrëzua më vonë, me dokumente që e përmendnin djalin e tij si bashkëpronar.</w:t>
      </w:r>
      <w:r w:rsidRPr="007637AF">
        <w:rPr>
          <w:rFonts w:eastAsia="Google Sans Text" w:cs="Times New Roman"/>
          <w:color w:val="575B5F"/>
          <w:szCs w:val="24"/>
          <w:vertAlign w:val="superscript"/>
        </w:rPr>
        <w:t>182</w:t>
      </w:r>
    </w:p>
    <w:p w:rsidR="007637AF" w:rsidRDefault="007637AF" w:rsidP="00E331D7">
      <w:pPr>
        <w:widowControl w:val="0"/>
        <w:numPr>
          <w:ilvl w:val="1"/>
          <w:numId w:val="22"/>
        </w:numPr>
        <w:pBdr>
          <w:top w:val="nil"/>
          <w:left w:val="nil"/>
          <w:bottom w:val="nil"/>
          <w:right w:val="nil"/>
          <w:between w:val="nil"/>
        </w:pBdr>
        <w:spacing w:after="0"/>
        <w:jc w:val="left"/>
      </w:pPr>
      <w:r w:rsidRPr="00E331D7">
        <w:rPr>
          <w:i/>
          <w:iCs/>
        </w:rPr>
        <w:t>Akuza Shtesë: Më 29 korrik 2010, Zyra e Prokurorit të Posaçëm e zgjeroi hetimin për të përfshirë akuza shtesë për "Shpërdorim të detyrës zyrtare" dhe "Marrje ryshfeti" në lidhje me lëshimin e licencave të operimit të sigurimeve midis viteve 2006 dhe 2008.</w:t>
      </w:r>
      <w:r w:rsidRPr="007637AF">
        <w:rPr>
          <w:rFonts w:eastAsia="Google Sans Text" w:cs="Times New Roman"/>
          <w:color w:val="575B5F"/>
          <w:szCs w:val="24"/>
          <w:vertAlign w:val="superscript"/>
        </w:rPr>
        <w:t>194</w:t>
      </w:r>
    </w:p>
    <w:p w:rsidR="007637AF" w:rsidRDefault="007637AF" w:rsidP="00E331D7">
      <w:pPr>
        <w:widowControl w:val="0"/>
        <w:numPr>
          <w:ilvl w:val="0"/>
          <w:numId w:val="21"/>
        </w:numPr>
        <w:pBdr>
          <w:top w:val="nil"/>
          <w:left w:val="nil"/>
          <w:bottom w:val="nil"/>
          <w:right w:val="nil"/>
          <w:between w:val="nil"/>
        </w:pBdr>
        <w:spacing w:after="0"/>
        <w:jc w:val="left"/>
      </w:pPr>
      <w:r w:rsidRPr="00E331D7">
        <w:rPr>
          <w:b/>
          <w:bCs/>
        </w:rPr>
        <w:t>Palët kryesore të interesuara:</w:t>
      </w:r>
      <w:r w:rsidR="00E331D7" w:rsidRPr="00E331D7">
        <w:t xml:space="preserve"> </w:t>
      </w:r>
      <w:r w:rsidRPr="00E331D7">
        <w:t>Rasti përfshinte një rrjet të ndërlikuar aktorësh:</w:t>
      </w:r>
    </w:p>
    <w:p w:rsidR="007637AF" w:rsidRDefault="007637AF" w:rsidP="00E331D7">
      <w:pPr>
        <w:widowControl w:val="0"/>
        <w:numPr>
          <w:ilvl w:val="1"/>
          <w:numId w:val="23"/>
        </w:numPr>
        <w:pBdr>
          <w:top w:val="nil"/>
          <w:left w:val="nil"/>
          <w:bottom w:val="nil"/>
          <w:right w:val="nil"/>
          <w:between w:val="nil"/>
        </w:pBdr>
        <w:spacing w:after="0"/>
        <w:jc w:val="left"/>
      </w:pPr>
      <w:r w:rsidRPr="00E331D7">
        <w:rPr>
          <w:i/>
          <w:iCs/>
        </w:rPr>
        <w:t>Të akuzuarit: Kryesisht Hashim Rexhepi, por edhe Shkendije Himaj dhe Ibish Mazreku u përballën me akuza.</w:t>
      </w:r>
      <w:r w:rsidRPr="00E331D7">
        <w:rPr>
          <w:rFonts w:eastAsia="Google Sans Text" w:cs="Times New Roman"/>
          <w:color w:val="575B5F"/>
          <w:szCs w:val="24"/>
          <w:vertAlign w:val="superscript"/>
        </w:rPr>
        <w:t>1</w:t>
      </w:r>
    </w:p>
    <w:p w:rsidR="007637AF" w:rsidRDefault="007637AF" w:rsidP="00E331D7">
      <w:pPr>
        <w:widowControl w:val="0"/>
        <w:numPr>
          <w:ilvl w:val="1"/>
          <w:numId w:val="23"/>
        </w:numPr>
        <w:pBdr>
          <w:top w:val="nil"/>
          <w:left w:val="nil"/>
          <w:bottom w:val="nil"/>
          <w:right w:val="nil"/>
          <w:between w:val="nil"/>
        </w:pBdr>
        <w:spacing w:after="0"/>
        <w:jc w:val="left"/>
      </w:pPr>
      <w:r w:rsidRPr="00E331D7">
        <w:rPr>
          <w:i/>
          <w:iCs/>
        </w:rPr>
        <w:t>Organet Hetimore dhe Gjyqësore: Prokurorët e EULEX-it (përfshirë Nazmi Mustafin)</w:t>
      </w:r>
      <w:r w:rsidRPr="00E331D7">
        <w:rPr>
          <w:rFonts w:eastAsia="Google Sans Text" w:cs="Times New Roman"/>
          <w:color w:val="575B5F"/>
          <w:szCs w:val="24"/>
          <w:vertAlign w:val="superscript"/>
        </w:rPr>
        <w:t>192</w:t>
      </w:r>
      <w:r w:rsidRPr="00E331D7">
        <w:rPr>
          <w:i/>
          <w:iCs/>
        </w:rPr>
        <w:t>) dhe gjyqtarët (duke përfshirë gjyqtarët e procedurës paraprake dhe gjyqtarin e konfirmimit Gianfranco Gallo)</w:t>
      </w:r>
      <w:r>
        <w:rPr>
          <w:rFonts w:ascii="Google Sans Text" w:eastAsia="Google Sans Text" w:hAnsi="Google Sans Text"/>
          <w:color w:val="575B5F"/>
          <w:szCs w:val="24"/>
          <w:vertAlign w:val="superscript"/>
        </w:rPr>
        <w:t>186</w:t>
      </w:r>
      <w:r w:rsidRPr="00E331D7">
        <w:rPr>
          <w:i/>
          <w:iCs/>
        </w:rPr>
        <w:t>), Prokuroria Speciale e Republikës së Kosovës (PSRK) dhe Policia e Kosovës.</w:t>
      </w:r>
      <w:r w:rsidRPr="00E331D7">
        <w:rPr>
          <w:rFonts w:eastAsia="Google Sans Text" w:cs="Times New Roman"/>
          <w:color w:val="575B5F"/>
          <w:szCs w:val="24"/>
          <w:vertAlign w:val="superscript"/>
        </w:rPr>
        <w:t>1</w:t>
      </w:r>
    </w:p>
    <w:p w:rsidR="007637AF" w:rsidRDefault="007637AF" w:rsidP="00E331D7">
      <w:pPr>
        <w:widowControl w:val="0"/>
        <w:numPr>
          <w:ilvl w:val="1"/>
          <w:numId w:val="23"/>
        </w:numPr>
        <w:pBdr>
          <w:top w:val="nil"/>
          <w:left w:val="nil"/>
          <w:bottom w:val="nil"/>
          <w:right w:val="nil"/>
          <w:between w:val="nil"/>
        </w:pBdr>
        <w:spacing w:after="0"/>
        <w:jc w:val="left"/>
      </w:pPr>
      <w:r w:rsidRPr="00E331D7">
        <w:rPr>
          <w:i/>
          <w:iCs/>
        </w:rPr>
        <w:t>Institucionet e Prekura: Banka Qendrore e Kosovës (BQK), Banka për Biznes (BpB), Dardania Insurance dhe Shoqata e Sigurimeve të Kosovës.</w:t>
      </w:r>
      <w:r w:rsidRPr="00E331D7">
        <w:rPr>
          <w:rFonts w:eastAsia="Google Sans Text" w:cs="Times New Roman"/>
          <w:color w:val="575B5F"/>
          <w:szCs w:val="24"/>
          <w:vertAlign w:val="superscript"/>
        </w:rPr>
        <w:t>1</w:t>
      </w:r>
    </w:p>
    <w:p w:rsidR="007637AF" w:rsidRDefault="007637AF" w:rsidP="00E331D7">
      <w:pPr>
        <w:widowControl w:val="0"/>
        <w:numPr>
          <w:ilvl w:val="1"/>
          <w:numId w:val="23"/>
        </w:numPr>
        <w:pBdr>
          <w:top w:val="nil"/>
          <w:left w:val="nil"/>
          <w:bottom w:val="nil"/>
          <w:right w:val="nil"/>
          <w:between w:val="nil"/>
        </w:pBdr>
        <w:spacing w:after="120"/>
        <w:jc w:val="left"/>
      </w:pPr>
      <w:r w:rsidRPr="00E331D7">
        <w:rPr>
          <w:i/>
          <w:iCs/>
        </w:rPr>
        <w:t>Aktorët e Jashtëm: Media luajti një rol të rëndësishëm, me Rrjetin Ballkanik të Gazetarisë Investigative (BIRN) që kreu hetime kritike që nxorën në pah të metat në këtë rast.</w:t>
      </w:r>
      <w:r w:rsidRPr="00E331D7">
        <w:rPr>
          <w:rFonts w:eastAsia="Google Sans Text" w:cs="Times New Roman"/>
          <w:color w:val="575B5F"/>
          <w:szCs w:val="24"/>
          <w:vertAlign w:val="superscript"/>
        </w:rPr>
        <w:t>182</w:t>
      </w:r>
      <w:r w:rsidR="00E331D7">
        <w:rPr>
          <w:rFonts w:ascii="Google Sans Text" w:eastAsia="Google Sans Text" w:hAnsi="Google Sans Text"/>
          <w:szCs w:val="24"/>
        </w:rPr>
        <w:t xml:space="preserve"> </w:t>
      </w:r>
      <w:r w:rsidR="00E331D7" w:rsidRPr="00E331D7">
        <w:rPr>
          <w:i/>
          <w:iCs/>
        </w:rPr>
        <w:t>Z</w:t>
      </w:r>
      <w:r w:rsidRPr="00E331D7">
        <w:rPr>
          <w:i/>
          <w:iCs/>
        </w:rPr>
        <w:t>yra Civile Ndërkombëtare (ICO), organi mbikëqyrës ndërkombëtar i Kosovës në atë kohë, më vonë ofroi kritika.</w:t>
      </w:r>
      <w:r w:rsidRPr="00E331D7">
        <w:rPr>
          <w:rFonts w:eastAsia="Google Sans Text" w:cs="Times New Roman"/>
          <w:color w:val="575B5F"/>
          <w:szCs w:val="24"/>
          <w:vertAlign w:val="superscript"/>
        </w:rPr>
        <w:t>1</w:t>
      </w:r>
      <w:r w:rsidR="00E331D7">
        <w:rPr>
          <w:rFonts w:ascii="Google Sans Text" w:eastAsia="Google Sans Text" w:hAnsi="Google Sans Text"/>
          <w:szCs w:val="24"/>
        </w:rPr>
        <w:t xml:space="preserve"> </w:t>
      </w:r>
      <w:r w:rsidR="00E331D7" w:rsidRPr="00E331D7">
        <w:rPr>
          <w:i/>
          <w:iCs/>
        </w:rPr>
        <w:t>F</w:t>
      </w:r>
      <w:r w:rsidRPr="00E331D7">
        <w:rPr>
          <w:i/>
          <w:iCs/>
        </w:rPr>
        <w:t>igura të dyshuara politike u implikuan gjithashtu në ushtrimin e presionit ose në pasur interesa të lidhura me rastin.</w:t>
      </w:r>
      <w:r w:rsidRPr="00E331D7">
        <w:rPr>
          <w:rFonts w:eastAsia="Google Sans Text" w:cs="Times New Roman"/>
          <w:color w:val="575B5F"/>
          <w:szCs w:val="24"/>
          <w:vertAlign w:val="superscript"/>
        </w:rPr>
        <w:t>3</w:t>
      </w:r>
    </w:p>
    <w:p w:rsidR="005022C3" w:rsidRDefault="005022C3" w:rsidP="00E331D7">
      <w:pPr>
        <w:widowControl w:val="0"/>
        <w:pBdr>
          <w:top w:val="nil"/>
          <w:left w:val="nil"/>
          <w:bottom w:val="nil"/>
          <w:right w:val="nil"/>
          <w:between w:val="nil"/>
        </w:pBdr>
      </w:pPr>
    </w:p>
    <w:p w:rsidR="005022C3" w:rsidRDefault="005022C3" w:rsidP="00E331D7">
      <w:pPr>
        <w:widowControl w:val="0"/>
        <w:pBdr>
          <w:top w:val="nil"/>
          <w:left w:val="nil"/>
          <w:bottom w:val="nil"/>
          <w:right w:val="nil"/>
          <w:between w:val="nil"/>
        </w:pBdr>
      </w:pPr>
    </w:p>
    <w:p w:rsidR="005022C3" w:rsidRDefault="00E331D7" w:rsidP="003F6AFA">
      <w:pPr>
        <w:pStyle w:val="Heading2"/>
      </w:pPr>
      <w:bookmarkStart w:id="31" w:name="_Toc198555005"/>
      <w:r w:rsidRPr="00E331D7">
        <w:lastRenderedPageBreak/>
        <w:t>3.3 Procedurat Ligjore dhe Kontradiktat: Një Analizë Kohore</w:t>
      </w:r>
      <w:bookmarkEnd w:id="31"/>
    </w:p>
    <w:p w:rsidR="00E331D7" w:rsidRDefault="00E331D7" w:rsidP="00E331D7">
      <w:pPr>
        <w:pBdr>
          <w:top w:val="nil"/>
          <w:left w:val="nil"/>
          <w:bottom w:val="nil"/>
          <w:right w:val="nil"/>
          <w:between w:val="nil"/>
        </w:pBdr>
        <w:spacing w:line="275" w:lineRule="auto"/>
        <w:rPr>
          <w:rFonts w:ascii="Google Sans Text" w:eastAsia="Google Sans Text" w:hAnsi="Google Sans Text"/>
          <w:color w:val="575B5F"/>
          <w:szCs w:val="24"/>
          <w:vertAlign w:val="superscript"/>
        </w:rPr>
      </w:pPr>
      <w:r w:rsidRPr="00E331D7">
        <w:t>Procesi ligjor kundër Hashim Rexhepit ishte i gjatë dhe i mbushur me polemika, duke zgjatur gati 18 muaj nga arrestimi deri në shkarkimin përfundimtar.</w:t>
      </w:r>
      <w:r w:rsidRPr="00E331D7">
        <w:rPr>
          <w:rFonts w:eastAsia="Google Sans Text" w:cs="Times New Roman"/>
          <w:color w:val="575B5F"/>
          <w:szCs w:val="24"/>
          <w:vertAlign w:val="superscript"/>
        </w:rPr>
        <w:t>192</w:t>
      </w:r>
    </w:p>
    <w:p w:rsidR="00E331D7" w:rsidRPr="00E331D7" w:rsidRDefault="00000000" w:rsidP="00E331D7">
      <w:pPr>
        <w:rPr>
          <w:b/>
          <w:bCs/>
        </w:rPr>
      </w:pPr>
      <w:r>
        <w:rPr>
          <w:b/>
          <w:bCs/>
        </w:rPr>
        <w:pict>
          <v:rect id="_x0000_i1029" style="width:0;height:1.5pt" o:hralign="center" o:hrstd="t" o:hr="t" fillcolor="#a0a0a0" stroked="f"/>
        </w:pict>
      </w:r>
      <w:r w:rsidR="00E331D7" w:rsidRPr="00E331D7">
        <w:rPr>
          <w:b/>
          <w:bCs/>
        </w:rPr>
        <w:t>Tabela 3: Afati kohor dhe ngjarjet kryesore të rastit Hashim Rexhepi</w:t>
      </w:r>
    </w:p>
    <w:p w:rsidR="00E331D7" w:rsidRDefault="00E331D7" w:rsidP="00E331D7"/>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20" w:firstRow="1" w:lastRow="0" w:firstColumn="0" w:lastColumn="0" w:noHBand="1" w:noVBand="1"/>
      </w:tblPr>
      <w:tblGrid>
        <w:gridCol w:w="2340"/>
        <w:gridCol w:w="2340"/>
        <w:gridCol w:w="2340"/>
        <w:gridCol w:w="2340"/>
      </w:tblGrid>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E331D7" w:rsidRPr="00E331D7" w:rsidRDefault="00E331D7" w:rsidP="00E331D7">
            <w:pPr>
              <w:jc w:val="center"/>
              <w:rPr>
                <w:b/>
                <w:bCs/>
              </w:rPr>
            </w:pPr>
            <w:r w:rsidRPr="00E331D7">
              <w:rPr>
                <w:b/>
                <w:bCs/>
              </w:rPr>
              <w:t>Data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E331D7" w:rsidRPr="00E331D7" w:rsidRDefault="00E331D7" w:rsidP="00E331D7">
            <w:pPr>
              <w:jc w:val="center"/>
              <w:rPr>
                <w:b/>
                <w:bCs/>
              </w:rPr>
            </w:pPr>
            <w:r w:rsidRPr="00E331D7">
              <w:rPr>
                <w:b/>
                <w:bCs/>
              </w:rPr>
              <w:t>Ngjarje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E331D7" w:rsidRPr="00E331D7" w:rsidRDefault="00E331D7" w:rsidP="00E331D7">
            <w:pPr>
              <w:jc w:val="center"/>
              <w:rPr>
                <w:b/>
                <w:bCs/>
              </w:rPr>
            </w:pPr>
            <w:r w:rsidRPr="00E331D7">
              <w:rPr>
                <w:b/>
                <w:bCs/>
              </w:rPr>
              <w:t>Aktorët kryesorë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rsidR="00E331D7" w:rsidRPr="00E331D7" w:rsidRDefault="00E331D7" w:rsidP="00E331D7">
            <w:pPr>
              <w:jc w:val="center"/>
              <w:rPr>
                <w:b/>
                <w:bCs/>
              </w:rPr>
            </w:pPr>
            <w:r w:rsidRPr="00E331D7">
              <w:rPr>
                <w:b/>
                <w:bCs/>
              </w:rPr>
              <w:t>Fragment(e) burimor</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23 korrik 2010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Arrestimi i Rexhepit, Himajt, Mazrekut, Jashanicës; kontrolle në BQK, banesa, kompani private. Akuza fillestare të përgjithshme (shpërdorim detyre, ryshfet, shmangie taksash, ndikim tregtar, pastrim parash).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Policia e Kosovës, Prokurorët/Gjyqtarët e EULEX-it, Prokuroria Speciale e Prokurorisë Speciale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29 korrik 2010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Prokuroria Speciale e Prokurorisë së Shtetit zgjeron hetimin kundër Rexhepit për të përfshirë akuza shtesë për “Shpërdorim të detyrës zyrtare” dhe “Marrje ryshfeti” në lidhje me licencat e sigurimit të viteve 2006-2008.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SPRK (EULEX)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194</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20 tetor 2010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 xml:space="preserve">Seanca dëgjimore për paraburgimin zbulon se prokuroria është mbështetur vetëm në letra anonime për 3 akuza për ryshfet kundër të pandehurve. Seanca dëgjimore u </w:t>
            </w:r>
            <w:r w:rsidRPr="00D11E1E">
              <w:rPr>
                <w:rFonts w:eastAsia="Google Sans Text" w:cs="Times New Roman"/>
                <w:sz w:val="20"/>
              </w:rPr>
              <w:lastRenderedPageBreak/>
              <w:t>mbyll në pritje të provave të reja.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lastRenderedPageBreak/>
              <w:t>Gjyqtar i EULEX-it, Prokuroria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182</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26 tetor 2010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Gjyqtarët e apelit vendosën se materiali anonim nuk duhej të ishte përdorur. Pranojnë se dështimi për të paraqitur prova të reja për mbrojtjen shkeli Konventën Evropiane për të Drejtat e Njeriut (KEDNJ).</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Gjyqtarët e EULEX-it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182</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18/19 nëntor 2010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Rexhepi u lirua nga paraburgimi pas 4 muajsh, pas kërkesës së PSRK-së ku thuhej se ishin siguruar prova të mjaftueshme. Liria me kusht u caktua në 20,000 euro; u vendosën masa kufizuese.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Gjyqtar i Procedurës Paraprake të EULEX-it, SPRK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190</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18 janar 2011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Hetimi kundër Rexhepit u zgjat edhe për 6 muaj të tjerë (deri më 21 korrik 2011).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Gjyqtar i EULEX-it për procedurë paraprake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190</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5 gusht 2011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Prokuroria Speciale e Prokurorisë së Përgjithshme ngre aktakuzë kundër Rexhepit dhe Mazrekut. Shumica e akuzave të rënda fillestare (p.sh., pastrim parash, evazion fiskal, disa pretendime për ryshfet) hidhen poshtë.</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SPRK (EULEX)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Tetor 2011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 xml:space="preserve">Seanca dëgjimore për konfirmimin e aktakuzës u mbajt për akuzat e mbetura kundër Rexhepit (5 akuza: shpërdorim detyre, </w:t>
            </w:r>
            <w:r w:rsidRPr="00D11E1E">
              <w:rPr>
                <w:rFonts w:eastAsia="Google Sans Text" w:cs="Times New Roman"/>
                <w:sz w:val="20"/>
              </w:rPr>
              <w:lastRenderedPageBreak/>
              <w:t>ndikim tregtar, mashtrim) dhe Mazrekut (3 akuza).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lastRenderedPageBreak/>
              <w:t xml:space="preserve">Gjykata e Qarkut (kryesues gjyqtari i EULEX-it Gallo), Prokurori i Prokurorisë Speciale të Prokurorisë </w:t>
            </w:r>
            <w:r w:rsidRPr="00D11E1E">
              <w:rPr>
                <w:rFonts w:eastAsia="Google Sans Text" w:cs="Times New Roman"/>
                <w:sz w:val="20"/>
              </w:rPr>
              <w:lastRenderedPageBreak/>
              <w:t>së Përgjithshme Nazmi Mustafi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lastRenderedPageBreak/>
              <w:t>192</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12/15 Dhjetor, 2011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Gjykatësi i konfirmimit Gianfranco Gallo i rrëzon të 5 akuzat e mbetura kundër Rexhepit. Vendos se veprimet në akuzat 1, 2, 5 nuk përbënin vepra penale (shpërdorim i papërshtatshëm, por jo i paligjshëm i detyrës/ndikim tregtar). Gjen prova të pamjaftueshme për akuzat 3 dhe 4 (kredi, borxh ndaj Dardanias). Vëren gabime faktike nga prokuroria. Një akuzë (shpërdorim i detyrës) mbështetet kundër Mazrekut.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sz w:val="20"/>
              </w:rPr>
            </w:pPr>
            <w:r w:rsidRPr="00D11E1E">
              <w:rPr>
                <w:rFonts w:eastAsia="Google Sans Text" w:cs="Times New Roman"/>
                <w:sz w:val="20"/>
              </w:rPr>
              <w:t>Gjyqtari i EULEX-it Gallo</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D11E1E" w:rsidRDefault="00E331D7" w:rsidP="00D11E1E">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D11E1E">
              <w:rPr>
                <w:rFonts w:eastAsia="Google Sans Text" w:cs="Times New Roman"/>
                <w:color w:val="575B5F"/>
                <w:szCs w:val="24"/>
                <w:vertAlign w:val="superscript"/>
              </w:rPr>
              <w:t>1</w:t>
            </w:r>
          </w:p>
        </w:tc>
      </w:tr>
      <w:tr w:rsidR="00E331D7" w:rsidTr="00271368">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E331D7" w:rsidRDefault="00E331D7" w:rsidP="00E331D7">
            <w:pPr>
              <w:pBdr>
                <w:top w:val="nil"/>
                <w:left w:val="nil"/>
                <w:bottom w:val="nil"/>
                <w:right w:val="nil"/>
                <w:between w:val="nil"/>
              </w:pBdr>
              <w:spacing w:before="120" w:after="120" w:line="275" w:lineRule="auto"/>
              <w:jc w:val="center"/>
              <w:rPr>
                <w:rFonts w:eastAsia="Google Sans Text" w:cs="Times New Roman"/>
                <w:sz w:val="20"/>
              </w:rPr>
            </w:pPr>
            <w:r w:rsidRPr="00E331D7">
              <w:rPr>
                <w:rFonts w:eastAsia="Google Sans Text" w:cs="Times New Roman"/>
                <w:sz w:val="20"/>
              </w:rPr>
              <w:t>Shkurt 2012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E331D7" w:rsidRDefault="00E331D7" w:rsidP="00E331D7">
            <w:pPr>
              <w:pBdr>
                <w:top w:val="nil"/>
                <w:left w:val="nil"/>
                <w:bottom w:val="nil"/>
                <w:right w:val="nil"/>
                <w:between w:val="nil"/>
              </w:pBdr>
              <w:spacing w:before="120" w:after="120" w:line="275" w:lineRule="auto"/>
              <w:jc w:val="center"/>
              <w:rPr>
                <w:rFonts w:eastAsia="Google Sans Text" w:cs="Times New Roman"/>
                <w:sz w:val="20"/>
              </w:rPr>
            </w:pPr>
            <w:r w:rsidRPr="00E331D7">
              <w:rPr>
                <w:rFonts w:eastAsia="Google Sans Text" w:cs="Times New Roman"/>
                <w:sz w:val="20"/>
              </w:rPr>
              <w:t>Ankesa e prokurorisë kundër pushimit nga puna u rrëzua nga gjyqtarët e apelit. Çështja kundër Rexhepit u mbyll përfundimisht.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E331D7" w:rsidRDefault="00E331D7" w:rsidP="00E331D7">
            <w:pPr>
              <w:pBdr>
                <w:top w:val="nil"/>
                <w:left w:val="nil"/>
                <w:bottom w:val="nil"/>
                <w:right w:val="nil"/>
                <w:between w:val="nil"/>
              </w:pBdr>
              <w:spacing w:before="120" w:after="120" w:line="275" w:lineRule="auto"/>
              <w:jc w:val="center"/>
              <w:rPr>
                <w:rFonts w:eastAsia="Google Sans Text" w:cs="Times New Roman"/>
                <w:sz w:val="20"/>
              </w:rPr>
            </w:pPr>
            <w:r w:rsidRPr="00E331D7">
              <w:rPr>
                <w:rFonts w:eastAsia="Google Sans Text" w:cs="Times New Roman"/>
                <w:sz w:val="20"/>
              </w:rPr>
              <w:t>Gjyqtarët e Apelit të EULEX-it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E331D7" w:rsidRPr="00E331D7" w:rsidRDefault="00E331D7" w:rsidP="00E331D7">
            <w:pPr>
              <w:pBdr>
                <w:top w:val="nil"/>
                <w:left w:val="nil"/>
                <w:bottom w:val="nil"/>
                <w:right w:val="nil"/>
                <w:between w:val="nil"/>
              </w:pBdr>
              <w:spacing w:before="120" w:after="120" w:line="275" w:lineRule="auto"/>
              <w:jc w:val="center"/>
              <w:rPr>
                <w:rFonts w:eastAsia="Google Sans Text" w:cs="Times New Roman"/>
                <w:color w:val="575B5F"/>
                <w:szCs w:val="24"/>
                <w:vertAlign w:val="superscript"/>
              </w:rPr>
            </w:pPr>
            <w:r w:rsidRPr="00E331D7">
              <w:rPr>
                <w:rFonts w:eastAsia="Google Sans Text" w:cs="Times New Roman"/>
                <w:color w:val="575B5F"/>
                <w:szCs w:val="24"/>
                <w:vertAlign w:val="superscript"/>
              </w:rPr>
              <w:t>1</w:t>
            </w:r>
          </w:p>
        </w:tc>
      </w:tr>
    </w:tbl>
    <w:p w:rsidR="00E331D7" w:rsidRDefault="00000000" w:rsidP="00D11E1E">
      <w:r>
        <w:pict>
          <v:rect id="_x0000_i1030" style="width:0;height:1.5pt" o:hralign="center" o:hrstd="t" o:hr="t" fillcolor="#a0a0a0" stroked="f"/>
        </w:pict>
      </w:r>
      <w:r w:rsidR="00E331D7">
        <w:t>Kjo linjë kohore strukturon kronologjinë komplekse ligjore, duke nxjerrë në pah sekuencën, kohëzgjatjen dhe pikat kryesore të kthesës, gjë që lehtëson analizën e aspekteve procedurale dhe evolucionin e akuzave.</w:t>
      </w:r>
    </w:p>
    <w:p w:rsidR="00E331D7" w:rsidRDefault="00E331D7" w:rsidP="00D11E1E">
      <w:pPr>
        <w:widowControl w:val="0"/>
        <w:numPr>
          <w:ilvl w:val="0"/>
          <w:numId w:val="24"/>
        </w:numPr>
        <w:pBdr>
          <w:top w:val="nil"/>
          <w:left w:val="nil"/>
          <w:bottom w:val="nil"/>
          <w:right w:val="nil"/>
          <w:between w:val="nil"/>
        </w:pBdr>
        <w:spacing w:after="0"/>
        <w:jc w:val="left"/>
      </w:pPr>
      <w:r w:rsidRPr="00D11E1E">
        <w:rPr>
          <w:b/>
          <w:bCs/>
        </w:rPr>
        <w:t>Kontradiktat kryesore:</w:t>
      </w:r>
      <w:r w:rsidR="00D11E1E" w:rsidRPr="00D11E1E">
        <w:t xml:space="preserve"> </w:t>
      </w:r>
      <w:r w:rsidRPr="00D11E1E">
        <w:t>Çështja u shoqërua me çështje që ngritën pikëpyetje serioze në lidhje me hetimin dhe ndjekjen penale:</w:t>
      </w:r>
    </w:p>
    <w:p w:rsidR="00E331D7" w:rsidRDefault="00E331D7" w:rsidP="00D11E1E">
      <w:pPr>
        <w:widowControl w:val="0"/>
        <w:numPr>
          <w:ilvl w:val="1"/>
          <w:numId w:val="25"/>
        </w:numPr>
        <w:pBdr>
          <w:top w:val="nil"/>
          <w:left w:val="nil"/>
          <w:bottom w:val="nil"/>
          <w:right w:val="nil"/>
          <w:between w:val="nil"/>
        </w:pBdr>
        <w:spacing w:after="0"/>
        <w:jc w:val="left"/>
      </w:pPr>
      <w:r w:rsidRPr="00D11E1E">
        <w:rPr>
          <w:i/>
          <w:iCs/>
        </w:rPr>
        <w:t>Mbështetja në akuza anonime/të pabazuara: Mbështetja fillestare e prokurorisë në letra anonime si baza e vetme për disa akuza serioze për ryshfet ishte një shmangie e rëndësishme nga praktika standarde ligjore dhe normat ndërkombëtare, duke u rrëzuar përfundimisht nga gjyqtarët e apelit.</w:t>
      </w:r>
      <w:r w:rsidRPr="00D11E1E">
        <w:rPr>
          <w:rFonts w:eastAsia="Google Sans Text" w:cs="Times New Roman"/>
          <w:color w:val="575B5F"/>
          <w:szCs w:val="24"/>
          <w:vertAlign w:val="superscript"/>
        </w:rPr>
        <w:t>1</w:t>
      </w:r>
    </w:p>
    <w:p w:rsidR="00E331D7" w:rsidRPr="00D11E1E" w:rsidRDefault="00E331D7" w:rsidP="00D11E1E">
      <w:pPr>
        <w:widowControl w:val="0"/>
        <w:numPr>
          <w:ilvl w:val="1"/>
          <w:numId w:val="25"/>
        </w:numPr>
        <w:pBdr>
          <w:top w:val="nil"/>
          <w:left w:val="nil"/>
          <w:bottom w:val="nil"/>
          <w:right w:val="nil"/>
          <w:between w:val="nil"/>
        </w:pBdr>
        <w:spacing w:after="0"/>
        <w:jc w:val="left"/>
        <w:rPr>
          <w:i/>
          <w:iCs/>
        </w:rPr>
      </w:pPr>
      <w:r w:rsidRPr="00D11E1E">
        <w:rPr>
          <w:i/>
          <w:iCs/>
        </w:rPr>
        <w:t xml:space="preserve">Gabime faktike: Fletët e akuzës përmbanin gabime faktike të demonstrueshme, </w:t>
      </w:r>
      <w:r w:rsidRPr="00D11E1E">
        <w:rPr>
          <w:i/>
          <w:iCs/>
        </w:rPr>
        <w:lastRenderedPageBreak/>
        <w:t>të tilla si identifikimi i gabuar i klubit sportiv të përfshirë në akuzën për sponsorizim, pasaktësi në lidhje me afatin kohor të çështjes së borxhit të Dardanisë dhe konfuzion mbi pronësinë e aksioneve (fillimisht duke akuzuar Rexhepin, më vonë djalin e tij).</w:t>
      </w:r>
      <w:r w:rsidRPr="00D11E1E">
        <w:rPr>
          <w:rFonts w:eastAsia="Google Sans Text" w:cs="Times New Roman"/>
          <w:color w:val="575B5F"/>
          <w:szCs w:val="24"/>
          <w:vertAlign w:val="superscript"/>
        </w:rPr>
        <w:t>1</w:t>
      </w:r>
      <w:r w:rsidR="00D11E1E">
        <w:rPr>
          <w:rFonts w:ascii="Google Sans Text" w:eastAsia="Google Sans Text" w:hAnsi="Google Sans Text"/>
          <w:szCs w:val="24"/>
        </w:rPr>
        <w:t xml:space="preserve"> </w:t>
      </w:r>
      <w:r w:rsidR="00D11E1E" w:rsidRPr="00D11E1E">
        <w:rPr>
          <w:i/>
          <w:iCs/>
        </w:rPr>
        <w:t>K</w:t>
      </w:r>
      <w:r w:rsidRPr="00D11E1E">
        <w:rPr>
          <w:i/>
          <w:iCs/>
        </w:rPr>
        <w:t>ëto gabime minuan besueshmërinë e hetimit që në një fazë të hershme.</w:t>
      </w:r>
    </w:p>
    <w:p w:rsidR="00E331D7" w:rsidRDefault="00E331D7" w:rsidP="00D11E1E">
      <w:pPr>
        <w:widowControl w:val="0"/>
        <w:numPr>
          <w:ilvl w:val="1"/>
          <w:numId w:val="25"/>
        </w:numPr>
        <w:pBdr>
          <w:top w:val="nil"/>
          <w:left w:val="nil"/>
          <w:bottom w:val="nil"/>
          <w:right w:val="nil"/>
          <w:between w:val="nil"/>
        </w:pBdr>
        <w:spacing w:after="0"/>
        <w:jc w:val="left"/>
      </w:pPr>
      <w:r w:rsidRPr="00D11E1E">
        <w:rPr>
          <w:i/>
          <w:iCs/>
        </w:rPr>
        <w:t>Prova të Pamjaftueshme: Në fund të fundit, gjyqtari i konfirmimit i gjeti provat e paraqitura nga prokuroria të pamjaftueshme për të mbështetur një dyshim të bazuar mirë për akuzat e mbetura kundër Rexhepit, duke çuar në rrëzimin e tyre para gjyqit.</w:t>
      </w:r>
      <w:r w:rsidRPr="00D11E1E">
        <w:rPr>
          <w:rFonts w:eastAsia="Google Sans Text" w:cs="Times New Roman"/>
          <w:color w:val="575B5F"/>
          <w:szCs w:val="24"/>
          <w:vertAlign w:val="superscript"/>
        </w:rPr>
        <w:t>1</w:t>
      </w:r>
      <w:r w:rsidR="00D11E1E">
        <w:rPr>
          <w:rFonts w:ascii="Google Sans Text" w:eastAsia="Google Sans Text" w:hAnsi="Google Sans Text"/>
          <w:szCs w:val="24"/>
        </w:rPr>
        <w:t xml:space="preserve"> </w:t>
      </w:r>
      <w:r w:rsidR="00D11E1E" w:rsidRPr="00D11E1E">
        <w:rPr>
          <w:i/>
          <w:iCs/>
        </w:rPr>
        <w:t>K</w:t>
      </w:r>
      <w:r w:rsidRPr="00D11E1E">
        <w:rPr>
          <w:i/>
          <w:iCs/>
        </w:rPr>
        <w:t>y rezultat vërtetoi shqetësimet e mëparshme, përfshirë ato nga burime brenda vetë prokurorisë, në lidhje me dobësinë e çështjes.</w:t>
      </w:r>
      <w:r w:rsidRPr="00D11E1E">
        <w:rPr>
          <w:rFonts w:eastAsia="Google Sans Text" w:cs="Times New Roman"/>
          <w:color w:val="575B5F"/>
          <w:szCs w:val="24"/>
          <w:vertAlign w:val="superscript"/>
        </w:rPr>
        <w:t>182</w:t>
      </w:r>
    </w:p>
    <w:p w:rsidR="00E331D7" w:rsidRDefault="00E331D7" w:rsidP="00D11E1E">
      <w:pPr>
        <w:widowControl w:val="0"/>
        <w:numPr>
          <w:ilvl w:val="1"/>
          <w:numId w:val="25"/>
        </w:numPr>
        <w:pBdr>
          <w:top w:val="nil"/>
          <w:left w:val="nil"/>
          <w:bottom w:val="nil"/>
          <w:right w:val="nil"/>
          <w:between w:val="nil"/>
        </w:pBdr>
        <w:spacing w:after="0"/>
        <w:jc w:val="left"/>
      </w:pPr>
      <w:r w:rsidRPr="00D11E1E">
        <w:rPr>
          <w:i/>
          <w:iCs/>
        </w:rPr>
        <w:t>Të meta procedurale: Ndodhën parregullsi të konsiderueshme procedurale. Rexhepi pretendoi se provat thelbësore nuk u përkthyen nga shqipja në anglisht përpara se urdhri i tij i arrestit të miratohej nga një gjyqtar i EULEX-it.</w:t>
      </w:r>
      <w:r w:rsidRPr="00D11E1E">
        <w:rPr>
          <w:rFonts w:eastAsia="Google Sans Text" w:cs="Times New Roman"/>
          <w:color w:val="575B5F"/>
          <w:szCs w:val="24"/>
          <w:vertAlign w:val="superscript"/>
        </w:rPr>
        <w:t>182</w:t>
      </w:r>
      <w:r w:rsidR="00D11E1E">
        <w:rPr>
          <w:rFonts w:ascii="Google Sans Text" w:eastAsia="Google Sans Text" w:hAnsi="Google Sans Text"/>
          <w:szCs w:val="24"/>
        </w:rPr>
        <w:t xml:space="preserve"> </w:t>
      </w:r>
      <w:r w:rsidR="00D11E1E" w:rsidRPr="00D11E1E">
        <w:rPr>
          <w:i/>
          <w:iCs/>
        </w:rPr>
        <w:t>P</w:t>
      </w:r>
      <w:r w:rsidRPr="00D11E1E">
        <w:rPr>
          <w:i/>
          <w:iCs/>
        </w:rPr>
        <w:t>ër më tepër, prokuroria i dha prova të reja gjyqtarit jashtë sallës së gjyqit pa ia zbuluar ato mbrojtjes, një shkelje e Konventës Evropiane për të Drejtat e Njeriut e pranuar nga gjyqtarët e apelit të EULEX-it.</w:t>
      </w:r>
      <w:r w:rsidRPr="00D11E1E">
        <w:rPr>
          <w:rFonts w:eastAsia="Google Sans Text" w:cs="Times New Roman"/>
          <w:color w:val="575B5F"/>
          <w:szCs w:val="24"/>
          <w:vertAlign w:val="superscript"/>
        </w:rPr>
        <w:t>182</w:t>
      </w:r>
    </w:p>
    <w:p w:rsidR="00E331D7" w:rsidRDefault="00E331D7" w:rsidP="00D11E1E">
      <w:pPr>
        <w:widowControl w:val="0"/>
        <w:numPr>
          <w:ilvl w:val="1"/>
          <w:numId w:val="25"/>
        </w:numPr>
        <w:pBdr>
          <w:top w:val="nil"/>
          <w:left w:val="nil"/>
          <w:bottom w:val="nil"/>
          <w:right w:val="nil"/>
          <w:between w:val="nil"/>
        </w:pBdr>
        <w:spacing w:after="0"/>
        <w:jc w:val="left"/>
      </w:pPr>
      <w:r w:rsidRPr="00D11E1E">
        <w:rPr>
          <w:i/>
          <w:iCs/>
        </w:rPr>
        <w:t>Pyetje mbi Motivimin Politik: Mbetën pyetje të vazhdueshme nëse hetimi ishte i motivuar politikisht, me qëllim shkarkimin e një guvernatori të pavarur i cili ishte përplasur me figura të fuqishme politike për kontrollin e burimeve financiare dhe vendimeve rregullatore.</w:t>
      </w:r>
      <w:r w:rsidRPr="00D11E1E">
        <w:rPr>
          <w:rFonts w:eastAsia="Google Sans Text" w:cs="Times New Roman"/>
          <w:color w:val="575B5F"/>
          <w:szCs w:val="24"/>
          <w:vertAlign w:val="superscript"/>
        </w:rPr>
        <w:t>1</w:t>
      </w:r>
      <w:r w:rsidR="00D11E1E">
        <w:rPr>
          <w:rFonts w:ascii="Google Sans Text" w:eastAsia="Google Sans Text" w:hAnsi="Google Sans Text"/>
          <w:szCs w:val="24"/>
        </w:rPr>
        <w:t xml:space="preserve"> </w:t>
      </w:r>
      <w:r w:rsidR="00D11E1E" w:rsidRPr="00D11E1E">
        <w:rPr>
          <w:i/>
          <w:iCs/>
        </w:rPr>
        <w:t>K</w:t>
      </w:r>
      <w:r w:rsidRPr="00D11E1E">
        <w:rPr>
          <w:i/>
          <w:iCs/>
        </w:rPr>
        <w:t>oha e arrestimit, pas presionit të dyshuar politik dhe një fushate negative mediatike, i nxiti këto dyshime.</w:t>
      </w:r>
      <w:r w:rsidRPr="00D11E1E">
        <w:rPr>
          <w:rFonts w:eastAsia="Google Sans Text" w:cs="Times New Roman"/>
          <w:color w:val="575B5F"/>
          <w:szCs w:val="24"/>
          <w:vertAlign w:val="superscript"/>
        </w:rPr>
        <w:t>1</w:t>
      </w:r>
      <w:r w:rsidR="00D11E1E">
        <w:rPr>
          <w:rFonts w:ascii="Google Sans Text" w:eastAsia="Google Sans Text" w:hAnsi="Google Sans Text"/>
          <w:szCs w:val="24"/>
        </w:rPr>
        <w:t xml:space="preserve"> </w:t>
      </w:r>
      <w:r w:rsidR="00D11E1E" w:rsidRPr="00D11E1E">
        <w:rPr>
          <w:i/>
          <w:iCs/>
        </w:rPr>
        <w:t>D</w:t>
      </w:r>
      <w:r w:rsidRPr="00D11E1E">
        <w:rPr>
          <w:i/>
          <w:iCs/>
        </w:rPr>
        <w:t>iplomatët thuhet se shprehën gjithashtu shqetësime në lidhje me motivet politike.</w:t>
      </w:r>
      <w:r w:rsidRPr="00D11E1E">
        <w:rPr>
          <w:rFonts w:eastAsia="Google Sans Text" w:cs="Times New Roman"/>
          <w:color w:val="575B5F"/>
          <w:szCs w:val="24"/>
          <w:vertAlign w:val="superscript"/>
        </w:rPr>
        <w:t>182</w:t>
      </w:r>
    </w:p>
    <w:p w:rsidR="00E331D7" w:rsidRDefault="00E331D7" w:rsidP="00D11E1E">
      <w:pPr>
        <w:widowControl w:val="0"/>
        <w:numPr>
          <w:ilvl w:val="1"/>
          <w:numId w:val="25"/>
        </w:numPr>
        <w:pBdr>
          <w:top w:val="nil"/>
          <w:left w:val="nil"/>
          <w:bottom w:val="nil"/>
          <w:right w:val="nil"/>
          <w:between w:val="nil"/>
        </w:pBdr>
        <w:spacing w:after="120"/>
        <w:jc w:val="left"/>
      </w:pPr>
      <w:r w:rsidRPr="00D11E1E">
        <w:rPr>
          <w:i/>
          <w:iCs/>
        </w:rPr>
        <w:t>Masa Disproporcionale: Përdorimi i policisë së armatosur rëndë për arrestimin, i kryer para kamerave të medias, dhe vendosja e katër muajve paraburgim bazuar në akuza që më vonë u rrëzuan ose u rrëzuan, u kritikuan si masa disproporcionale që shkaktuan dëme të konsiderueshme reputacioni përpara çdo dënimi.</w:t>
      </w:r>
      <w:r w:rsidRPr="00D11E1E">
        <w:rPr>
          <w:rFonts w:eastAsia="Google Sans Text" w:cs="Times New Roman"/>
          <w:color w:val="575B5F"/>
          <w:szCs w:val="24"/>
          <w:vertAlign w:val="superscript"/>
        </w:rPr>
        <w:t>1</w:t>
      </w:r>
    </w:p>
    <w:p w:rsidR="005022C3" w:rsidRDefault="005022C3" w:rsidP="00D11E1E">
      <w:pPr>
        <w:widowControl w:val="0"/>
        <w:pBdr>
          <w:top w:val="nil"/>
          <w:left w:val="nil"/>
          <w:bottom w:val="nil"/>
          <w:right w:val="nil"/>
          <w:between w:val="nil"/>
        </w:pBdr>
      </w:pPr>
    </w:p>
    <w:p w:rsidR="005022C3" w:rsidRDefault="005022C3" w:rsidP="00D11E1E">
      <w:pPr>
        <w:widowControl w:val="0"/>
        <w:pBdr>
          <w:top w:val="nil"/>
          <w:left w:val="nil"/>
          <w:bottom w:val="nil"/>
          <w:right w:val="nil"/>
          <w:between w:val="nil"/>
        </w:pBdr>
      </w:pPr>
    </w:p>
    <w:p w:rsidR="005022C3" w:rsidRDefault="005022C3" w:rsidP="00D11E1E">
      <w:pPr>
        <w:widowControl w:val="0"/>
        <w:pBdr>
          <w:top w:val="nil"/>
          <w:left w:val="nil"/>
          <w:bottom w:val="nil"/>
          <w:right w:val="nil"/>
          <w:between w:val="nil"/>
        </w:pBdr>
      </w:pPr>
    </w:p>
    <w:p w:rsidR="005022C3" w:rsidRDefault="005022C3" w:rsidP="00D11E1E">
      <w:pPr>
        <w:widowControl w:val="0"/>
        <w:pBdr>
          <w:top w:val="nil"/>
          <w:left w:val="nil"/>
          <w:bottom w:val="nil"/>
          <w:right w:val="nil"/>
          <w:between w:val="nil"/>
        </w:pBdr>
      </w:pPr>
    </w:p>
    <w:p w:rsidR="005022C3" w:rsidRDefault="00D11E1E" w:rsidP="003F6AFA">
      <w:pPr>
        <w:pStyle w:val="Heading2"/>
      </w:pPr>
      <w:bookmarkStart w:id="32" w:name="_Toc198555006"/>
      <w:r w:rsidRPr="00D11E1E">
        <w:lastRenderedPageBreak/>
        <w:t>3.4 Analiza e Çështjeve Procedurale dhe Debateve mbi Provat</w:t>
      </w:r>
      <w:bookmarkEnd w:id="32"/>
    </w:p>
    <w:p w:rsidR="00D11E1E" w:rsidRPr="00D11E1E" w:rsidRDefault="00D11E1E" w:rsidP="00D11E1E">
      <w:pPr>
        <w:pBdr>
          <w:top w:val="nil"/>
          <w:left w:val="nil"/>
          <w:bottom w:val="nil"/>
          <w:right w:val="nil"/>
          <w:between w:val="nil"/>
        </w:pBdr>
      </w:pPr>
      <w:r w:rsidRPr="00D11E1E">
        <w:t>Trajtimi i çështjes Rexhepi nxori në pah mangësi të konsiderueshme procedurale dhe praktika të dyshimta provash brenda prokurorisë së udhëhequr nga EULEX-i. Mbështetja në letra anonime për akuza të rënda</w:t>
      </w:r>
      <w:r w:rsidRPr="00D11E1E">
        <w:rPr>
          <w:rFonts w:eastAsia="Google Sans Text" w:cs="Times New Roman"/>
          <w:color w:val="575B5F"/>
          <w:szCs w:val="24"/>
          <w:vertAlign w:val="superscript"/>
        </w:rPr>
        <w:t>3</w:t>
      </w:r>
      <w:r>
        <w:rPr>
          <w:rFonts w:ascii="Google Sans Text" w:eastAsia="Google Sans Text" w:hAnsi="Google Sans Text"/>
          <w:szCs w:val="24"/>
        </w:rPr>
        <w:t xml:space="preserve"> </w:t>
      </w:r>
      <w:r w:rsidRPr="00D11E1E">
        <w:t>kundërshtoi drejtpërdrejt parimet themelore të sundimit të ligjit që kërkonin prova të verifikueshme dhe të drejtën e të akuzuarit për t'u përballur me akuzuesit e tyre - parime që EULEX-i ishte i mandatuar t'i mbështeste. Kjo praktikë, e korrigjuar përfundimisht nga gjyqtarët e apelit, hodhi dyshime të hershme mbi integritetin e hetimit.</w:t>
      </w:r>
    </w:p>
    <w:p w:rsidR="00D11E1E" w:rsidRPr="00D11E1E" w:rsidRDefault="00D11E1E" w:rsidP="00D11E1E">
      <w:pPr>
        <w:pBdr>
          <w:top w:val="nil"/>
          <w:left w:val="nil"/>
          <w:bottom w:val="nil"/>
          <w:right w:val="nil"/>
          <w:between w:val="nil"/>
        </w:pBdr>
      </w:pPr>
      <w:r w:rsidRPr="00D11E1E">
        <w:t>Prania e gabimeve të shumta faktike në fletë-akuzat fillestare</w:t>
      </w:r>
      <w:r w:rsidRPr="00D11E1E">
        <w:rPr>
          <w:rFonts w:eastAsia="Google Sans Text" w:cs="Times New Roman"/>
          <w:color w:val="575B5F"/>
          <w:szCs w:val="24"/>
          <w:vertAlign w:val="superscript"/>
        </w:rPr>
        <w:t>182</w:t>
      </w:r>
      <w:r>
        <w:rPr>
          <w:rFonts w:ascii="Google Sans Text" w:eastAsia="Google Sans Text" w:hAnsi="Google Sans Text"/>
          <w:szCs w:val="24"/>
        </w:rPr>
        <w:t xml:space="preserve"> </w:t>
      </w:r>
      <w:r w:rsidRPr="00D11E1E">
        <w:t>më tej sugjeroi mungesë të plotësisë ose kujdesit të duhur në hetimin paraprak. Gabimet në lidhje me rolin e Rexhepit në një klub sportiv ose kronologjinë e ngjarjeve që lidhen me sponsorizimin e BpB dhe borxhin ndaj Dardania nuk ishin detaje të vogla, por shkuan në thelb të akuzave për shpërdorim detyre.</w:t>
      </w:r>
    </w:p>
    <w:p w:rsidR="00D11E1E" w:rsidRPr="00D11E1E" w:rsidRDefault="00D11E1E" w:rsidP="002577B2">
      <w:pPr>
        <w:pBdr>
          <w:top w:val="nil"/>
          <w:left w:val="nil"/>
          <w:bottom w:val="nil"/>
          <w:right w:val="nil"/>
          <w:between w:val="nil"/>
        </w:pBdr>
      </w:pPr>
      <w:r w:rsidRPr="00D11E1E">
        <w:t>Hedhja poshtë e të gjitha akuzave nga gjyqtari Gallo varej nga dallimi midis sjelljes potencialisht të papërshtatshme ose joetike dhe veprimeve që përbëjnë vepër penale sipas ligjit të Kosovës.</w:t>
      </w:r>
      <w:r w:rsidRPr="00D11E1E">
        <w:rPr>
          <w:rFonts w:eastAsia="Google Sans Text" w:cs="Times New Roman"/>
          <w:color w:val="575B5F"/>
          <w:szCs w:val="24"/>
          <w:vertAlign w:val="superscript"/>
        </w:rPr>
        <w:t>186</w:t>
      </w:r>
      <w:r>
        <w:rPr>
          <w:rFonts w:ascii="Google Sans Text" w:eastAsia="Google Sans Text" w:hAnsi="Google Sans Text"/>
          <w:szCs w:val="24"/>
        </w:rPr>
        <w:t xml:space="preserve"> </w:t>
      </w:r>
      <w:r w:rsidRPr="00D11E1E">
        <w:t>Ndërsa pranoi veprimet që ngritën shqetësime (si pranimi i një kredie personale nga një bankë menjëherë pas lehtësimit të kufizimeve të saj), gjyqtari gjeti prova të pamjaftueshme për të vërtetuar se Rexhepi kishte abuzuar penalisht me pozicionin e tij zyrtar ose kishte përfituar përfitime të paligjshme në rastet specifike të akuzuara në aktakuzën përfundimtare.</w:t>
      </w:r>
      <w:r w:rsidRPr="00D11E1E">
        <w:rPr>
          <w:rFonts w:eastAsia="Google Sans Text" w:cs="Times New Roman"/>
          <w:color w:val="575B5F"/>
          <w:szCs w:val="24"/>
          <w:vertAlign w:val="superscript"/>
        </w:rPr>
        <w:t>186</w:t>
      </w:r>
      <w:r>
        <w:rPr>
          <w:rFonts w:ascii="Google Sans Text" w:eastAsia="Google Sans Text" w:hAnsi="Google Sans Text"/>
          <w:szCs w:val="24"/>
        </w:rPr>
        <w:t xml:space="preserve"> </w:t>
      </w:r>
      <w:r w:rsidRPr="00D11E1E">
        <w:t>Kjo thekson rëndësinë kritike të përmbushjes së pragut ligjor për akuzat penale, në vend që të mbështetemi vetëm në dyshime ose në parregullsi të perceptuar.</w:t>
      </w:r>
    </w:p>
    <w:p w:rsidR="00D11E1E" w:rsidRDefault="00D11E1E" w:rsidP="002577B2">
      <w:r w:rsidRPr="00D11E1E">
        <w:t>Shkeljet procedurale, të tilla si dështimi i pretenduar për të përkthyer provat</w:t>
      </w:r>
      <w:r w:rsidRPr="00D11E1E">
        <w:rPr>
          <w:rFonts w:cs="Times New Roman"/>
          <w:color w:val="575B5F"/>
          <w:vertAlign w:val="superscript"/>
        </w:rPr>
        <w:t>182</w:t>
      </w:r>
      <w:r>
        <w:t xml:space="preserve"> </w:t>
      </w:r>
      <w:r w:rsidRPr="00D11E1E">
        <w:t>dhe dështimi i konfirmuar për t'ia zbuluar siç duhet provat mbrojtjes</w:t>
      </w:r>
      <w:r w:rsidRPr="00D11E1E">
        <w:rPr>
          <w:rFonts w:cs="Times New Roman"/>
          <w:color w:val="575B5F"/>
          <w:vertAlign w:val="superscript"/>
        </w:rPr>
        <w:t>182</w:t>
      </w:r>
      <w:r w:rsidRPr="00D11E1E">
        <w:t>, shkeli të drejtat themelore për gjykim të drejtë të garantuara nga Konventa Evropiane për të Drejtat e Njeriut.</w:t>
      </w:r>
      <w:r w:rsidRPr="00D11E1E">
        <w:rPr>
          <w:rFonts w:cs="Times New Roman"/>
          <w:color w:val="575B5F"/>
          <w:vertAlign w:val="superscript"/>
        </w:rPr>
        <w:t>182</w:t>
      </w:r>
      <w:r>
        <w:t xml:space="preserve"> Këto lëshime dëmtuan më tej besueshmërinë e procesit dhe ngritën shqetësime në lidhje me standardet e aplikuara nga vetë misioni i sundimit të ligjit.</w:t>
      </w:r>
    </w:p>
    <w:p w:rsidR="005022C3" w:rsidRDefault="005022C3" w:rsidP="002577B2"/>
    <w:p w:rsidR="005022C3" w:rsidRDefault="005022C3" w:rsidP="002577B2">
      <w:pPr>
        <w:widowControl w:val="0"/>
        <w:pBdr>
          <w:top w:val="nil"/>
          <w:left w:val="nil"/>
          <w:bottom w:val="nil"/>
          <w:right w:val="nil"/>
          <w:between w:val="nil"/>
        </w:pBdr>
      </w:pPr>
    </w:p>
    <w:p w:rsidR="005022C3" w:rsidRDefault="005022C3" w:rsidP="002577B2">
      <w:pPr>
        <w:widowControl w:val="0"/>
        <w:pBdr>
          <w:top w:val="nil"/>
          <w:left w:val="nil"/>
          <w:bottom w:val="nil"/>
          <w:right w:val="nil"/>
          <w:between w:val="nil"/>
        </w:pBdr>
      </w:pPr>
    </w:p>
    <w:p w:rsidR="005022C3" w:rsidRDefault="002577B2" w:rsidP="003F6AFA">
      <w:pPr>
        <w:pStyle w:val="Heading2"/>
      </w:pPr>
      <w:bookmarkStart w:id="33" w:name="_Toc198555007"/>
      <w:r w:rsidRPr="002577B2">
        <w:lastRenderedPageBreak/>
        <w:t>3.5 Hedhja poshtë e akuzave dhe rezultatet ligjore</w:t>
      </w:r>
      <w:bookmarkEnd w:id="33"/>
    </w:p>
    <w:p w:rsidR="002577B2" w:rsidRDefault="002577B2" w:rsidP="002577B2">
      <w:pPr>
        <w:pBdr>
          <w:top w:val="nil"/>
          <w:left w:val="nil"/>
          <w:bottom w:val="nil"/>
          <w:right w:val="nil"/>
          <w:between w:val="nil"/>
        </w:pBdr>
        <w:rPr>
          <w:rFonts w:ascii="Google Sans Text" w:eastAsia="Google Sans Text" w:hAnsi="Google Sans Text"/>
          <w:color w:val="575B5F"/>
          <w:szCs w:val="24"/>
          <w:vertAlign w:val="superscript"/>
        </w:rPr>
      </w:pPr>
      <w:r w:rsidRPr="002577B2">
        <w:t>Pas gati 18 muajsh hetimesh dhe betejash ligjore, përfshirë katër muaj të kaluar në paraburgim, Hashim Rexhepi u lirua ligjërisht nga akuzat.</w:t>
      </w:r>
      <w:r w:rsidRPr="002577B2">
        <w:rPr>
          <w:rFonts w:eastAsia="Google Sans Text" w:cs="Times New Roman"/>
          <w:color w:val="575B5F"/>
          <w:szCs w:val="24"/>
          <w:vertAlign w:val="superscript"/>
        </w:rPr>
        <w:t>1</w:t>
      </w:r>
      <w:r>
        <w:rPr>
          <w:rFonts w:ascii="Google Sans Text" w:eastAsia="Google Sans Text" w:hAnsi="Google Sans Text"/>
          <w:szCs w:val="24"/>
        </w:rPr>
        <w:t xml:space="preserve"> </w:t>
      </w:r>
      <w:r w:rsidRPr="002577B2">
        <w:t>Në dhjetor 2011, gjykatësi i konfirmimit të EULEX-it, Gianfranco Gallo, i rrëzoi të pesë akuzat e mbetura në aktakuzën kundër Rexhepit.</w:t>
      </w:r>
      <w:r w:rsidRPr="002577B2">
        <w:rPr>
          <w:rFonts w:eastAsia="Google Sans Text" w:cs="Times New Roman"/>
          <w:color w:val="575B5F"/>
          <w:szCs w:val="24"/>
          <w:vertAlign w:val="superscript"/>
        </w:rPr>
        <w:t>186</w:t>
      </w:r>
    </w:p>
    <w:p w:rsidR="002577B2" w:rsidRDefault="002577B2" w:rsidP="002577B2">
      <w:pPr>
        <w:pBdr>
          <w:top w:val="nil"/>
          <w:left w:val="nil"/>
          <w:bottom w:val="nil"/>
          <w:right w:val="nil"/>
          <w:between w:val="nil"/>
        </w:pBdr>
        <w:rPr>
          <w:rFonts w:ascii="Google Sans Text" w:eastAsia="Google Sans Text" w:hAnsi="Google Sans Text"/>
          <w:color w:val="575B5F"/>
          <w:szCs w:val="24"/>
          <w:vertAlign w:val="superscript"/>
        </w:rPr>
      </w:pPr>
      <w:r w:rsidRPr="002577B2">
        <w:t>Arsyetimi i gjyqtarit, siç raportohet, ishte thelbësor: për disa akuza që lidhen me shpërdorim detyre ose tregtim ndikimi, gjyqtari vendosi që, ndërsa disa nga veprimet e Rexhepit mund të kenë qenë "të papërshtatshme", ato nuk ishin të lidhura në mënyrë të dukshme me ushtrimin e pushtetit ose autoritetit zyrtar në një mënyrë që përbënte një vepër penale sipas ligjit në fuqi.</w:t>
      </w:r>
      <w:r w:rsidRPr="002577B2">
        <w:rPr>
          <w:rFonts w:eastAsia="Google Sans Text" w:cs="Times New Roman"/>
          <w:color w:val="575B5F"/>
          <w:szCs w:val="24"/>
          <w:vertAlign w:val="superscript"/>
        </w:rPr>
        <w:t>186</w:t>
      </w:r>
      <w:r>
        <w:rPr>
          <w:rFonts w:ascii="Google Sans Text" w:eastAsia="Google Sans Text" w:hAnsi="Google Sans Text"/>
          <w:szCs w:val="24"/>
        </w:rPr>
        <w:t xml:space="preserve"> </w:t>
      </w:r>
      <w:r w:rsidRPr="002577B2">
        <w:t>Për akuzat e tjera, përfshirë ato që lidhen me kredinë e BpB-së dhe shlyerjen e borxhit të Dardanisë, gjyqtari nuk gjeti prova të mjaftueshme për të mbështetur një dyshim të bazuar mirë se Rexhepi kishte kryer krimet e supozuara.</w:t>
      </w:r>
      <w:r w:rsidRPr="002577B2">
        <w:rPr>
          <w:rFonts w:eastAsia="Google Sans Text" w:cs="Times New Roman"/>
          <w:color w:val="575B5F"/>
          <w:szCs w:val="24"/>
          <w:vertAlign w:val="superscript"/>
        </w:rPr>
        <w:t>186</w:t>
      </w:r>
      <w:r>
        <w:rPr>
          <w:rFonts w:ascii="Google Sans Text" w:eastAsia="Google Sans Text" w:hAnsi="Google Sans Text"/>
          <w:szCs w:val="24"/>
        </w:rPr>
        <w:t xml:space="preserve"> </w:t>
      </w:r>
      <w:r w:rsidRPr="002577B2">
        <w:t>Ankesa e prokurorisë kundër këtij pushimi nga akuza u refuzua në shkurt 2012, duke e bërë lirimin përfundimtar.</w:t>
      </w:r>
      <w:r w:rsidRPr="002577B2">
        <w:rPr>
          <w:rFonts w:eastAsia="Google Sans Text" w:cs="Times New Roman"/>
          <w:color w:val="575B5F"/>
          <w:szCs w:val="24"/>
          <w:vertAlign w:val="superscript"/>
        </w:rPr>
        <w:t>1</w:t>
      </w:r>
    </w:p>
    <w:p w:rsidR="002577B2" w:rsidRDefault="002577B2" w:rsidP="002577B2">
      <w:pPr>
        <w:pBdr>
          <w:top w:val="nil"/>
          <w:left w:val="nil"/>
          <w:bottom w:val="nil"/>
          <w:right w:val="nil"/>
          <w:between w:val="nil"/>
        </w:pBdr>
        <w:rPr>
          <w:rFonts w:ascii="Google Sans Text" w:eastAsia="Google Sans Text" w:hAnsi="Google Sans Text"/>
          <w:color w:val="575B5F"/>
          <w:szCs w:val="24"/>
          <w:vertAlign w:val="superscript"/>
        </w:rPr>
      </w:pPr>
      <w:r w:rsidRPr="002577B2">
        <w:t>Ndërsa Rexhepi u lirua nga akuzat, një akuzë për shpërdorim detyre thuhet se u konfirmua kundër të bashkëpandehurit Ibish Mazreku.</w:t>
      </w:r>
      <w:r w:rsidRPr="002577B2">
        <w:rPr>
          <w:rFonts w:eastAsia="Google Sans Text" w:cs="Times New Roman"/>
          <w:color w:val="575B5F"/>
          <w:szCs w:val="24"/>
          <w:vertAlign w:val="superscript"/>
        </w:rPr>
        <w:t>1</w:t>
      </w:r>
      <w:r>
        <w:rPr>
          <w:rFonts w:ascii="Google Sans Text" w:eastAsia="Google Sans Text" w:hAnsi="Google Sans Text"/>
          <w:szCs w:val="24"/>
        </w:rPr>
        <w:t xml:space="preserve"> </w:t>
      </w:r>
      <w:r w:rsidRPr="002577B2">
        <w:t>Pas lirimit të tij nga akuzat, Rexhepi tregoi qëllimin e tij për të kërkuar kompensim për dëmin e konsiderueshëm në reputacionin dhe të ardhurat e tij të shkaktuar nga hetimi i gabuar dhe procedurat e gjata.</w:t>
      </w:r>
      <w:r w:rsidRPr="002577B2">
        <w:rPr>
          <w:rFonts w:eastAsia="Google Sans Text" w:cs="Times New Roman"/>
          <w:color w:val="575B5F"/>
          <w:szCs w:val="24"/>
          <w:vertAlign w:val="superscript"/>
        </w:rPr>
        <w:t>186</w:t>
      </w:r>
    </w:p>
    <w:p w:rsidR="005022C3" w:rsidRDefault="005022C3" w:rsidP="002577B2">
      <w:pPr>
        <w:widowControl w:val="0"/>
        <w:pBdr>
          <w:top w:val="nil"/>
          <w:left w:val="nil"/>
          <w:bottom w:val="nil"/>
          <w:right w:val="nil"/>
          <w:between w:val="nil"/>
        </w:pBdr>
      </w:pPr>
    </w:p>
    <w:p w:rsidR="005022C3" w:rsidRDefault="005022C3" w:rsidP="002577B2">
      <w:pPr>
        <w:widowControl w:val="0"/>
        <w:pBdr>
          <w:top w:val="nil"/>
          <w:left w:val="nil"/>
          <w:bottom w:val="nil"/>
          <w:right w:val="nil"/>
          <w:between w:val="nil"/>
        </w:pBdr>
      </w:pPr>
    </w:p>
    <w:p w:rsidR="005022C3" w:rsidRDefault="005022C3" w:rsidP="002577B2">
      <w:pPr>
        <w:widowControl w:val="0"/>
        <w:pBdr>
          <w:top w:val="nil"/>
          <w:left w:val="nil"/>
          <w:bottom w:val="nil"/>
          <w:right w:val="nil"/>
          <w:between w:val="nil"/>
        </w:pBdr>
      </w:pPr>
    </w:p>
    <w:p w:rsidR="002577B2" w:rsidRDefault="002577B2" w:rsidP="002577B2">
      <w:pPr>
        <w:widowControl w:val="0"/>
        <w:pBdr>
          <w:top w:val="nil"/>
          <w:left w:val="nil"/>
          <w:bottom w:val="nil"/>
          <w:right w:val="nil"/>
          <w:between w:val="nil"/>
        </w:pBdr>
      </w:pPr>
    </w:p>
    <w:p w:rsidR="002577B2" w:rsidRDefault="002577B2" w:rsidP="002577B2">
      <w:pPr>
        <w:widowControl w:val="0"/>
        <w:pBdr>
          <w:top w:val="nil"/>
          <w:left w:val="nil"/>
          <w:bottom w:val="nil"/>
          <w:right w:val="nil"/>
          <w:between w:val="nil"/>
        </w:pBdr>
      </w:pPr>
    </w:p>
    <w:p w:rsidR="002577B2" w:rsidRDefault="002577B2" w:rsidP="002577B2">
      <w:pPr>
        <w:widowControl w:val="0"/>
        <w:pBdr>
          <w:top w:val="nil"/>
          <w:left w:val="nil"/>
          <w:bottom w:val="nil"/>
          <w:right w:val="nil"/>
          <w:between w:val="nil"/>
        </w:pBdr>
      </w:pPr>
    </w:p>
    <w:p w:rsidR="002577B2" w:rsidRDefault="002577B2" w:rsidP="002577B2">
      <w:pPr>
        <w:widowControl w:val="0"/>
        <w:pBdr>
          <w:top w:val="nil"/>
          <w:left w:val="nil"/>
          <w:bottom w:val="nil"/>
          <w:right w:val="nil"/>
          <w:between w:val="nil"/>
        </w:pBdr>
      </w:pPr>
    </w:p>
    <w:p w:rsidR="002577B2" w:rsidRDefault="002577B2" w:rsidP="002577B2">
      <w:pPr>
        <w:widowControl w:val="0"/>
        <w:pBdr>
          <w:top w:val="nil"/>
          <w:left w:val="nil"/>
          <w:bottom w:val="nil"/>
          <w:right w:val="nil"/>
          <w:between w:val="nil"/>
        </w:pBdr>
      </w:pPr>
    </w:p>
    <w:p w:rsidR="002577B2" w:rsidRDefault="002577B2" w:rsidP="002577B2">
      <w:pPr>
        <w:widowControl w:val="0"/>
        <w:pBdr>
          <w:top w:val="nil"/>
          <w:left w:val="nil"/>
          <w:bottom w:val="nil"/>
          <w:right w:val="nil"/>
          <w:between w:val="nil"/>
        </w:pBdr>
      </w:pPr>
    </w:p>
    <w:p w:rsidR="002577B2" w:rsidRDefault="002577B2" w:rsidP="003F6AFA">
      <w:pPr>
        <w:pStyle w:val="Heading2"/>
      </w:pPr>
      <w:bookmarkStart w:id="34" w:name="_Toc198555008"/>
      <w:r w:rsidRPr="002577B2">
        <w:lastRenderedPageBreak/>
        <w:t>3.6 Implikime më të gjera: Pavarësia Institucionale, Sundimi i Ligjit dhe Besimi Publik</w:t>
      </w:r>
      <w:bookmarkEnd w:id="34"/>
    </w:p>
    <w:p w:rsidR="002577B2" w:rsidRDefault="002577B2" w:rsidP="003F6AFA">
      <w:r>
        <w:t>Hetimi ndaj Hashim Rexhepit dhe rënia e tij përfundimtare pati implikime të gjera përtej individëve të përfshirë.</w:t>
      </w:r>
    </w:p>
    <w:p w:rsidR="002577B2" w:rsidRDefault="002577B2" w:rsidP="003F6AFA">
      <w:pPr>
        <w:widowControl w:val="0"/>
        <w:numPr>
          <w:ilvl w:val="0"/>
          <w:numId w:val="26"/>
        </w:numPr>
        <w:pBdr>
          <w:top w:val="nil"/>
          <w:left w:val="nil"/>
          <w:bottom w:val="nil"/>
          <w:right w:val="nil"/>
          <w:between w:val="nil"/>
        </w:pBdr>
        <w:spacing w:after="0"/>
        <w:jc w:val="left"/>
      </w:pPr>
      <w:r w:rsidRPr="002577B2">
        <w:rPr>
          <w:b/>
          <w:bCs/>
        </w:rPr>
        <w:t>Ndikimi tek individët:</w:t>
      </w:r>
      <w:r w:rsidRPr="002577B2">
        <w:t xml:space="preserve"> Pavarësisht lirimit të tij ligjor nga akuzat, Rexhepi pësoi dëme të konsiderueshme dhe të qëndrueshme në reputacionin e tij për shkak të arrestimit të profilit të lartë dhe akuzave serioze, megjithëse të pabazuara, të ngritura kundër tij.</w:t>
      </w:r>
      <w:r w:rsidRPr="002577B2">
        <w:rPr>
          <w:rFonts w:eastAsia="Google Sans Text" w:cs="Times New Roman"/>
          <w:color w:val="575B5F"/>
          <w:szCs w:val="24"/>
          <w:vertAlign w:val="superscript"/>
        </w:rPr>
        <w:t>1</w:t>
      </w:r>
      <w:r>
        <w:rPr>
          <w:rFonts w:ascii="Google Sans Text" w:eastAsia="Google Sans Text" w:hAnsi="Google Sans Text"/>
          <w:szCs w:val="24"/>
        </w:rPr>
        <w:t xml:space="preserve"> </w:t>
      </w:r>
      <w:r w:rsidRPr="002577B2">
        <w:t>Ai gjithashtu humbi pozicionin e tij si Guvernator i BQK-së.</w:t>
      </w:r>
      <w:r w:rsidRPr="002577B2">
        <w:rPr>
          <w:rFonts w:eastAsia="Google Sans Text" w:cs="Times New Roman"/>
          <w:color w:val="575B5F"/>
          <w:szCs w:val="24"/>
          <w:vertAlign w:val="superscript"/>
        </w:rPr>
        <w:t>3</w:t>
      </w:r>
    </w:p>
    <w:p w:rsidR="002577B2" w:rsidRDefault="002577B2" w:rsidP="003F6AFA">
      <w:pPr>
        <w:widowControl w:val="0"/>
        <w:numPr>
          <w:ilvl w:val="0"/>
          <w:numId w:val="26"/>
        </w:numPr>
        <w:pBdr>
          <w:top w:val="nil"/>
          <w:left w:val="nil"/>
          <w:bottom w:val="nil"/>
          <w:right w:val="nil"/>
          <w:between w:val="nil"/>
        </w:pBdr>
        <w:spacing w:after="0"/>
        <w:jc w:val="left"/>
      </w:pPr>
      <w:r w:rsidRPr="002577B2">
        <w:rPr>
          <w:b/>
          <w:bCs/>
        </w:rPr>
        <w:t>Ndikimi Institucional (BQK):</w:t>
      </w:r>
      <w:r w:rsidRPr="002577B2">
        <w:t xml:space="preserve"> Hetimi dëmtoi rëndë reputacionin dhe minoi pavarësinë e Bankës Qendrore, e cila më parë konsiderohej si një nga institucionet më të besueshme të Kosovës.</w:t>
      </w:r>
      <w:r w:rsidRPr="002577B2">
        <w:rPr>
          <w:rFonts w:eastAsia="Google Sans Text" w:cs="Times New Roman"/>
          <w:color w:val="575B5F"/>
          <w:szCs w:val="24"/>
          <w:vertAlign w:val="superscript"/>
        </w:rPr>
        <w:t>1</w:t>
      </w:r>
      <w:r>
        <w:rPr>
          <w:rFonts w:ascii="Google Sans Text" w:eastAsia="Google Sans Text" w:hAnsi="Google Sans Text"/>
          <w:szCs w:val="24"/>
        </w:rPr>
        <w:t xml:space="preserve"> </w:t>
      </w:r>
      <w:r w:rsidRPr="002577B2">
        <w:t>Spektakli i arrestimit të guvernatorit dhe trazirat që pasuan krijuan një mjedis ku bordi i BQK-së thuhet se u përpoq të merrte masa që do të kishin dobësuar pozicionin e guvernatorit dhe do të kishin rritur ndikimin politik.</w:t>
      </w:r>
      <w:r w:rsidRPr="002577B2">
        <w:rPr>
          <w:rFonts w:eastAsia="Google Sans Text" w:cs="Times New Roman"/>
          <w:color w:val="575B5F"/>
          <w:szCs w:val="24"/>
          <w:vertAlign w:val="superscript"/>
        </w:rPr>
        <w:t>3</w:t>
      </w:r>
      <w:r w:rsidRPr="002577B2">
        <w:t xml:space="preserve"> Ndërsa BQK-ja më vonë ndërmori reforma që synonin forcimin e qeverisjes</w:t>
      </w:r>
      <w:r w:rsidRPr="002577B2">
        <w:rPr>
          <w:rFonts w:eastAsia="Google Sans Text" w:cs="Times New Roman"/>
          <w:color w:val="575B5F"/>
          <w:szCs w:val="24"/>
          <w:vertAlign w:val="superscript"/>
        </w:rPr>
        <w:t>2</w:t>
      </w:r>
      <w:r w:rsidRPr="002577B2">
        <w:t>, episodi i Rexhepit shërbeu si një kujtesë e fortë e cenueshmërisë së institucionit ndaj presioneve të jashtme.</w:t>
      </w:r>
    </w:p>
    <w:p w:rsidR="002577B2" w:rsidRPr="002577B2" w:rsidRDefault="002577B2" w:rsidP="003F6AFA">
      <w:pPr>
        <w:widowControl w:val="0"/>
        <w:numPr>
          <w:ilvl w:val="0"/>
          <w:numId w:val="26"/>
        </w:numPr>
        <w:pBdr>
          <w:top w:val="nil"/>
          <w:left w:val="nil"/>
          <w:bottom w:val="nil"/>
          <w:right w:val="nil"/>
          <w:between w:val="nil"/>
        </w:pBdr>
        <w:spacing w:after="0"/>
        <w:jc w:val="left"/>
      </w:pPr>
      <w:r w:rsidRPr="002577B2">
        <w:rPr>
          <w:b/>
          <w:bCs/>
        </w:rPr>
        <w:t>Ndikimi Institucional (EULEX):</w:t>
      </w:r>
      <w:r w:rsidRPr="002577B2">
        <w:t xml:space="preserve"> Rasti rezultoi në një humbje të konsiderueshme të besueshmërisë për misionin EULEX.</w:t>
      </w:r>
      <w:r w:rsidRPr="002577B2">
        <w:rPr>
          <w:rFonts w:eastAsia="Google Sans Text" w:cs="Times New Roman"/>
          <w:color w:val="575B5F"/>
          <w:szCs w:val="24"/>
          <w:vertAlign w:val="superscript"/>
        </w:rPr>
        <w:t>1</w:t>
      </w:r>
      <w:r>
        <w:rPr>
          <w:rFonts w:ascii="Google Sans Text" w:eastAsia="Google Sans Text" w:hAnsi="Google Sans Text"/>
          <w:szCs w:val="24"/>
        </w:rPr>
        <w:t xml:space="preserve"> </w:t>
      </w:r>
      <w:r w:rsidRPr="002577B2">
        <w:t>Mangësitë e perceptuara hetimore, mbështetja në prova të dyshimta, të metat procedurale dhe dështimi përfundimtar për të siguruar një dënim në një rast korrupsioni kaq të profilit të lartë çuan në kritika të gjera.</w:t>
      </w:r>
      <w:r w:rsidRPr="002577B2">
        <w:rPr>
          <w:rFonts w:eastAsia="Google Sans Text" w:cs="Times New Roman"/>
          <w:color w:val="575B5F"/>
          <w:szCs w:val="24"/>
          <w:vertAlign w:val="superscript"/>
        </w:rPr>
        <w:t>3</w:t>
      </w:r>
      <w:r>
        <w:rPr>
          <w:rFonts w:ascii="Google Sans Text" w:eastAsia="Google Sans Text" w:hAnsi="Google Sans Text"/>
          <w:szCs w:val="24"/>
        </w:rPr>
        <w:t xml:space="preserve"> </w:t>
      </w:r>
      <w:r w:rsidRPr="002577B2">
        <w:t>Kjo ngriti pyetje themelore në lidhje me efektivitetin e EULEX-it në luftën kundër korrupsionit të nivelit të lartë, respektimin e standardeve të sundimit të ligjit që synonte të promovonte dhe ndjeshmërinë e tij ndaj dinamikave politike brenda Kosovës.</w:t>
      </w:r>
      <w:r w:rsidRPr="002577B2">
        <w:rPr>
          <w:rFonts w:eastAsia="Google Sans Text" w:cs="Times New Roman"/>
          <w:color w:val="575B5F"/>
          <w:szCs w:val="24"/>
          <w:vertAlign w:val="superscript"/>
        </w:rPr>
        <w:t>3</w:t>
      </w:r>
      <w:r>
        <w:rPr>
          <w:rFonts w:ascii="Google Sans Text" w:eastAsia="Google Sans Text" w:hAnsi="Google Sans Text"/>
          <w:szCs w:val="24"/>
        </w:rPr>
        <w:t xml:space="preserve"> </w:t>
      </w:r>
      <w:r w:rsidRPr="002577B2">
        <w:t>Rasti u bë emblematik i sfidave me të cilat përballen misionet ndërkombëtare të sundimit të ligjit që veprojnë në mjedise komplekse pas konfliktit.</w:t>
      </w:r>
    </w:p>
    <w:p w:rsidR="002577B2" w:rsidRDefault="002577B2" w:rsidP="003F6AFA">
      <w:pPr>
        <w:widowControl w:val="0"/>
        <w:numPr>
          <w:ilvl w:val="0"/>
          <w:numId w:val="26"/>
        </w:numPr>
        <w:pBdr>
          <w:top w:val="nil"/>
          <w:left w:val="nil"/>
          <w:bottom w:val="nil"/>
          <w:right w:val="nil"/>
          <w:between w:val="nil"/>
        </w:pBdr>
        <w:spacing w:after="120"/>
        <w:jc w:val="left"/>
      </w:pPr>
      <w:r w:rsidRPr="002577B2">
        <w:rPr>
          <w:b/>
          <w:bCs/>
        </w:rPr>
        <w:t>Ndikimi Shoqëror/Politik:</w:t>
      </w:r>
      <w:r w:rsidRPr="002577B2">
        <w:t xml:space="preserve"> Trajtimi i rastit Rexhepi gërryeu besimin e publikut jo vetëm në EULEX, por edhe në institucionet vendase.</w:t>
      </w:r>
      <w:r w:rsidRPr="002577B2">
        <w:rPr>
          <w:rFonts w:eastAsia="Google Sans Text" w:cs="Times New Roman"/>
          <w:color w:val="575B5F"/>
          <w:szCs w:val="24"/>
          <w:vertAlign w:val="superscript"/>
        </w:rPr>
        <w:t>1</w:t>
      </w:r>
      <w:r>
        <w:rPr>
          <w:rFonts w:ascii="Google Sans Text" w:eastAsia="Google Sans Text" w:hAnsi="Google Sans Text"/>
          <w:szCs w:val="24"/>
        </w:rPr>
        <w:t xml:space="preserve"> </w:t>
      </w:r>
      <w:r w:rsidRPr="002577B2">
        <w:t>Kjo i dha një goditje narrativës së progresit në luftën kundër korrupsionit të nivelit të lartë, duke nxitur potencialisht cinizmin midis popullatës.</w:t>
      </w:r>
      <w:r w:rsidRPr="002577B2">
        <w:rPr>
          <w:rFonts w:eastAsia="Google Sans Text" w:cs="Times New Roman"/>
          <w:color w:val="575B5F"/>
          <w:szCs w:val="24"/>
          <w:vertAlign w:val="superscript"/>
        </w:rPr>
        <w:t>1</w:t>
      </w:r>
      <w:r>
        <w:rPr>
          <w:rFonts w:ascii="Google Sans Text" w:eastAsia="Google Sans Text" w:hAnsi="Google Sans Text"/>
          <w:szCs w:val="24"/>
        </w:rPr>
        <w:t xml:space="preserve"> </w:t>
      </w:r>
      <w:r w:rsidRPr="002577B2">
        <w:t xml:space="preserve">Kjo çështje nxori në pah sfidat e thella në krijimin e një gjyqësori të pavarur dhe mekanizmave të fuqishëm të sundimit të ligjit të aftë për t'i mbajtur figurat e fuqishme përgjegjëse, të lira nga ndërhyrjet </w:t>
      </w:r>
      <w:r w:rsidRPr="002577B2">
        <w:lastRenderedPageBreak/>
        <w:t>politike.</w:t>
      </w:r>
      <w:r w:rsidRPr="002577B2">
        <w:rPr>
          <w:rFonts w:eastAsia="Google Sans Text" w:cs="Times New Roman"/>
          <w:color w:val="575B5F"/>
          <w:szCs w:val="24"/>
          <w:vertAlign w:val="superscript"/>
        </w:rPr>
        <w:t>1</w:t>
      </w:r>
    </w:p>
    <w:p w:rsidR="002577B2" w:rsidRDefault="002577B2" w:rsidP="003F6AFA">
      <w:pPr>
        <w:pBdr>
          <w:top w:val="nil"/>
          <w:left w:val="nil"/>
          <w:bottom w:val="nil"/>
          <w:right w:val="nil"/>
          <w:between w:val="nil"/>
        </w:pBdr>
        <w:spacing w:before="240"/>
        <w:rPr>
          <w:rFonts w:ascii="Google Sans Text" w:eastAsia="Google Sans Text" w:hAnsi="Google Sans Text"/>
          <w:szCs w:val="24"/>
        </w:rPr>
      </w:pPr>
      <w:r w:rsidRPr="003F6AFA">
        <w:t>Rasti Rexhepi shërben si një studim kritik që ilustron vështirësitë e mëdha në ndërtimin e integritetit institucional dhe vendosjen e sundimit të ligjit në shoqëritë pas konfliktit, veçanërisht kur ndërhyrjet ndërkombëtare kryqëzohen me strukturat lokale të pushtetit. Dështimi shumëplanësh përfshinte jo vetëm gabimet hetimore dhe procedurale të EULEX-it, por gjithashtu ekspozoi dobësitë në sistemin e kontrollit dhe balancimit të vetë Kosovës, duke përfshirë manipulimin e mundshëm të medias dhe mungesën e angazhimit të fuqishëm nga opozita parlamentare dhe shoqëria civile gjatë fazave kritike të rastit.</w:t>
      </w:r>
      <w:r w:rsidRPr="003F6AFA">
        <w:rPr>
          <w:rFonts w:eastAsia="Google Sans Text" w:cs="Times New Roman"/>
          <w:color w:val="575B5F"/>
          <w:szCs w:val="24"/>
          <w:vertAlign w:val="superscript"/>
        </w:rPr>
        <w:t>3</w:t>
      </w:r>
      <w:r w:rsidR="003F6AFA">
        <w:rPr>
          <w:rFonts w:ascii="Google Sans Text" w:eastAsia="Google Sans Text" w:hAnsi="Google Sans Text"/>
          <w:szCs w:val="24"/>
        </w:rPr>
        <w:t xml:space="preserve"> </w:t>
      </w:r>
      <w:r w:rsidR="003F6AFA" w:rsidRPr="003F6AFA">
        <w:t>A</w:t>
      </w:r>
      <w:r w:rsidRPr="003F6AFA">
        <w:t>i nënvizon se prania e thjeshtë e një misioni ndërkombëtar është e pamjaftueshme; suksesi kërkon respektim të palëkundur të procesit të rregullt ligjor, mbështetje në prova të forta, izolim nga presionet politike dhe pjesëmarrje aktive të institucioneve të forta dhe të pavarura vendase, duke përfshirë një media vigjilente si BIRN.</w:t>
      </w:r>
      <w:r w:rsidRPr="003F6AFA">
        <w:rPr>
          <w:rFonts w:eastAsia="Google Sans Text" w:cs="Times New Roman"/>
          <w:color w:val="575B5F"/>
          <w:szCs w:val="24"/>
          <w:vertAlign w:val="superscript"/>
        </w:rPr>
        <w:t>182</w:t>
      </w:r>
      <w:r w:rsidR="003F6AFA">
        <w:rPr>
          <w:rFonts w:ascii="Google Sans Text" w:eastAsia="Google Sans Text" w:hAnsi="Google Sans Text"/>
          <w:szCs w:val="24"/>
        </w:rPr>
        <w:t xml:space="preserve"> </w:t>
      </w:r>
      <w:r w:rsidR="003F6AFA" w:rsidRPr="003F6AFA">
        <w:t>d</w:t>
      </w:r>
      <w:r w:rsidRPr="003F6AFA">
        <w:t>he angazhoi shoqërinë civile. Dëmi i shkaktuar pavarësisë së BQK-së1demonstron brishtësinë e institucioneve kryesore shtetërore dhe pasojat negative afatgjata kur përpjekjet e profilit të lartë për sundimin e ligjit perceptohen si të gabuara ose të kompromentuara politikisht.</w:t>
      </w:r>
    </w:p>
    <w:p w:rsidR="002577B2" w:rsidRDefault="002577B2" w:rsidP="003F6AFA">
      <w:pPr>
        <w:widowControl w:val="0"/>
        <w:pBdr>
          <w:top w:val="nil"/>
          <w:left w:val="nil"/>
          <w:bottom w:val="nil"/>
          <w:right w:val="nil"/>
          <w:between w:val="nil"/>
        </w:pBdr>
      </w:pPr>
    </w:p>
    <w:p w:rsidR="002577B2" w:rsidRDefault="002577B2" w:rsidP="003F6AFA">
      <w:pPr>
        <w:widowControl w:val="0"/>
        <w:pBdr>
          <w:top w:val="nil"/>
          <w:left w:val="nil"/>
          <w:bottom w:val="nil"/>
          <w:right w:val="nil"/>
          <w:between w:val="nil"/>
        </w:pBdr>
      </w:pPr>
    </w:p>
    <w:p w:rsidR="005022C3" w:rsidRDefault="005022C3" w:rsidP="003F6AFA">
      <w:pPr>
        <w:widowControl w:val="0"/>
        <w:pBdr>
          <w:top w:val="nil"/>
          <w:left w:val="nil"/>
          <w:bottom w:val="nil"/>
          <w:right w:val="nil"/>
          <w:between w:val="nil"/>
        </w:pBdr>
      </w:pPr>
    </w:p>
    <w:p w:rsidR="005022C3" w:rsidRDefault="005022C3" w:rsidP="002577B2">
      <w:pPr>
        <w:widowControl w:val="0"/>
        <w:pBdr>
          <w:top w:val="nil"/>
          <w:left w:val="nil"/>
          <w:bottom w:val="nil"/>
          <w:right w:val="nil"/>
          <w:between w:val="nil"/>
        </w:pBdr>
      </w:pPr>
    </w:p>
    <w:p w:rsidR="005022C3" w:rsidRDefault="005022C3" w:rsidP="00EB5B87">
      <w:pPr>
        <w:widowControl w:val="0"/>
        <w:pBdr>
          <w:top w:val="nil"/>
          <w:left w:val="nil"/>
          <w:bottom w:val="nil"/>
          <w:right w:val="nil"/>
          <w:between w:val="nil"/>
        </w:pBdr>
      </w:pPr>
    </w:p>
    <w:p w:rsidR="005022C3" w:rsidRDefault="005022C3" w:rsidP="00EB5B87">
      <w:pPr>
        <w:widowControl w:val="0"/>
        <w:pBdr>
          <w:top w:val="nil"/>
          <w:left w:val="nil"/>
          <w:bottom w:val="nil"/>
          <w:right w:val="nil"/>
          <w:between w:val="nil"/>
        </w:pBdr>
      </w:pPr>
    </w:p>
    <w:p w:rsidR="005022C3" w:rsidRDefault="005022C3" w:rsidP="00EB5B87">
      <w:pPr>
        <w:widowControl w:val="0"/>
        <w:pBdr>
          <w:top w:val="nil"/>
          <w:left w:val="nil"/>
          <w:bottom w:val="nil"/>
          <w:right w:val="nil"/>
          <w:between w:val="nil"/>
        </w:pBdr>
      </w:pPr>
    </w:p>
    <w:p w:rsidR="005022C3" w:rsidRDefault="005022C3" w:rsidP="00EB5B87">
      <w:pPr>
        <w:widowControl w:val="0"/>
        <w:pBdr>
          <w:top w:val="nil"/>
          <w:left w:val="nil"/>
          <w:bottom w:val="nil"/>
          <w:right w:val="nil"/>
          <w:between w:val="nil"/>
        </w:pBdr>
      </w:pPr>
    </w:p>
    <w:p w:rsidR="005022C3" w:rsidRDefault="005022C3" w:rsidP="00EB5B87">
      <w:pPr>
        <w:widowControl w:val="0"/>
        <w:pBdr>
          <w:top w:val="nil"/>
          <w:left w:val="nil"/>
          <w:bottom w:val="nil"/>
          <w:right w:val="nil"/>
          <w:between w:val="nil"/>
        </w:pBdr>
      </w:pPr>
    </w:p>
    <w:p w:rsidR="005022C3" w:rsidRDefault="005022C3" w:rsidP="00EB5B87">
      <w:pPr>
        <w:widowControl w:val="0"/>
        <w:pBdr>
          <w:top w:val="nil"/>
          <w:left w:val="nil"/>
          <w:bottom w:val="nil"/>
          <w:right w:val="nil"/>
          <w:between w:val="nil"/>
        </w:pBdr>
      </w:pPr>
    </w:p>
    <w:p w:rsidR="00DC170B" w:rsidRDefault="00DC170B" w:rsidP="00EB5B87">
      <w:pPr>
        <w:widowControl w:val="0"/>
        <w:pBdr>
          <w:top w:val="nil"/>
          <w:left w:val="nil"/>
          <w:bottom w:val="nil"/>
          <w:right w:val="nil"/>
          <w:between w:val="nil"/>
        </w:pBdr>
      </w:pPr>
    </w:p>
    <w:p w:rsidR="00DC170B" w:rsidRDefault="003F6AFA" w:rsidP="003F6AFA">
      <w:pPr>
        <w:pStyle w:val="Heading1"/>
      </w:pPr>
      <w:bookmarkStart w:id="35" w:name="_Toc198555009"/>
      <w:r w:rsidRPr="003F6AFA">
        <w:lastRenderedPageBreak/>
        <w:t>Përfundim</w:t>
      </w:r>
      <w:bookmarkEnd w:id="35"/>
    </w:p>
    <w:p w:rsidR="00DC170B" w:rsidRDefault="00077A39" w:rsidP="003F6AFA">
      <w:pPr>
        <w:pStyle w:val="Heading2"/>
      </w:pPr>
      <w:bookmarkStart w:id="36" w:name="_Toc198555010"/>
      <w:r w:rsidRPr="00077A39">
        <w:t>Përmbledhje Analitike e Konkluzioneve</w:t>
      </w:r>
      <w:bookmarkEnd w:id="36"/>
    </w:p>
    <w:p w:rsidR="003F6AFA" w:rsidRDefault="003F6AFA" w:rsidP="003F6AFA">
      <w:r w:rsidRPr="003F6AFA">
        <w:t>Ky raport ka shqyrtuar parimet themelore që rregullojnë kreditë, ka analizuar karakteristikat dhe dinamikën specifike të tregut të kredive personale në zhvillim të shpejtë në Kosovë dhe ka analizuar një studim të rëndësishëm në qeverisjen financiare - hetimin e ish-Guvernatorit të BQK-së, Hashim Rexhepi. Konceptet themelore të principalit, interesit (të thjeshtë kundrejt atij të përbërë), normës vjetore të interesit (</w:t>
      </w:r>
      <w:r w:rsidR="005D0E9E">
        <w:t>NVP</w:t>
      </w:r>
      <w:r w:rsidRPr="003F6AFA">
        <w:t>), kushteve të kredisë dhe kolateralit ofrojnë kornizën e nevojshme për të kuptuar operacionet e kreditimit në nivel global.</w:t>
      </w:r>
      <w:r w:rsidRPr="003F6AFA">
        <w:rPr>
          <w:rFonts w:cs="Times New Roman"/>
          <w:color w:val="575B5F"/>
          <w:vertAlign w:val="superscript"/>
        </w:rPr>
        <w:t>5</w:t>
      </w:r>
      <w:r>
        <w:t xml:space="preserve"> </w:t>
      </w:r>
      <w:r w:rsidRPr="003F6AFA">
        <w:t>Tregu i kredive personale në Kosovë shfaq rritje dinamike, e nxitur kryesisht nga konsumi i fortë i familjeve i nxitur ndjeshëm nga remitancat e diasporës.</w:t>
      </w:r>
      <w:r w:rsidRPr="003F6AFA">
        <w:rPr>
          <w:rFonts w:cs="Times New Roman"/>
          <w:color w:val="575B5F"/>
          <w:vertAlign w:val="superscript"/>
        </w:rPr>
        <w:t>52</w:t>
      </w:r>
      <w:r>
        <w:t xml:space="preserve"> </w:t>
      </w:r>
      <w:r w:rsidRPr="003F6AFA">
        <w:t>Kjo rritje ndodh brenda një mjedisi financiar të ankoruar nga euro dhe të mbikëqyrur nga një BQK gjithnjë e më aktive, e cila po modernizon kuadrin e saj rregullator në përputhje me standardet e BE-së, duke u përqendruar në stabilitet, mbrojtje të konsumatorit dhe dixhitalizim.</w:t>
      </w:r>
      <w:r w:rsidRPr="003F6AFA">
        <w:rPr>
          <w:rFonts w:cs="Times New Roman"/>
          <w:color w:val="575B5F"/>
          <w:vertAlign w:val="superscript"/>
        </w:rPr>
        <w:t>2</w:t>
      </w:r>
      <w:r>
        <w:t xml:space="preserve"> </w:t>
      </w:r>
      <w:r w:rsidRPr="003F6AFA">
        <w:t>Megjithatë, tregu përballet me dobësi të lidhura me varësinë e tij nga remitancat dhe kufizimet e euroizimit.</w:t>
      </w:r>
      <w:r w:rsidRPr="003F6AFA">
        <w:rPr>
          <w:rFonts w:cs="Times New Roman"/>
          <w:color w:val="575B5F"/>
          <w:vertAlign w:val="superscript"/>
        </w:rPr>
        <w:t>63</w:t>
      </w:r>
      <w:r>
        <w:t xml:space="preserve"> </w:t>
      </w:r>
      <w:r w:rsidRPr="003F6AFA">
        <w:t>Studimi i rastit Hashim Rexhepi ofron një ilustrim të zymtë të sfidave të thella me të cilat përballet Kosova në sigurimin e pavarësisë institucionale, mbështetjen e sundimit të ligjit dhe luftimin e korrupsionit në nivel të lartë. Hetimi, i dëmtuar nga të metat procedurale, mbështetja në akuza të pabazuara dhe çështje të motivimit politik, në fund dështoi, duke dëmtuar besueshmërinë si të BQK-së ashtu edhe të misionit EULEX përgjegjës për hetimin.</w:t>
      </w:r>
      <w:r w:rsidRPr="003F6AFA">
        <w:rPr>
          <w:rFonts w:cs="Times New Roman"/>
          <w:color w:val="575B5F"/>
          <w:vertAlign w:val="superscript"/>
        </w:rPr>
        <w:t>1</w:t>
      </w:r>
      <w:r>
        <w:t xml:space="preserve"> Rasti nxjerr në pah ndërveprimin kompleks midis financave, rregulloreve, politikës dhe gjyqësorit në zhvillimin e vazhdueshëm të Kosovës.</w:t>
      </w:r>
    </w:p>
    <w:p w:rsidR="00DC170B" w:rsidRDefault="00DC170B" w:rsidP="003F6AFA"/>
    <w:p w:rsidR="00DC170B" w:rsidRDefault="00DC170B" w:rsidP="003F6AFA">
      <w:pPr>
        <w:widowControl w:val="0"/>
        <w:pBdr>
          <w:top w:val="nil"/>
          <w:left w:val="nil"/>
          <w:bottom w:val="nil"/>
          <w:right w:val="nil"/>
          <w:between w:val="nil"/>
        </w:pBdr>
      </w:pPr>
    </w:p>
    <w:p w:rsidR="00DC170B" w:rsidRDefault="00DC170B" w:rsidP="003F6AFA">
      <w:pPr>
        <w:widowControl w:val="0"/>
        <w:pBdr>
          <w:top w:val="nil"/>
          <w:left w:val="nil"/>
          <w:bottom w:val="nil"/>
          <w:right w:val="nil"/>
          <w:between w:val="nil"/>
        </w:pBdr>
      </w:pPr>
    </w:p>
    <w:p w:rsidR="00DC170B" w:rsidRDefault="00DC170B" w:rsidP="003F6AFA">
      <w:pPr>
        <w:widowControl w:val="0"/>
        <w:pBdr>
          <w:top w:val="nil"/>
          <w:left w:val="nil"/>
          <w:bottom w:val="nil"/>
          <w:right w:val="nil"/>
          <w:between w:val="nil"/>
        </w:pBdr>
      </w:pPr>
    </w:p>
    <w:p w:rsidR="00DC170B" w:rsidRDefault="00DC170B" w:rsidP="003F6AFA">
      <w:pPr>
        <w:widowControl w:val="0"/>
        <w:pBdr>
          <w:top w:val="nil"/>
          <w:left w:val="nil"/>
          <w:bottom w:val="nil"/>
          <w:right w:val="nil"/>
          <w:between w:val="nil"/>
        </w:pBdr>
      </w:pPr>
    </w:p>
    <w:p w:rsidR="00DC170B" w:rsidRDefault="00DC170B" w:rsidP="003F6AFA">
      <w:pPr>
        <w:widowControl w:val="0"/>
        <w:pBdr>
          <w:top w:val="nil"/>
          <w:left w:val="nil"/>
          <w:bottom w:val="nil"/>
          <w:right w:val="nil"/>
          <w:between w:val="nil"/>
        </w:pBdr>
      </w:pPr>
    </w:p>
    <w:p w:rsidR="00DC170B" w:rsidRDefault="003F6AFA" w:rsidP="003F6AFA">
      <w:pPr>
        <w:pStyle w:val="Heading2"/>
      </w:pPr>
      <w:bookmarkStart w:id="37" w:name="_Toc198555011"/>
      <w:r w:rsidRPr="003F6AFA">
        <w:lastRenderedPageBreak/>
        <w:t>Përmbledhje kryesore për zhvillimin e sektorit financiar dhe integritetin institucional të Kosovës</w:t>
      </w:r>
      <w:bookmarkEnd w:id="37"/>
    </w:p>
    <w:p w:rsidR="003F6AFA" w:rsidRDefault="003F6AFA" w:rsidP="003F6AFA">
      <w:r>
        <w:t>Disa përfundime kryesore dalin nga kjo analizë:</w:t>
      </w:r>
    </w:p>
    <w:p w:rsidR="003F6AFA" w:rsidRDefault="003F6AFA" w:rsidP="00F525CC">
      <w:pPr>
        <w:widowControl w:val="0"/>
        <w:numPr>
          <w:ilvl w:val="0"/>
          <w:numId w:val="27"/>
        </w:numPr>
        <w:pBdr>
          <w:top w:val="nil"/>
          <w:left w:val="nil"/>
          <w:bottom w:val="nil"/>
          <w:right w:val="nil"/>
          <w:between w:val="nil"/>
        </w:pBdr>
        <w:spacing w:after="0"/>
        <w:jc w:val="left"/>
      </w:pPr>
      <w:r w:rsidRPr="003F6AFA">
        <w:rPr>
          <w:b/>
          <w:bCs/>
        </w:rPr>
        <w:t>Zhvillimi i shpejtë paraqet mundësi dhe rreziqe:</w:t>
      </w:r>
      <w:r w:rsidRPr="003F6AFA">
        <w:t xml:space="preserve"> Sektori financiar i Kosovës, veçanërisht tregu i kredive personale, po zhvillohet me shpejtësi, duke ofruar akses më të madh në financim për familjet dhe bizneset.</w:t>
      </w:r>
      <w:r w:rsidRPr="003F6AFA">
        <w:rPr>
          <w:rFonts w:eastAsia="Google Sans Text" w:cs="Times New Roman"/>
          <w:color w:val="575B5F"/>
          <w:szCs w:val="24"/>
          <w:vertAlign w:val="superscript"/>
        </w:rPr>
        <w:t>2</w:t>
      </w:r>
      <w:r>
        <w:rPr>
          <w:rFonts w:ascii="Google Sans Text" w:eastAsia="Google Sans Text" w:hAnsi="Google Sans Text"/>
          <w:szCs w:val="24"/>
        </w:rPr>
        <w:t xml:space="preserve"> </w:t>
      </w:r>
      <w:r w:rsidRPr="003F6AFA">
        <w:t>Megjithatë, kjo rritje e shpejtë e kredisë kërkon menaxhim vigjilent të rrezikut dhe mbikëqyrje të fortë nga BQK-ja për të siguruar stabilitetin financiar dhe për të parandaluar përkeqësimin e mundshëm të cilësisë së aseteve.</w:t>
      </w:r>
      <w:r w:rsidRPr="003F6AFA">
        <w:rPr>
          <w:rFonts w:eastAsia="Google Sans Text" w:cs="Times New Roman"/>
          <w:color w:val="575B5F"/>
          <w:szCs w:val="24"/>
          <w:vertAlign w:val="superscript"/>
        </w:rPr>
        <w:t>2</w:t>
      </w:r>
      <w:r>
        <w:rPr>
          <w:rFonts w:ascii="Google Sans Text" w:eastAsia="Google Sans Text" w:hAnsi="Google Sans Text"/>
          <w:szCs w:val="24"/>
        </w:rPr>
        <w:t xml:space="preserve"> </w:t>
      </w:r>
      <w:r w:rsidRPr="003F6AFA">
        <w:t>Qëndrueshmëria e rritjes së mbështetur në konsumin e nxitur nga remitancat kërkon shqyrtim të kujdesshëm.</w:t>
      </w:r>
      <w:r w:rsidRPr="003F6AFA">
        <w:rPr>
          <w:rFonts w:eastAsia="Google Sans Text" w:cs="Times New Roman"/>
          <w:color w:val="575B5F"/>
          <w:szCs w:val="24"/>
          <w:vertAlign w:val="superscript"/>
        </w:rPr>
        <w:t>86</w:t>
      </w:r>
    </w:p>
    <w:p w:rsidR="003F6AFA" w:rsidRDefault="003F6AFA" w:rsidP="00F525CC">
      <w:pPr>
        <w:widowControl w:val="0"/>
        <w:numPr>
          <w:ilvl w:val="0"/>
          <w:numId w:val="27"/>
        </w:numPr>
        <w:pBdr>
          <w:top w:val="nil"/>
          <w:left w:val="nil"/>
          <w:bottom w:val="nil"/>
          <w:right w:val="nil"/>
          <w:between w:val="nil"/>
        </w:pBdr>
        <w:spacing w:after="0"/>
        <w:jc w:val="left"/>
      </w:pPr>
      <w:r w:rsidRPr="003F6AFA">
        <w:rPr>
          <w:b/>
          <w:bCs/>
        </w:rPr>
        <w:t>Pavarësia dhe efektiviteti i BQK-së janë thelbësore:</w:t>
      </w:r>
      <w:r w:rsidRPr="003F6AFA">
        <w:t xml:space="preserve"> Pavarësia, besueshmëria dhe kapaciteti mbikëqyrës i Bankës Qendrore të Kosovës janë thelbësore për ruajtjen e stabilitetit financiar, nxitjen e besimit të tregut dhe udhëzimin e zhvillimit të sektorit.</w:t>
      </w:r>
      <w:r w:rsidRPr="003F6AFA">
        <w:rPr>
          <w:rFonts w:eastAsia="Google Sans Text" w:cs="Times New Roman"/>
          <w:color w:val="575B5F"/>
          <w:szCs w:val="24"/>
          <w:vertAlign w:val="superscript"/>
        </w:rPr>
        <w:t>2</w:t>
      </w:r>
      <w:r>
        <w:rPr>
          <w:rFonts w:ascii="Google Sans Text" w:eastAsia="Google Sans Text" w:hAnsi="Google Sans Text"/>
          <w:szCs w:val="24"/>
        </w:rPr>
        <w:t xml:space="preserve"> </w:t>
      </w:r>
      <w:r w:rsidRPr="003F6AFA">
        <w:t>Mësimet nga epoka Rexhepi nënvizojnë nevojën për të mbrojtur vazhdimisht BQK-në nga ndërhyrjet politike dhe për të siguruar që strukturat e saj qeverisëse janë të forta.</w:t>
      </w:r>
      <w:r w:rsidRPr="003F6AFA">
        <w:rPr>
          <w:rFonts w:eastAsia="Google Sans Text" w:cs="Times New Roman"/>
          <w:color w:val="575B5F"/>
          <w:szCs w:val="24"/>
          <w:vertAlign w:val="superscript"/>
        </w:rPr>
        <w:t>3</w:t>
      </w:r>
    </w:p>
    <w:p w:rsidR="003F6AFA" w:rsidRPr="003F6AFA" w:rsidRDefault="003F6AFA" w:rsidP="00F525CC">
      <w:pPr>
        <w:widowControl w:val="0"/>
        <w:numPr>
          <w:ilvl w:val="0"/>
          <w:numId w:val="27"/>
        </w:numPr>
        <w:pBdr>
          <w:top w:val="nil"/>
          <w:left w:val="nil"/>
          <w:bottom w:val="nil"/>
          <w:right w:val="nil"/>
          <w:between w:val="nil"/>
        </w:pBdr>
        <w:spacing w:after="0"/>
        <w:jc w:val="left"/>
      </w:pPr>
      <w:r w:rsidRPr="003F6AFA">
        <w:rPr>
          <w:b/>
          <w:bCs/>
        </w:rPr>
        <w:t>Sundimi i ligjit kërkon rigorozitet dhe proces të rregullt ligjor:</w:t>
      </w:r>
      <w:r w:rsidRPr="003F6AFA">
        <w:t xml:space="preserve"> Përpjekjet e profilit të lartë kundër korrupsionit, qofshin ato të udhëhequra brenda vendit apo ndërkombëtare, duhet të bazohen në prova rigoroze dhe të verifikueshme dhe në respektim të rreptë të standardeve të procesit të rregullt ligjor dhe gjykimit të drejtë.</w:t>
      </w:r>
      <w:r w:rsidRPr="003F6AFA">
        <w:rPr>
          <w:rFonts w:eastAsia="Google Sans Text" w:cs="Times New Roman"/>
          <w:color w:val="575B5F"/>
          <w:szCs w:val="24"/>
          <w:vertAlign w:val="superscript"/>
        </w:rPr>
        <w:t>1</w:t>
      </w:r>
      <w:r>
        <w:rPr>
          <w:rFonts w:ascii="Google Sans Text" w:eastAsia="Google Sans Text" w:hAnsi="Google Sans Text"/>
          <w:szCs w:val="24"/>
        </w:rPr>
        <w:t xml:space="preserve"> </w:t>
      </w:r>
      <w:r w:rsidRPr="003F6AFA">
        <w:t>Dështimet, të tilla si ato të vërejtura në rastin Rexhepi (mbështetja në letra anonime, shkeljet procedurale</w:t>
      </w:r>
      <w:r>
        <w:rPr>
          <w:rFonts w:ascii="Google Sans Text" w:eastAsia="Google Sans Text" w:hAnsi="Google Sans Text"/>
          <w:color w:val="575B5F"/>
          <w:szCs w:val="24"/>
          <w:vertAlign w:val="superscript"/>
        </w:rPr>
        <w:t>182</w:t>
      </w:r>
      <w:r w:rsidRPr="003F6AFA">
        <w:t>), dëmtojnë rëndë legjitimitetin e sistemit të drejtësisë dhe gërryejnë besimin e publikut, duke penguar në fund të fundit progresin e vërtetë në luftën kundër korrupsionit.</w:t>
      </w:r>
    </w:p>
    <w:p w:rsidR="003F6AFA" w:rsidRPr="003F6AFA" w:rsidRDefault="003F6AFA" w:rsidP="00F525CC">
      <w:pPr>
        <w:widowControl w:val="0"/>
        <w:numPr>
          <w:ilvl w:val="0"/>
          <w:numId w:val="27"/>
        </w:numPr>
        <w:pBdr>
          <w:top w:val="nil"/>
          <w:left w:val="nil"/>
          <w:bottom w:val="nil"/>
          <w:right w:val="nil"/>
          <w:between w:val="nil"/>
        </w:pBdr>
        <w:spacing w:after="120"/>
        <w:jc w:val="left"/>
      </w:pPr>
      <w:r w:rsidRPr="003F6AFA">
        <w:rPr>
          <w:b/>
          <w:bCs/>
        </w:rPr>
        <w:t>Ndërveprimi i Financës, Politikës dhe Qeverisjes:</w:t>
      </w:r>
      <w:r w:rsidRPr="003F6AFA">
        <w:t xml:space="preserve"> Analiza tregon se zhvillimi i sektorit financiar në Kosovë nuk mund të ndahet nga konteksti më i gjerë i stabilitetit politik, integritetit institucional dhe efektivitetit të qeverisjes. Forcimi i institucioneve vendase, mbështetja e organeve të pavarura mbikëqyrëse dhe medias</w:t>
      </w:r>
      <w:r w:rsidRPr="003F6AFA">
        <w:rPr>
          <w:rFonts w:eastAsia="Google Sans Text" w:cs="Times New Roman"/>
          <w:color w:val="575B5F"/>
          <w:szCs w:val="24"/>
          <w:vertAlign w:val="superscript"/>
        </w:rPr>
        <w:t>182</w:t>
      </w:r>
      <w:r w:rsidRPr="003F6AFA">
        <w:t>, dhe sigurimi i llogaridhënies për të gjithë aktorët mbeten sfida qendrore për përparimin afatgjatë ekonomik dhe demokratik të Kosovës.</w:t>
      </w:r>
    </w:p>
    <w:p w:rsidR="00DC170B" w:rsidRDefault="00DC170B" w:rsidP="00F525CC">
      <w:pPr>
        <w:widowControl w:val="0"/>
        <w:pBdr>
          <w:top w:val="nil"/>
          <w:left w:val="nil"/>
          <w:bottom w:val="nil"/>
          <w:right w:val="nil"/>
          <w:between w:val="nil"/>
        </w:pBdr>
      </w:pPr>
    </w:p>
    <w:p w:rsidR="00DC170B" w:rsidRDefault="00077A39" w:rsidP="00F525CC">
      <w:pPr>
        <w:pStyle w:val="Heading2"/>
      </w:pPr>
      <w:bookmarkStart w:id="38" w:name="_Toc198555012"/>
      <w:r w:rsidRPr="00077A39">
        <w:lastRenderedPageBreak/>
        <w:t>Vlerësim Analitik dhe Rekomandime Strategjike</w:t>
      </w:r>
      <w:bookmarkEnd w:id="38"/>
    </w:p>
    <w:p w:rsidR="003F6AFA" w:rsidRDefault="003F6AFA" w:rsidP="00F525CC">
      <w:r>
        <w:t>Duke reflektuar mbi gjetjet, disa pika meritojnë shqyrtim të mëtejshëm. Qëndrueshmëria e modelit të rritjes së mbështetur nga kreditimi në Kosovë, duke pasur parasysh mbështetjen e saj në faktorë të jashtëm si remitancat dhe kufizimet e imponuara nga euroizimi, kërkon vlerësim të vazhdueshëm. Politikat që synojnë diversifikimin e ekonomisë dhe rritjen e produktivitetit vendas janë thelbësore për qëndrueshmërinë afatgjatë.</w:t>
      </w:r>
    </w:p>
    <w:p w:rsidR="003F6AFA" w:rsidRDefault="003F6AFA" w:rsidP="00F525CC">
      <w:pPr>
        <w:rPr>
          <w:rFonts w:ascii="Google Sans Text" w:eastAsia="Google Sans Text" w:hAnsi="Google Sans Text"/>
          <w:color w:val="575B5F"/>
          <w:szCs w:val="24"/>
          <w:vertAlign w:val="superscript"/>
        </w:rPr>
      </w:pPr>
      <w:r w:rsidRPr="003F6AFA">
        <w:t>Përparimet e fundit legjislative, veçanërisht Ligji i ri për Bankat dhe Ligji për Shërbimet e Pagesave që prezantojnë Bankën e Hapur</w:t>
      </w:r>
      <w:r w:rsidRPr="003F6AFA">
        <w:rPr>
          <w:rFonts w:eastAsia="Google Sans Text" w:cs="Times New Roman"/>
          <w:color w:val="575B5F"/>
          <w:szCs w:val="24"/>
          <w:vertAlign w:val="superscript"/>
        </w:rPr>
        <w:t>71</w:t>
      </w:r>
      <w:r w:rsidRPr="003F6AFA">
        <w:t>, përfaqësojnë hapa pozitivë drejt modernizimit dhe integrimit të mundshëm në BE. Megjithatë, zbatimi dhe zbatimi efektiv i tyre do të jetë thelbësor. Ndërtimi i vazhdueshëm i kapaciteteve brenda BQK-së, veçanërisht në mbikëqyrjen e bazuar në rrezik (SREP), mbikëqyrjen makroprudenciale dhe mbrojtjen e konsumatorit, është thelbësor për të menaxhuar peizazhin financiar në zhvillim.</w:t>
      </w:r>
      <w:r w:rsidRPr="003F6AFA">
        <w:rPr>
          <w:rFonts w:eastAsia="Google Sans Text" w:cs="Times New Roman"/>
          <w:color w:val="575B5F"/>
          <w:szCs w:val="24"/>
          <w:vertAlign w:val="superscript"/>
        </w:rPr>
        <w:t>2</w:t>
      </w:r>
    </w:p>
    <w:p w:rsidR="003F6AFA" w:rsidRDefault="003F6AFA" w:rsidP="00F525CC">
      <w:r>
        <w:t>Rasti Rexhepi nënvizon nevojën për mekanizma të fuqishëm për të siguruar llogaridhënien e institucioneve vendase dhe ndërkombëtare të përfshira në sektorin e drejtësisë. Transparenca në hetime dhe procese gjyqësore, së bashku me mbikëqyrjen e pavarur, është jetike për rindërtimin dhe ruajtjen e besimit publik.</w:t>
      </w:r>
    </w:p>
    <w:p w:rsidR="003F6AFA" w:rsidRDefault="003F6AFA" w:rsidP="00F525CC">
      <w:r>
        <w:t>Hulumtime të mëtejshme mund të eksplorojnë me vlerë ndikimin afatgjatë të hetimit Rexhepi në pavarësinë operacionale dhe efektivitetin e politikave të BQK-së. Përveç kësaj, vlerësimi i ndikimit të prekshëm të rregulloreve të reja për mbrojtjen e konsumatorit dhe iniciativave të njohurive financiare në sjelljen e konsumatorit dhe drejtësinë e tregut do të ofronte reagime të rëndësishme për politikëbërësit. Së fundmi, analizimi i ndikimit të mundshëm të miratimit të Bankës së Hapur në konkurrencën, inovacionin dhe përfshirjen financiare brenda kontekstit kosovar do të ishte në kohën e duhur.</w:t>
      </w:r>
    </w:p>
    <w:p w:rsidR="00DC170B" w:rsidRDefault="00DC170B" w:rsidP="00F525CC"/>
    <w:p w:rsidR="00DC170B" w:rsidRDefault="00DC170B" w:rsidP="00F525CC"/>
    <w:p w:rsidR="00F525CC" w:rsidRDefault="00F525CC" w:rsidP="00F525CC"/>
    <w:p w:rsidR="00F525CC" w:rsidRDefault="00F525CC" w:rsidP="00F525CC">
      <w:pPr>
        <w:pStyle w:val="Heading2"/>
      </w:pPr>
      <w:bookmarkStart w:id="39" w:name="_Toc198555013"/>
      <w:r w:rsidRPr="00F525CC">
        <w:lastRenderedPageBreak/>
        <w:t>Veprat e cituara</w:t>
      </w:r>
      <w:bookmarkEnd w:id="39"/>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Anketa e Kreditimit Bankar të CESEE-së – Gjysma e Parë e vitit 2022 - Iniciativa e Vjenës, aksesuar më 25 prill 2025,</w:t>
      </w:r>
      <w:hyperlink r:id="rId9">
        <w:r w:rsidRPr="00F525CC">
          <w:rPr>
            <w:rFonts w:eastAsia="Google Sans" w:cs="Times New Roman"/>
            <w:color w:val="0000EE"/>
            <w:szCs w:val="24"/>
            <w:u w:val="single"/>
          </w:rPr>
          <w:t>https://www.vienna-initiative.com/assets/Uploads/2022/economics_cesee_bls_2022_h1_en.pdf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pr2571-kosovo-review-sba-rsf - Fondi Monetar Ndërkombëtar (FMN), aksesuar më 25 prill 2025,</w:t>
      </w:r>
      <w:hyperlink r:id="rId10">
        <w:r w:rsidRPr="00F525CC">
          <w:rPr>
            <w:rFonts w:eastAsia="Google Sans" w:cs="Times New Roman"/>
            <w:color w:val="0000EE"/>
            <w:szCs w:val="24"/>
            <w:u w:val="single"/>
          </w:rPr>
          <w:t>https://www.imf.org/en/News/Articles/2025/03/20/pr2571-kosovo-review-sba-rsf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Fiasko e BE-së: rasti i Bankës Qendrore të Kosovës - Osservatorio Balcani Caucaso, aksesuar më 25 prill 2025,</w:t>
      </w:r>
      <w:hyperlink r:id="rId11">
        <w:r w:rsidRPr="00F525CC">
          <w:rPr>
            <w:rFonts w:eastAsia="Google Sans" w:cs="Times New Roman"/>
            <w:color w:val="0000EE"/>
            <w:szCs w:val="24"/>
            <w:u w:val="single"/>
          </w:rPr>
          <w:t>https://www.balcanicaucaso.org/eng/Areas/Kosovo/EU-fiasco-the-case-of-Kosovo-s-Central-Bank-110879</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www.ebrd.com, aksesuar më 25 prill 2025,</w:t>
      </w:r>
      <w:hyperlink r:id="rId12">
        <w:r w:rsidRPr="00F525CC">
          <w:rPr>
            <w:rFonts w:eastAsia="Google Sans" w:cs="Times New Roman"/>
            <w:color w:val="0000EE"/>
            <w:szCs w:val="24"/>
            <w:u w:val="single"/>
          </w:rPr>
          <w:t>https://www.ebrd.com/content/dam/ebrd_dxp/assets/pdfs/office-of-the-chief-economist/transition-report-archive/transition-report-2024/country-assessments-2023-24/south-eastern-europe.pdf-eastern-europe/Koovo520-Transition.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është një kredi, si funksionon, llojet dhe këshilla për marrjen e saj, aksesuar më 25 prill 2025,</w:t>
      </w:r>
      <w:hyperlink r:id="rId13">
        <w:r w:rsidRPr="00F525CC">
          <w:rPr>
            <w:rFonts w:eastAsia="Google Sans" w:cs="Times New Roman"/>
            <w:color w:val="0000EE"/>
            <w:szCs w:val="24"/>
            <w:u w:val="single"/>
          </w:rPr>
          <w:t>https://www.investopedia.com/terms/l/loan.asp</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Parimi: Përkufizimi në Kredi, Obligacione, Investime dhe Transaksione, aksesuar më 25 Prill 2025,</w:t>
      </w:r>
      <w:hyperlink r:id="rId14">
        <w:r w:rsidRPr="00F525CC">
          <w:rPr>
            <w:rFonts w:eastAsia="Google Sans" w:cs="Times New Roman"/>
            <w:color w:val="0000EE"/>
            <w:szCs w:val="24"/>
            <w:u w:val="single"/>
          </w:rPr>
          <w:t>https://www.investopedia.com/terms/p/principal.asp</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Normat e Interesit: Llojet dhe Çfarë Domethënieje Ato kanë për Huamarrësit, aksesuar më 25 Prill 2025,</w:t>
      </w:r>
      <w:hyperlink r:id="rId15">
        <w:r w:rsidRPr="00F525CC">
          <w:rPr>
            <w:rFonts w:eastAsia="Google Sans" w:cs="Times New Roman"/>
            <w:color w:val="0000EE"/>
            <w:szCs w:val="24"/>
            <w:u w:val="single"/>
          </w:rPr>
          <w:t>https://www.investopedia.com/terms/i/interestrate.asp</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Zgjedhja jonë e investimeve më të mira me interes të përbërë – Forbes Advisor UK, aksesuar më 25 prill 2025,</w:t>
      </w:r>
      <w:hyperlink r:id="rId16">
        <w:r w:rsidRPr="00F525CC">
          <w:rPr>
            <w:rFonts w:eastAsia="Google Sans" w:cs="Times New Roman"/>
            <w:color w:val="0000EE"/>
            <w:szCs w:val="24"/>
            <w:u w:val="single"/>
          </w:rPr>
          <w:t>https://www.forbes.com/uk/advisor/investing/best-compound-interest-investments/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Magjia Jetëndryshuese e Interesit të Përbërë - Forbes, aksesuar më 25 Prill 2025,</w:t>
      </w:r>
      <w:hyperlink r:id="rId17">
        <w:r w:rsidRPr="00F525CC">
          <w:rPr>
            <w:rFonts w:eastAsia="Google Sans" w:cs="Times New Roman"/>
            <w:color w:val="0000EE"/>
            <w:szCs w:val="24"/>
            <w:u w:val="single"/>
          </w:rPr>
          <w:t>https://www.forbes.com/advisor/au/investing/compound-interest-in-australia/</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Shqyrtimi i aspekteve ligjore dhe financiare të kredisë konsumatore në vende të përzgjedhura të Ballkanit Perëndimor dhe Kosovës - ResearchGate, aksesuar më 25 prill 2025,</w:t>
      </w:r>
      <w:hyperlink r:id="rId18">
        <w:r w:rsidRPr="00F525CC">
          <w:rPr>
            <w:rFonts w:eastAsia="Google Sans" w:cs="Times New Roman"/>
            <w:color w:val="0000EE"/>
            <w:szCs w:val="24"/>
            <w:u w:val="single"/>
          </w:rPr>
          <w:t>https://www.researchgate.net/publication/369045938_Examining_Legal_and_Financial_Aspects_of_Consumer_Credit_in_Selected_Countries_of_Western_</w:t>
        </w:r>
        <w:r w:rsidRPr="00F525CC">
          <w:rPr>
            <w:rFonts w:eastAsia="Google Sans" w:cs="Times New Roman"/>
            <w:color w:val="0000EE"/>
            <w:szCs w:val="24"/>
            <w:u w:val="single"/>
          </w:rPr>
          <w:lastRenderedPageBreak/>
          <w:t>Balkan_and_Kosovo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Mbrojtja e konsumatorit në sektorin bankar - Instituti GAP, aksesuar më 25 prill 2025,</w:t>
      </w:r>
      <w:hyperlink r:id="rId19">
        <w:r w:rsidRPr="00F525CC">
          <w:rPr>
            <w:rFonts w:eastAsia="Google Sans" w:cs="Times New Roman"/>
            <w:color w:val="0000EE"/>
            <w:szCs w:val="24"/>
            <w:u w:val="single"/>
          </w:rPr>
          <w:t>https://www.institutigap.org/documents/45703_Consumer%20protection%20in%20the%20banking%20sector.pdf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Hetimi i faktorëve përcaktues të rritjes së kredisë në rastin e Kosovës: Një model VAR, aksesuar më 25 prill 2025,</w:t>
      </w:r>
      <w:hyperlink r:id="rId20">
        <w:r w:rsidRPr="00F525CC">
          <w:rPr>
            <w:rFonts w:eastAsia="Google Sans" w:cs="Times New Roman"/>
            <w:color w:val="0000EE"/>
            <w:szCs w:val="24"/>
            <w:u w:val="single"/>
          </w:rPr>
          <w:t>https://www.researchgate.net/publication/388036307_Investigating_determinants_of_credit_growth_in_the_case_of_Kosovo_A_VAR_model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Kuptoni llojet e ndryshme të kredive në dispozicion | Konsumator ..., aksesuar më 25 prill 2025,</w:t>
      </w:r>
      <w:hyperlink r:id="rId21">
        <w:r w:rsidRPr="00F525CC">
          <w:rPr>
            <w:rFonts w:eastAsia="Google Sans" w:cs="Times New Roman"/>
            <w:color w:val="0000EE"/>
            <w:szCs w:val="24"/>
            <w:u w:val="single"/>
          </w:rPr>
          <w:t>https://www.consumerfinance.gov/owning-a-home/explore/understand-the-different-kinds-of-loans-available/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Bazat e Kredisë - Investopedia, aksesuar më 25 prill 2025,</w:t>
      </w:r>
      <w:hyperlink r:id="rId22">
        <w:r w:rsidRPr="00F525CC">
          <w:rPr>
            <w:rFonts w:eastAsia="Google Sans" w:cs="Times New Roman"/>
            <w:color w:val="0000EE"/>
            <w:szCs w:val="24"/>
            <w:u w:val="single"/>
          </w:rPr>
          <w:t>https://www.investopedia.com/loan-basics-4689731</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Publikimi: Kostot e Pagesave me Pakicë dhe Kursimet në Kosovë - Depozita e Njohurive të Hapura, aksesuar më 25 Prill 2025,</w:t>
      </w:r>
      <w:hyperlink r:id="rId23">
        <w:r w:rsidRPr="00F525CC">
          <w:rPr>
            <w:rFonts w:eastAsia="Google Sans" w:cs="Times New Roman"/>
            <w:color w:val="0000EE"/>
            <w:szCs w:val="24"/>
            <w:u w:val="single"/>
          </w:rPr>
          <w:t>https://openknowledge.worldbank.org/entities/publication/2a452123-14d4-5262-a1eb-e013ceaaf852</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 e siguruar vs. e pasiguruar: Cili është ndryshimi? - NerdWallet, aksesuar më 25 prill 2025,</w:t>
      </w:r>
      <w:hyperlink r:id="rId24">
        <w:r w:rsidRPr="00F525CC">
          <w:rPr>
            <w:rFonts w:eastAsia="Google Sans" w:cs="Times New Roman"/>
            <w:color w:val="0000EE"/>
            <w:szCs w:val="24"/>
            <w:u w:val="single"/>
          </w:rPr>
          <w:t>https://www.nerdwallet.com/article/loans/personal-loans/secured-vs-unsecured-loans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është një kredi e siguruar dhe si funksionon? - NerdWallet, aksesuar më 25 prill 2025,</w:t>
      </w:r>
      <w:hyperlink r:id="rId25">
        <w:r w:rsidRPr="00F525CC">
          <w:rPr>
            <w:rFonts w:eastAsia="Google Sans" w:cs="Times New Roman"/>
            <w:color w:val="0000EE"/>
            <w:szCs w:val="24"/>
            <w:u w:val="single"/>
          </w:rPr>
          <w:t>https://www.nerdwallet.com/article/loans/personal-loans/what-is-a-secured-loan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është një Kredi Personale e Pasiguruar? - NerdWallet, aksesuar më 25 Prill 2025,</w:t>
      </w:r>
      <w:hyperlink r:id="rId26">
        <w:r w:rsidRPr="00F525CC">
          <w:rPr>
            <w:rFonts w:eastAsia="Google Sans" w:cs="Times New Roman"/>
            <w:color w:val="0000EE"/>
            <w:szCs w:val="24"/>
            <w:u w:val="single"/>
          </w:rPr>
          <w:t>https://www.nerdwallet.com/article/loans/personal-loans/unsecured-personal-loans-no-collateral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 dhe Linja Krediti: Aplikoni për Personal, HELOC, Auto | Truist, aksesuar më 25 Prill 2025,</w:t>
      </w:r>
      <w:hyperlink r:id="rId27">
        <w:r w:rsidRPr="00F525CC">
          <w:rPr>
            <w:rFonts w:eastAsia="Google Sans" w:cs="Times New Roman"/>
            <w:color w:val="0000EE"/>
            <w:szCs w:val="24"/>
            <w:u w:val="single"/>
          </w:rPr>
          <w:t>https://www.truist.com/loans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Kuptimi i Kredive Bankare dhe Opsioneve të Kreditimit në Kosovë: Një Udhëzues për Ndërmarrjet e Vogla dhe të Mesme (NMVM), aksesuar më 25 Prill 2025,</w:t>
      </w:r>
      <w:hyperlink r:id="rId28">
        <w:r w:rsidRPr="00F525CC">
          <w:rPr>
            <w:rFonts w:eastAsia="Google Sans" w:cs="Times New Roman"/>
            <w:color w:val="0000EE"/>
            <w:szCs w:val="24"/>
            <w:u w:val="single"/>
          </w:rPr>
          <w:t>https://kcdf.org/toolkit/understanding-bank-loans-and-credit-options-in-kosovo-a-guide-for-msmes/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 Personale: Çfarë është, Si Funksionon dhe Si ta Merrni një të tillë, aksesuar më 25 Prill 2025,</w:t>
      </w:r>
      <w:hyperlink r:id="rId29">
        <w:r w:rsidRPr="00F525CC">
          <w:rPr>
            <w:rFonts w:eastAsia="Google Sans" w:cs="Times New Roman"/>
            <w:color w:val="0000EE"/>
            <w:szCs w:val="24"/>
            <w:u w:val="single"/>
          </w:rPr>
          <w:t>https://www.investopedia.com/personal-loan-5076027</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lastRenderedPageBreak/>
        <w:t>Edukimi Financiar i Konsumatorit: Kredi të Tjera - DFPI, aksesuar më 25 Prill 2025,</w:t>
      </w:r>
      <w:hyperlink r:id="rId30">
        <w:r w:rsidRPr="00F525CC">
          <w:rPr>
            <w:rFonts w:eastAsia="Google Sans" w:cs="Times New Roman"/>
            <w:color w:val="0000EE"/>
            <w:szCs w:val="24"/>
            <w:u w:val="single"/>
          </w:rPr>
          <w:t>https://dfpi.ca.gov/news/insights/consumer-financial-education-other-loans/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Për çfarë mund të përdoren kreditë studentore? - Sallie Mae, aksesuar më 25 prill 2025,</w:t>
      </w:r>
      <w:hyperlink r:id="rId31">
        <w:r w:rsidRPr="00F525CC">
          <w:rPr>
            <w:rFonts w:eastAsia="Google Sans" w:cs="Times New Roman"/>
            <w:color w:val="0000EE"/>
            <w:szCs w:val="24"/>
            <w:u w:val="single"/>
          </w:rPr>
          <w:t>https://www.salliemae.com/blog/what-to-use-student-loans-for/</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Sallie Mae | Kredi Arsimore, Planifikim Kolegji dhe Bankë Online, aksesuar më 25 Prill 2025,</w:t>
      </w:r>
      <w:hyperlink r:id="rId32">
        <w:r w:rsidRPr="00F525CC">
          <w:rPr>
            <w:rFonts w:eastAsia="Google Sans" w:cs="Times New Roman"/>
            <w:color w:val="0000EE"/>
            <w:szCs w:val="24"/>
            <w:u w:val="single"/>
          </w:rPr>
          <w:t>https://www.salliemae.com/</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Gjëra të rëndësishme që duhet të dini rreth kredive private për studentë - Sallie Mae, aksesuar më 25 prill 2025,</w:t>
      </w:r>
      <w:hyperlink r:id="rId33">
        <w:r w:rsidRPr="00F525CC">
          <w:rPr>
            <w:rFonts w:eastAsia="Google Sans" w:cs="Times New Roman"/>
            <w:color w:val="0000EE"/>
            <w:szCs w:val="24"/>
            <w:u w:val="single"/>
          </w:rPr>
          <w:t>https://www.salliemae.com/student-loans/information.aspxCachedSimilarNavigating</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Krahasimi i Opsioneve të Kredisë për Studentë | Within Reach - Sallie Mae, aksesuar më 25 Prill 2025,</w:t>
      </w:r>
      <w:hyperlink r:id="rId34">
        <w:r w:rsidRPr="00F525CC">
          <w:rPr>
            <w:rFonts w:eastAsia="Google Sans" w:cs="Times New Roman"/>
            <w:color w:val="0000EE"/>
            <w:szCs w:val="24"/>
            <w:u w:val="single"/>
          </w:rPr>
          <w:t>https://www.salliemae.com/blog/comparing-student-loan-options/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Kush është Sallie Mae — dhe kush nuk është, aksesuar më 25 prill 2025,</w:t>
      </w:r>
      <w:hyperlink r:id="rId35">
        <w:r w:rsidRPr="00F525CC">
          <w:rPr>
            <w:rFonts w:eastAsia="Google Sans" w:cs="Times New Roman"/>
            <w:color w:val="0000EE"/>
            <w:szCs w:val="24"/>
            <w:u w:val="single"/>
          </w:rPr>
          <w:t>https://salliemakessense.com/who-sallie-mae-is-and-isnt/</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Llojet e Kredive Studentore - Sallie Mae, aksesuar më 25 Prill 2025,</w:t>
      </w:r>
      <w:hyperlink r:id="rId36">
        <w:r w:rsidRPr="00F525CC">
          <w:rPr>
            <w:rFonts w:eastAsia="Google Sans" w:cs="Times New Roman"/>
            <w:color w:val="0000EE"/>
            <w:szCs w:val="24"/>
            <w:u w:val="single"/>
          </w:rPr>
          <w:t>https://www.salliemae.com/college-planning/student-loans-and-borrowing/</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Kuptoni Kreditë Private për Studentë për Kolegj - Sallie Mae, aksesuar më 25 Prill 2025,</w:t>
      </w:r>
      <w:hyperlink r:id="rId37">
        <w:r w:rsidRPr="00F525CC">
          <w:rPr>
            <w:rFonts w:eastAsia="Google Sans" w:cs="Times New Roman"/>
            <w:color w:val="0000EE"/>
            <w:szCs w:val="24"/>
            <w:u w:val="single"/>
          </w:rPr>
          <w:t>https://www.salliemae.com/college-planning/student-loans-and-borrowing/compare-federal-vs-private-loans/private-student-loans/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Kreditë Federale vs Kreditë Private për Studentë: Kuptimi i Dallimeve Kryesore | Sallie Mae, aksesuar më 25 Prill 2025,</w:t>
      </w:r>
      <w:hyperlink r:id="rId38">
        <w:r w:rsidRPr="00F525CC">
          <w:rPr>
            <w:rFonts w:eastAsia="Google Sans" w:cs="Times New Roman"/>
            <w:color w:val="0000EE"/>
            <w:szCs w:val="24"/>
            <w:u w:val="single"/>
          </w:rPr>
          <w:t>https://www.salliemae.com/college-planning/student-loans-and-borrowing/compare-federal-vs-private-loans/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Rishikimi i Kredive Studentore Sallie Mae për vitin 2025 - Research.com, aksesuar më 25 prill 2025,</w:t>
      </w:r>
      <w:hyperlink r:id="rId39">
        <w:r w:rsidRPr="00F525CC">
          <w:rPr>
            <w:rFonts w:eastAsia="Google Sans" w:cs="Times New Roman"/>
            <w:color w:val="0000EE"/>
            <w:szCs w:val="24"/>
            <w:u w:val="single"/>
          </w:rPr>
          <w:t>https://research.com/student-loans/sallie-mae-student-loans-review</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 Private për Studentë për Kolegj - Sallie Mae, aksesuar më 25 Prill 2025,</w:t>
      </w:r>
      <w:hyperlink r:id="rId40">
        <w:r w:rsidRPr="00F525CC">
          <w:rPr>
            <w:rFonts w:eastAsia="Google Sans" w:cs="Times New Roman"/>
            <w:color w:val="0000EE"/>
            <w:szCs w:val="24"/>
            <w:u w:val="single"/>
          </w:rPr>
          <w:t>https://www.salliemae.com/student-loans/private-student-loans/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është një Kredi për Biznese të Vogla? - Live Oak Bank, aksesuar më 25 Prill 2025,</w:t>
      </w:r>
      <w:hyperlink r:id="rId41">
        <w:r w:rsidRPr="00F525CC">
          <w:rPr>
            <w:rFonts w:eastAsia="Google Sans" w:cs="Times New Roman"/>
            <w:color w:val="0000EE"/>
            <w:szCs w:val="24"/>
            <w:u w:val="single"/>
          </w:rPr>
          <w:t>https://resources.liveoak.bank/blog/what-is-a-small-business-loan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Kreditë SBA: Udhëzuesi Gjithëpërfshirës për Pronarët e Bizneseve të Vogla - Gusto, aksesuar më 25 Prill 2025,</w:t>
      </w:r>
      <w:hyperlink r:id="rId42">
        <w:r w:rsidRPr="00F525CC">
          <w:rPr>
            <w:rFonts w:eastAsia="Google Sans" w:cs="Times New Roman"/>
            <w:color w:val="0000EE"/>
            <w:szCs w:val="24"/>
            <w:u w:val="single"/>
          </w:rPr>
          <w:t>https://gusto.com/resources/articles/business-finance/funding/sba-loans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504 kredi | Administrata e Biznesit të Vogël e SHBA-së, aksesuar më 25 prill 2025,</w:t>
      </w:r>
      <w:hyperlink r:id="rId43">
        <w:r w:rsidRPr="00F525CC">
          <w:rPr>
            <w:rFonts w:eastAsia="Google Sans" w:cs="Times New Roman"/>
            <w:color w:val="0000EE"/>
            <w:szCs w:val="24"/>
            <w:u w:val="single"/>
          </w:rPr>
          <w:t>https://www.sba.gov/funding-programs/loans/504-loans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lastRenderedPageBreak/>
        <w:t>Çfarë është një kredi SBA dhe si kualifikohem? - Qendra për Fuqizimin e Biznesit - Banka e Amerikës, aksesuar më 25 prill 2025,</w:t>
      </w:r>
      <w:hyperlink r:id="rId44">
        <w:r w:rsidRPr="00F525CC">
          <w:rPr>
            <w:rFonts w:eastAsia="Google Sans" w:cs="Times New Roman"/>
            <w:color w:val="0000EE"/>
            <w:szCs w:val="24"/>
            <w:u w:val="single"/>
          </w:rPr>
          <w:t>http://business.bankofamerica.com/en/resources/what-is-an-sba-loan.html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Llojet e kredive 7(a) | Administrata e Biznesit të Vogël e SHBA-së, aksesuar më 25 prill 2025,</w:t>
      </w:r>
      <w:hyperlink r:id="rId45">
        <w:r w:rsidRPr="00F525CC">
          <w:rPr>
            <w:rFonts w:eastAsia="Google Sans" w:cs="Times New Roman"/>
            <w:color w:val="0000EE"/>
            <w:szCs w:val="24"/>
            <w:u w:val="single"/>
          </w:rPr>
          <w:t>https://www.sba.gov/partners/lenders/7a-loan-program/types-7a-loans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Kreditë | Administrata Amerikane e Bizneseve të Vogla, aksesuar më 25 Prill 2025,</w:t>
      </w:r>
      <w:hyperlink r:id="rId46">
        <w:r w:rsidRPr="00F525CC">
          <w:rPr>
            <w:rFonts w:eastAsia="Google Sans" w:cs="Times New Roman"/>
            <w:color w:val="0000EE"/>
            <w:szCs w:val="24"/>
            <w:u w:val="single"/>
          </w:rPr>
          <w:t>https://www.sba.gov/funding-programs/loans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Kreditë 7(a) | Administrata e Biznesit të Vogël e SHBA-së, aksesuar më 25 prill 2025,</w:t>
      </w:r>
      <w:hyperlink r:id="rId47">
        <w:r w:rsidRPr="00F525CC">
          <w:rPr>
            <w:rFonts w:eastAsia="Google Sans" w:cs="Times New Roman"/>
            <w:color w:val="0000EE"/>
            <w:szCs w:val="24"/>
            <w:u w:val="single"/>
          </w:rPr>
          <w:t>https://www.sba.gov/funding-programs/loans/7a-loans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Kushtet, afatet dhe kriteret e përfitimit | Administrata Amerikane e Biznesit të Vogël, aksesuar më 25 prill 2025,</w:t>
      </w:r>
      <w:hyperlink r:id="rId48">
        <w:r w:rsidRPr="00F525CC">
          <w:rPr>
            <w:rFonts w:eastAsia="Google Sans" w:cs="Times New Roman"/>
            <w:color w:val="0000EE"/>
            <w:szCs w:val="24"/>
            <w:u w:val="single"/>
          </w:rPr>
          <w:t>https://www.sba.gov/partners/lenders/7a-loan-program/terms-conditions-eligibility</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Kreditë e Administrimit të Bizneseve të Vogla (SBA) - Lake City Bank, aksesuar më 25 prill 2025,</w:t>
      </w:r>
      <w:hyperlink r:id="rId49">
        <w:r w:rsidRPr="00F525CC">
          <w:rPr>
            <w:rFonts w:eastAsia="Google Sans" w:cs="Times New Roman"/>
            <w:color w:val="0000EE"/>
            <w:szCs w:val="24"/>
            <w:u w:val="single"/>
          </w:rPr>
          <w:t>https://www.lakecitybank.com/business-banking/loans/sba-loans/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Kreditë e Administrimit të Bizneseve të Vogla (SBA) - Banka Amerikane, aksesuar më 25 Prill 2025,</w:t>
      </w:r>
      <w:hyperlink r:id="rId50">
        <w:r w:rsidRPr="00F525CC">
          <w:rPr>
            <w:rFonts w:eastAsia="Google Sans" w:cs="Times New Roman"/>
            <w:color w:val="0000EE"/>
            <w:szCs w:val="24"/>
            <w:u w:val="single"/>
          </w:rPr>
          <w:t>https://www.usbank.com/business-banking/business-lending/sba-loans.html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Borxhi i Klientëve të Mikrokredive në Kosovë - Qendra e Mikrofinancave, aksesuar më 25 Prill 2025,</w:t>
      </w:r>
      <w:hyperlink r:id="rId51">
        <w:r w:rsidRPr="00F525CC">
          <w:rPr>
            <w:rFonts w:eastAsia="Google Sans" w:cs="Times New Roman"/>
            <w:color w:val="0000EE"/>
            <w:szCs w:val="24"/>
            <w:u w:val="single"/>
          </w:rPr>
          <w:t>https://mfc.org.pl/wp-content/uploads/2016/04/Research-Indebtedness-Study-Kosovo_Summary-Paper_ENG.pdf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Procesi i Hipotekës, i Shpjeguar - Investopedia, aksesuar më 25 Prill 2025,</w:t>
      </w:r>
      <w:hyperlink r:id="rId52">
        <w:r w:rsidRPr="00F525CC">
          <w:rPr>
            <w:rFonts w:eastAsia="Google Sans" w:cs="Times New Roman"/>
            <w:color w:val="0000EE"/>
            <w:szCs w:val="24"/>
            <w:u w:val="single"/>
          </w:rPr>
          <w:t>https://www.investopedia.com/mortgage-process-explained-5213694</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Origjina: Përkufizimi në Financë, Procesi i Kredisë dhe Kërkesat, aksesuar më 25 Prill 2025,</w:t>
      </w:r>
      <w:hyperlink r:id="rId53">
        <w:r w:rsidRPr="00F525CC">
          <w:rPr>
            <w:rFonts w:eastAsia="Google Sans" w:cs="Times New Roman"/>
            <w:color w:val="0000EE"/>
            <w:szCs w:val="24"/>
            <w:u w:val="single"/>
          </w:rPr>
          <w:t>https://www.investopedia.com/terms/o/origination.asp</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Sigurimi: Përkufizimi dhe Si Funksionojnë Llojet e Ndryshme, aksesuar më 25 Prill 2025,</w:t>
      </w:r>
      <w:hyperlink r:id="rId54">
        <w:r w:rsidRPr="00F525CC">
          <w:rPr>
            <w:rFonts w:eastAsia="Google Sans" w:cs="Times New Roman"/>
            <w:color w:val="0000EE"/>
            <w:szCs w:val="24"/>
            <w:u w:val="single"/>
          </w:rPr>
          <w:t>https://www.investopedia.com/terms/u/underwriting.asp</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IA në Fintech | IBM, aksesuar më 25 prill 2025,</w:t>
      </w:r>
      <w:hyperlink r:id="rId55">
        <w:r w:rsidRPr="00F525CC">
          <w:rPr>
            <w:rFonts w:eastAsia="Google Sans" w:cs="Times New Roman"/>
            <w:color w:val="0000EE"/>
            <w:szCs w:val="24"/>
            <w:u w:val="single"/>
          </w:rPr>
          <w:t>https://www.ibm.com/think/topics/ai-in-fintech</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Ngritja e Makinerive: Ndikimi i Sigurimit të Automatizuar ..., aksesuar më 25 Prill 2025,</w:t>
      </w:r>
      <w:hyperlink r:id="rId56">
        <w:r w:rsidRPr="00F525CC">
          <w:rPr>
            <w:rFonts w:eastAsia="Google Sans" w:cs="Times New Roman"/>
            <w:color w:val="0000EE"/>
            <w:szCs w:val="24"/>
            <w:u w:val="single"/>
          </w:rPr>
          <w:t>https://pubsonline.informs.org/doi/10.1287/mnsc.2024.4986</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 xml:space="preserve">IA në Fintech: Riformësimi i Shërbimeve Financiare në Epokën Dixhitale - </w:t>
      </w:r>
      <w:r w:rsidRPr="00F525CC">
        <w:rPr>
          <w:rFonts w:eastAsia="Google Sans" w:cs="Times New Roman"/>
          <w:szCs w:val="24"/>
        </w:rPr>
        <w:lastRenderedPageBreak/>
        <w:t>Neontri, aksesuar më 25 Prill 2025,</w:t>
      </w:r>
      <w:hyperlink r:id="rId57">
        <w:r w:rsidRPr="00F525CC">
          <w:rPr>
            <w:rFonts w:eastAsia="Google Sans" w:cs="Times New Roman"/>
            <w:color w:val="0000EE"/>
            <w:szCs w:val="24"/>
            <w:u w:val="single"/>
          </w:rPr>
          <w:t>https://neontri.com/blog/artificial-intelligence-fintech/</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Si ndikojnë financat e integruara dhe inteligjenca artificiale në sektorin e huadhënies | EY ..., aksesuar më 25 prill 2025,</w:t>
      </w:r>
      <w:hyperlink r:id="rId58">
        <w:r w:rsidRPr="00F525CC">
          <w:rPr>
            <w:rFonts w:eastAsia="Google Sans" w:cs="Times New Roman"/>
            <w:color w:val="0000EE"/>
            <w:szCs w:val="24"/>
            <w:u w:val="single"/>
          </w:rPr>
          <w:t>https://www.ey.com/en_be/insights/financial-services/how-embedded-finance-and-ai-impact-the-lending-sector</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IA në Sigurimin e Kredive | Udhëzuesi Përfundimtar - Inovacion i Shpejtë, aksesuar më 25 Prill 2025,</w:t>
      </w:r>
      <w:hyperlink r:id="rId59">
        <w:r w:rsidRPr="00F525CC">
          <w:rPr>
            <w:rFonts w:eastAsia="Google Sans" w:cs="Times New Roman"/>
            <w:color w:val="0000EE"/>
            <w:szCs w:val="24"/>
            <w:u w:val="single"/>
          </w:rPr>
          <w:t>https://www.rapidinnovation.io/post/ai-in-loan-underwriting-use-cases-best-practices-and-future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bqk-kos.org, aksesuar më 25 prill 2025,</w:t>
      </w:r>
      <w:hyperlink r:id="rId60">
        <w:r w:rsidRPr="00F525CC">
          <w:rPr>
            <w:rFonts w:eastAsia="Google Sans" w:cs="Times New Roman"/>
            <w:color w:val="0000EE"/>
            <w:szCs w:val="24"/>
            <w:u w:val="single"/>
          </w:rPr>
          <w:t>https://bqk-kos.org/wp-content/uploads/2025/03/CBK_BLSK_Q4-2024_No.22.pdf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Si ndikon mospagimi i kredisë suaj? - Experian, aksesuar më 25 prill 2025,</w:t>
      </w:r>
      <w:hyperlink r:id="rId61">
        <w:r w:rsidRPr="00F525CC">
          <w:rPr>
            <w:rFonts w:eastAsia="Google Sans" w:cs="Times New Roman"/>
            <w:color w:val="0000EE"/>
            <w:szCs w:val="24"/>
            <w:u w:val="single"/>
          </w:rPr>
          <w:t>https://www.experian.com/blogs/ask-experian/how-does-default-impact-credit/</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ndodh nëse nuk e paguaj një kredi? - Experian, aksesuar më 25 prill 2025,</w:t>
      </w:r>
      <w:hyperlink r:id="rId62">
        <w:r w:rsidRPr="00F525CC">
          <w:rPr>
            <w:rFonts w:eastAsia="Google Sans" w:cs="Times New Roman"/>
            <w:color w:val="0000EE"/>
            <w:szCs w:val="24"/>
            <w:u w:val="single"/>
          </w:rPr>
          <w:t>https://www.experian.com/blogs/ask-experian/what-does-it-mean-to-default-on-a-loan/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ndodh nëse nuk e paguani një kredi personale? - Experian, aksesuar më 25 prill 2025,</w:t>
      </w:r>
      <w:hyperlink r:id="rId63">
        <w:r w:rsidRPr="00F525CC">
          <w:rPr>
            <w:rFonts w:eastAsia="Google Sans" w:cs="Times New Roman"/>
            <w:color w:val="0000EE"/>
            <w:szCs w:val="24"/>
            <w:u w:val="single"/>
          </w:rPr>
          <w:t>https://www.experian.com/blogs/ask-experian/what-happens-if-i-default-on-personal-loan/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është rimarrja e pronës dhe si funksionon? - Equifax, aksesuar më 25 prill 2025,</w:t>
      </w:r>
      <w:hyperlink r:id="rId64">
        <w:r w:rsidRPr="00F525CC">
          <w:rPr>
            <w:rFonts w:eastAsia="Google Sans" w:cs="Times New Roman"/>
            <w:color w:val="0000EE"/>
            <w:szCs w:val="24"/>
            <w:u w:val="single"/>
          </w:rPr>
          <w:t>https://www.equifax.com/personal/education/personal-finance/articles/-/learn/what-is-reposession/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Sa e keqe është të mos pagosh një kredi për makinë? - Experian, aksesuar më 25 prill 2025,</w:t>
      </w:r>
      <w:hyperlink r:id="rId65">
        <w:r w:rsidRPr="00F525CC">
          <w:rPr>
            <w:rFonts w:eastAsia="Google Sans" w:cs="Times New Roman"/>
            <w:color w:val="0000EE"/>
            <w:szCs w:val="24"/>
            <w:u w:val="single"/>
          </w:rPr>
          <w:t>https://www.experian.com/blogs/ask-experian/how-bad-is-it-to-default-on-a-car-loan/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Kur Borxhi Bëhet i Papaguar? - Experian, aksesuar më 25 Prill 2025,</w:t>
      </w:r>
      <w:hyperlink r:id="rId66">
        <w:r w:rsidRPr="00F525CC">
          <w:rPr>
            <w:rFonts w:eastAsia="Google Sans" w:cs="Times New Roman"/>
            <w:color w:val="0000EE"/>
            <w:szCs w:val="24"/>
            <w:u w:val="single"/>
          </w:rPr>
          <w:t>https://www.experian.com/blogs/ask-experian/when-does-debt-become-delinquent/</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Banka Qendrore e Kosovës - Wikipedia, qasur më 25 prill 2025,</w:t>
      </w:r>
      <w:hyperlink r:id="rId67">
        <w:r w:rsidRPr="00F525CC">
          <w:rPr>
            <w:rFonts w:eastAsia="Google Sans" w:cs="Times New Roman"/>
            <w:color w:val="0000EE"/>
            <w:szCs w:val="24"/>
            <w:u w:val="single"/>
          </w:rPr>
          <w:t>https://en.wikipedia.org/wiki/Central_Bank_of_Kosovo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Banka Qendrore e Republikës së Kosovës - Devex, aksesuar më 25 prill 2025,</w:t>
      </w:r>
      <w:hyperlink r:id="rId68">
        <w:r w:rsidRPr="00F525CC">
          <w:rPr>
            <w:rFonts w:eastAsia="Google Sans" w:cs="Times New Roman"/>
            <w:color w:val="0000EE"/>
            <w:szCs w:val="24"/>
            <w:u w:val="single"/>
          </w:rPr>
          <w:t>https://www.devex.com/organizations/central-bank-of-the-republic-of-kosovo-128032</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lastRenderedPageBreak/>
        <w:t>Banka Qendrore e Republikës së Kosovës është një institucion publik i pavarur dhe objektivi i saj kryesor është të promovojë dhe mirëmbajë një sistem financiar të qëndrueshëm, si dhe një sistem efikas pagesash - BQK, aksesuar më 25 prill 2025,</w:t>
      </w:r>
      <w:hyperlink r:id="rId69">
        <w:r w:rsidRPr="00F525CC">
          <w:rPr>
            <w:rFonts w:eastAsia="Google Sans" w:cs="Times New Roman"/>
            <w:color w:val="0000EE"/>
            <w:szCs w:val="24"/>
            <w:u w:val="single"/>
          </w:rPr>
          <w:t>https://bqk-kos.org/?lang=en&amp;lang=en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Banka Qendrore e Republikës së Kosovës përmbylli “Javën Globale të Parasë 2025” - BQK, aksesuar më 25 prill 2025,</w:t>
      </w:r>
      <w:hyperlink r:id="rId70">
        <w:r w:rsidRPr="00F525CC">
          <w:rPr>
            <w:rFonts w:eastAsia="Google Sans" w:cs="Times New Roman"/>
            <w:color w:val="0000EE"/>
            <w:szCs w:val="24"/>
            <w:u w:val="single"/>
          </w:rPr>
          <w:t>https://bqk-kos.org/?lang=en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Diagnoza e vendit në Kosovë: | BERZH, aksesuar më 25 prill 2025,</w:t>
      </w:r>
      <w:hyperlink r:id="rId71">
        <w:r w:rsidRPr="00F525CC">
          <w:rPr>
            <w:rFonts w:eastAsia="Google Sans" w:cs="Times New Roman"/>
            <w:color w:val="0000EE"/>
            <w:szCs w:val="24"/>
            <w:u w:val="single"/>
          </w:rPr>
          <w:t>https://www.ebrd.com/content/dam/ebrd_dxp/assets/pdfs/country-strategies/kosovo/Kosovo-Private-Sector-Diagnostic.pdf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Funksionet e Bankës Qendrore të Kosovës dhe nevoja për avancimin e tyre, qasur më 25 prill 2025,</w:t>
      </w:r>
      <w:hyperlink r:id="rId72">
        <w:r w:rsidRPr="00F525CC">
          <w:rPr>
            <w:rFonts w:eastAsia="Google Sans" w:cs="Times New Roman"/>
            <w:color w:val="0000EE"/>
            <w:szCs w:val="24"/>
            <w:u w:val="single"/>
          </w:rPr>
          <w:t>https://mpra.ub.uni-muenchen.de/25577/1/Functions_of_Central_Bank_of_Kosovo_and_the_need_for_their_advancement.pdf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aksesuar më 25 prill 2025,</w:t>
      </w:r>
      <w:hyperlink r:id="rId73">
        <w:r w:rsidRPr="00F525CC">
          <w:rPr>
            <w:rFonts w:eastAsia="Google Sans" w:cs="Times New Roman"/>
            <w:color w:val="0000EE"/>
            <w:szCs w:val="24"/>
            <w:u w:val="single"/>
          </w:rPr>
          <w:t>https://cps.rks-gov.net/wp-content/uploads/2020/09/LAW_NO._04_L-093_ON_BANKS_MICROFINANCE_INSTITUTIONS_AND_NON_BANK_FINANCIAL_INSTITUTIONS-1.pdf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Kosova - Financimi i Tregtisë, aksesuar më 25 prill 2025,</w:t>
      </w:r>
      <w:hyperlink r:id="rId74">
        <w:r w:rsidRPr="00F525CC">
          <w:rPr>
            <w:rFonts w:eastAsia="Google Sans" w:cs="Times New Roman"/>
            <w:color w:val="0000EE"/>
            <w:szCs w:val="24"/>
            <w:u w:val="single"/>
          </w:rPr>
          <w:t>https://www.trade.gov/country-commercial-guides/kosovo-trade-financing</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në: Raportet e Stafit të FMN-së për Vendet, Vëllimi 2013, Numri 099 (2013), aksesuar më 25 Prill 2025,</w:t>
      </w:r>
      <w:hyperlink r:id="rId75">
        <w:r w:rsidRPr="00F525CC">
          <w:rPr>
            <w:rFonts w:eastAsia="Google Sans" w:cs="Times New Roman"/>
            <w:color w:val="0000EE"/>
            <w:szCs w:val="24"/>
            <w:u w:val="single"/>
          </w:rPr>
          <w:t>https://www.elibrary.imf.org/view/journals/002/2013/099/article-A001-en.xml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Vlerësimi i Performancës Financiare të Bankave Tregtare në Kosovë, qasur më 25 prill 2025,</w:t>
      </w:r>
      <w:hyperlink r:id="rId76">
        <w:r w:rsidRPr="00F525CC">
          <w:rPr>
            <w:rFonts w:eastAsia="Google Sans" w:cs="Times New Roman"/>
            <w:color w:val="0000EE"/>
            <w:szCs w:val="24"/>
            <w:u w:val="single"/>
          </w:rPr>
          <w:t>https://www.abacademies.org/articles/financial-performance-evaluation-of-the-commercial-banks-in-kosovo-10128.html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Ndikimi i Kredive Jo-Performuese në Fitimprurësinë e Bankës: Dëshmi Empirike nga Bankat Tregtare në Kosovë - ACADlore, aksesuar më 25 Prill 2025,</w:t>
      </w:r>
      <w:hyperlink r:id="rId77">
        <w:r w:rsidRPr="00F525CC">
          <w:rPr>
            <w:rFonts w:eastAsia="Google Sans" w:cs="Times New Roman"/>
            <w:color w:val="0000EE"/>
            <w:szCs w:val="24"/>
            <w:u w:val="single"/>
          </w:rPr>
          <w:t>https://www.acadlore.com/article/JAFAS/2021_7_3/jafas.2021.027</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Rregullorja për Menaxhimin e Rrezikut të Kredisë | BQK, aksesuar më 25 prill 2025,</w:t>
      </w:r>
      <w:hyperlink r:id="rId78">
        <w:r w:rsidRPr="00F525CC">
          <w:rPr>
            <w:rFonts w:eastAsia="Google Sans" w:cs="Times New Roman"/>
            <w:color w:val="0000EE"/>
            <w:szCs w:val="24"/>
            <w:u w:val="single"/>
          </w:rPr>
          <w:t>https://bqk-kos.org/wp-content/uploads/2024/11/Regulation-on-Credit-Risk-Management-28.03.2019.pdf?lang=en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Avancimi i Sektorit Financiar të Kosovës: Pikat Kryesore Legjislative në ..., qasur më 25 prill 2025,</w:t>
      </w:r>
      <w:hyperlink r:id="rId79">
        <w:r w:rsidRPr="00F525CC">
          <w:rPr>
            <w:rFonts w:eastAsia="Google Sans" w:cs="Times New Roman"/>
            <w:color w:val="0000EE"/>
            <w:szCs w:val="24"/>
            <w:u w:val="single"/>
          </w:rPr>
          <w:t>https://rphs.law/advancing-kosovos-financial-sector-legislative-</w:t>
        </w:r>
        <w:r w:rsidRPr="00F525CC">
          <w:rPr>
            <w:rFonts w:eastAsia="Google Sans" w:cs="Times New Roman"/>
            <w:color w:val="0000EE"/>
            <w:szCs w:val="24"/>
            <w:u w:val="single"/>
          </w:rPr>
          <w:lastRenderedPageBreak/>
          <w:t>milestones-on-the-path-to-sepa-membership/</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në: Raportet e Vendeve të Stafit të FMN-së Vëllimi 2020 Numri 217 (2020), aksesuar më 25 Prill 2025,</w:t>
      </w:r>
      <w:hyperlink r:id="rId80">
        <w:r w:rsidRPr="00F525CC">
          <w:rPr>
            <w:rFonts w:eastAsia="Google Sans" w:cs="Times New Roman"/>
            <w:color w:val="0000EE"/>
            <w:szCs w:val="24"/>
            <w:u w:val="single"/>
          </w:rPr>
          <w:t>https://www.elibrary.imf.org/view/journals/002/2020/217/article-A001-en.xml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BQK me një strategji për mbrojtjen e konsumatorit - Telegrafi, aksesuar më 25 prill 2025,</w:t>
      </w:r>
      <w:hyperlink r:id="rId81">
        <w:r w:rsidRPr="00F525CC">
          <w:rPr>
            <w:rFonts w:eastAsia="Google Sans" w:cs="Times New Roman"/>
            <w:color w:val="0000EE"/>
            <w:szCs w:val="24"/>
            <w:u w:val="single"/>
          </w:rPr>
          <w:t>https://telegrafi.com/en/bqk-with-strategy-for-consumer-protection/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Hyn në fuqi Rregullorja për përfshirjen e të gjithë qytetarëve në tregun financiar - BQK, aksesuar më 25 prill 2025,</w:t>
      </w:r>
      <w:hyperlink r:id="rId82">
        <w:r w:rsidRPr="00F525CC">
          <w:rPr>
            <w:rFonts w:eastAsia="Google Sans" w:cs="Times New Roman"/>
            <w:color w:val="0000EE"/>
            <w:szCs w:val="24"/>
            <w:u w:val="single"/>
          </w:rPr>
          <w:t>https://bqk-kos.org/news/the-regulation-on-the-the-inclusion-of-all-citizens-in-the-financial-market-comes-into-force/?lang=en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Roli i bankave qendrore në mbrojtjen e klientëve bankarë: Një perspektivë ligjore dhe rregullative - Virtus InterPress, aksesuar më 25 prill 2025,</w:t>
      </w:r>
      <w:hyperlink r:id="rId83">
        <w:r w:rsidRPr="00F525CC">
          <w:rPr>
            <w:rFonts w:eastAsia="Google Sans" w:cs="Times New Roman"/>
            <w:color w:val="0000EE"/>
            <w:szCs w:val="24"/>
            <w:u w:val="single"/>
          </w:rPr>
          <w:t>https://virtusinterpress.org/IMG/pdf/clgrv6i3p10.pdf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BQK-ja i bashkohet Organizatës Ndërkombëtare për Mbrojtjen e Konsumatorëve Financiarë (FinCoNet) - BQK, aksesuar më 25 prill 2025,</w:t>
      </w:r>
      <w:hyperlink r:id="rId84">
        <w:r w:rsidRPr="00F525CC">
          <w:rPr>
            <w:rFonts w:eastAsia="Google Sans" w:cs="Times New Roman"/>
            <w:color w:val="0000EE"/>
            <w:szCs w:val="24"/>
            <w:u w:val="single"/>
          </w:rPr>
          <w:t>https://bqk-kos.org/news/bqk-anetaresohet-ne-organizaten-nderkombetare-per-mbrojtje-te-konsumatoreve-financiare-finconet/?lang=en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BQK: Këto janë efektet e arritura pas hyrjes në fuqi të Rregullores për Operacionet me Para të Gatshme - KosovaPress, qasur më 25 prill 2025,</w:t>
      </w:r>
      <w:hyperlink r:id="rId85">
        <w:r w:rsidRPr="00F525CC">
          <w:rPr>
            <w:rFonts w:eastAsia="Google Sans" w:cs="Times New Roman"/>
            <w:color w:val="0000EE"/>
            <w:szCs w:val="24"/>
            <w:u w:val="single"/>
          </w:rPr>
          <w:t>https://kosovapress.com/en/bqk-këto-janë-efektet-të-arritura-pas-hyrjes-në-fuqi-të-rregullores-për-operacionet me para të gatshme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 Kosova, aksesuar më 25 prill 2025,</w:t>
      </w:r>
      <w:hyperlink r:id="rId86">
        <w:r w:rsidRPr="00F525CC">
          <w:rPr>
            <w:rFonts w:eastAsia="Google Sans" w:cs="Times New Roman"/>
            <w:color w:val="0000EE"/>
            <w:szCs w:val="24"/>
            <w:u w:val="single"/>
          </w:rPr>
          <w:t>https://ecommerce4all-ks.com/wp-content/uploads/sites/5/2022/08/law_no._04_l-121_on_consumer_protection.pdf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aksesuar më 1 janar 1970,</w:t>
      </w:r>
      <w:hyperlink r:id="rId87">
        <w:r w:rsidRPr="00F525CC">
          <w:rPr>
            <w:rFonts w:eastAsia="Google Sans" w:cs="Times New Roman"/>
            <w:color w:val="0000EE"/>
            <w:szCs w:val="24"/>
            <w:u w:val="single"/>
          </w:rPr>
          <w:t>https://bqk-kos.org/legjislacioni/?lang=en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Anketa e Kreditimit Bankar në Kosovë - BQK, aksesuar më 25 prill 2025,</w:t>
      </w:r>
      <w:hyperlink r:id="rId88">
        <w:r w:rsidRPr="00F525CC">
          <w:rPr>
            <w:rFonts w:eastAsia="Google Sans" w:cs="Times New Roman"/>
            <w:color w:val="0000EE"/>
            <w:szCs w:val="24"/>
            <w:u w:val="single"/>
          </w:rPr>
          <w:t>https://bqk-kos.org/stabiliteti-financiar/anketa-e-kreditimit-bankar-ne-kosove/?lang=en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Stabiliteti Financiar - BQK, aksesuar më 25 Prill 2025,</w:t>
      </w:r>
      <w:hyperlink r:id="rId89">
        <w:r w:rsidRPr="00F525CC">
          <w:rPr>
            <w:rFonts w:eastAsia="Google Sans" w:cs="Times New Roman"/>
            <w:color w:val="0000EE"/>
            <w:szCs w:val="24"/>
            <w:u w:val="single"/>
          </w:rPr>
          <w:t>https://bqk-kos.org/stabiliteti-financiar/?lang=en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 xml:space="preserve">Stabiliteti Financiar nën Euroizimin Unilateral: Rasti i Kosovës në: Normat Negative të Interesit në Zonën e Euros dhe Ndikimet mbi Politikat dhe Instrumentet e Bankave Qendrore të Ballkanit Perëndimor - Biblioteka Elektronike e FMN-së, aksesuar më 25 Prill </w:t>
      </w:r>
      <w:r w:rsidRPr="00F525CC">
        <w:rPr>
          <w:rFonts w:eastAsia="Google Sans" w:cs="Times New Roman"/>
          <w:szCs w:val="24"/>
        </w:rPr>
        <w:lastRenderedPageBreak/>
        <w:t>2025,</w:t>
      </w:r>
      <w:hyperlink r:id="rId90">
        <w:r w:rsidRPr="00F525CC">
          <w:rPr>
            <w:rFonts w:eastAsia="Google Sans" w:cs="Times New Roman"/>
            <w:color w:val="0000EE"/>
            <w:szCs w:val="24"/>
            <w:u w:val="single"/>
          </w:rPr>
          <w:t>https://www.elibrary.imf.org/view/book/9789928445391/ch006.xml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Çështje të Përzgjedhura; Raporti i FMN-së për Vendin Nr. 24/365; 4 dhjetor 2024, aksesuar më 25 prill 2025,</w:t>
      </w:r>
      <w:hyperlink r:id="rId91">
        <w:r w:rsidRPr="00F525CC">
          <w:rPr>
            <w:rFonts w:eastAsia="Google Sans" w:cs="Times New Roman"/>
            <w:color w:val="0000EE"/>
            <w:szCs w:val="24"/>
            <w:u w:val="single"/>
          </w:rPr>
          <w:t>https://www.elibrary.imf.org/downloadpdf/view/journals/002/2024/365/article-A003-en.pdf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Rishikimi i Financave Publike të Kosovës: Politikat Fiskale për një Komb të Ri - Depozita e Njohurive të Hapura e Bankës Botërore, aksesuar më 25 Prill 2025,</w:t>
      </w:r>
      <w:hyperlink r:id="rId92">
        <w:r w:rsidRPr="00F525CC">
          <w:rPr>
            <w:rFonts w:eastAsia="Google Sans" w:cs="Times New Roman"/>
            <w:color w:val="0000EE"/>
            <w:szCs w:val="24"/>
            <w:u w:val="single"/>
          </w:rPr>
          <w:t>https://openknowledge.worldbank.org/entities/publication/f0f94492-3052-5224-a937-da7caccc0e90</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Deklaratat e Klimës së Investimeve 2024: Kosova - Departamenti i Shtetit, qasur më 25 prill 2025,</w:t>
      </w:r>
      <w:hyperlink r:id="rId93">
        <w:r w:rsidRPr="00F525CC">
          <w:rPr>
            <w:rFonts w:eastAsia="Google Sans" w:cs="Times New Roman"/>
            <w:color w:val="0000EE"/>
            <w:szCs w:val="24"/>
            <w:u w:val="single"/>
          </w:rPr>
          <w:t>https://www.state.gov/reports/2024-investment-climate-statements/kosovo/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 Fondi Monetar Ndërkombëtar (FMN), aksesuar më 25 prill 2025,</w:t>
      </w:r>
      <w:hyperlink r:id="rId94">
        <w:r w:rsidRPr="00F525CC">
          <w:rPr>
            <w:rFonts w:eastAsia="Google Sans" w:cs="Times New Roman"/>
            <w:color w:val="0000EE"/>
            <w:szCs w:val="24"/>
            <w:u w:val="single"/>
          </w:rPr>
          <w:t>https://www.imf.org/-/media/Files/Publications/CR/2024/English/1kosea2024002-print-pdf.ashx</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Përmbledhje e Kosovës: Lajme zhvillimore, kërkime, të dhëna | Banka Botërore, aksesuar më 25 prill 2025,</w:t>
      </w:r>
      <w:hyperlink r:id="rId95">
        <w:r w:rsidRPr="00F525CC">
          <w:rPr>
            <w:rFonts w:eastAsia="Google Sans" w:cs="Times New Roman"/>
            <w:color w:val="0000EE"/>
            <w:szCs w:val="24"/>
            <w:u w:val="single"/>
          </w:rPr>
          <w:t>https://www.worldbank.org/en/country/kosovo/overview</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Konsultimi i Nenit IV 2024 dhe Shqyrtimet e Treta Sipas Marrëveshjes së Mbështetjes dhe Marrëveshjes Sipas Instrumentit të Rezistencës dhe Qëndrueshmërisë - Komunikatë për Shtyp; dhe Raporti i Stafit në: Raportet e Stafit të FMN-së për Vendet, Vëllimi 2024, Numri 364 (2024) - Biblioteka Elektronike e FMN-së, aksesuar më 25 Prill 2025,</w:t>
      </w:r>
      <w:hyperlink r:id="rId96">
        <w:r w:rsidRPr="00F525CC">
          <w:rPr>
            <w:rFonts w:eastAsia="Google Sans" w:cs="Times New Roman"/>
            <w:color w:val="0000EE"/>
            <w:szCs w:val="24"/>
            <w:u w:val="single"/>
          </w:rPr>
          <w:t>https://www.elibrary.imf.org/view/journals/002/2024/364/article-A001-en.xml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Bordi Ekzekutiv i FMN-së Përfundon Konsultimet e Nenit IV për vitin 2024 dhe Shqyrtimet e Treta Sipas Marrëveshjeve të Stand-by (SBA) dhe Instrumentit të Rezistencës dhe Qëndrueshmërisë (RSF) me Kosovën, qasur më 25 prill 2025,</w:t>
      </w:r>
      <w:hyperlink r:id="rId97">
        <w:r w:rsidRPr="00F525CC">
          <w:rPr>
            <w:rFonts w:eastAsia="Google Sans" w:cs="Times New Roman"/>
            <w:color w:val="0000EE"/>
            <w:szCs w:val="24"/>
            <w:u w:val="single"/>
          </w:rPr>
          <w:t>https://www.imf.org/en/News/Articles/2024/12/21/pr-24497-kosovo-imf-concludes-2024-aiv-consultation-and-3rd-rev-under-sba-and-rsf-arrangements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Vlerësimi Tremujor i Ekonomisë - Nr. 46, Tremujori I/2024 - BQK, aksesuar më 25 Prill 2025,</w:t>
      </w:r>
      <w:hyperlink r:id="rId98">
        <w:r w:rsidRPr="00F525CC">
          <w:rPr>
            <w:rFonts w:eastAsia="Google Sans" w:cs="Times New Roman"/>
            <w:color w:val="0000EE"/>
            <w:szCs w:val="24"/>
            <w:u w:val="single"/>
          </w:rPr>
          <w:t>https://bqk-kos.org/wp-content/uploads/2024/11/CBK_QAE_Q1-2024.pdf?lang=en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 xml:space="preserve">Republika e Kosovës: Konsultimi i Nenit IV 2015 - Raporti i Stafit - Fondi </w:t>
      </w:r>
      <w:r w:rsidRPr="00F525CC">
        <w:rPr>
          <w:rFonts w:eastAsia="Google Sans" w:cs="Times New Roman"/>
          <w:szCs w:val="24"/>
        </w:rPr>
        <w:lastRenderedPageBreak/>
        <w:t>Monetar Ndërkombëtar (FMN), aksesuar më 25 prill 2025,</w:t>
      </w:r>
      <w:hyperlink r:id="rId99">
        <w:r w:rsidRPr="00F525CC">
          <w:rPr>
            <w:rFonts w:eastAsia="Google Sans" w:cs="Times New Roman"/>
            <w:color w:val="0000EE"/>
            <w:szCs w:val="24"/>
            <w:u w:val="single"/>
          </w:rPr>
          <w:t>https://www.imf.org/external/pubs/ft/scr/2015/cr15131.pdf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ICR: Projekti për Forcimin e Sektorit Financiar të Kosovës (P165147). - Dokumente dhe Raporte të Bankës Botërore, aksesuar më 25 prill 2025,</w:t>
      </w:r>
      <w:hyperlink r:id="rId100">
        <w:r w:rsidRPr="00F525CC">
          <w:rPr>
            <w:rFonts w:eastAsia="Google Sans" w:cs="Times New Roman"/>
            <w:color w:val="0000EE"/>
            <w:szCs w:val="24"/>
            <w:u w:val="single"/>
          </w:rPr>
          <w:t>https://documents1.worldbank.org/curated/en/099070324080533594/pdf/BOSIB1df5ea 1c10d919824135a2d95eafd8.pdf?_gl=1*f0g9fp*_gcl_au*MjIzNzU3MzcwLjE3MjU4Njg5MDk.</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(PDF) Ndikimi i Kredive Jo-Performuese në Fitimprurësinë e Bankave: Dëshmi Empirike nga Bankat Tregtare në Kosovë - ResearchGate, aksesuar më 25 Prill 2025,</w:t>
      </w:r>
      <w:hyperlink r:id="rId101">
        <w:r w:rsidRPr="00F525CC">
          <w:rPr>
            <w:rFonts w:eastAsia="Google Sans" w:cs="Times New Roman"/>
            <w:color w:val="0000EE"/>
            <w:szCs w:val="24"/>
            <w:u w:val="single"/>
          </w:rPr>
          <w:t>https://www.researchgate.net/publication/352887884_Impact_of_Non-Performing_Loans_on_Bank's_Profitability_Empirical_Evidence_from_Commercial_Banks_in_Kosovo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Norma e Huadhënies Bankare të Kosovës, 2004 - CEIC, aksesuar më 25 prill 2025,</w:t>
      </w:r>
      <w:hyperlink r:id="rId102">
        <w:r w:rsidRPr="00F525CC">
          <w:rPr>
            <w:rFonts w:eastAsia="Google Sans" w:cs="Times New Roman"/>
            <w:color w:val="0000EE"/>
            <w:szCs w:val="24"/>
            <w:u w:val="single"/>
          </w:rPr>
          <w:t>https://www.ceicdata.com/en/indicator/kosovo/bank-lending-rate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Rritja Totale e Kredive në Kosovë | 2001 - 2025 | Treguesit Ekonomikë - CEIC, aksesuar më 25 Prill 2025,</w:t>
      </w:r>
      <w:hyperlink r:id="rId103">
        <w:r w:rsidRPr="00F525CC">
          <w:rPr>
            <w:rFonts w:eastAsia="Google Sans" w:cs="Times New Roman"/>
            <w:color w:val="0000EE"/>
            <w:szCs w:val="24"/>
            <w:u w:val="single"/>
          </w:rPr>
          <w:t>https://www.ceicdata.com/en/indicator/kosovo/total-loans-growth</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Pjesëmarrja e Qeverisë në Zgjidhjen e Borxheve të Këqija; Rasti i Kosovës dhe Shqipërisë, aksesuar më 25 prill 2025,</w:t>
      </w:r>
      <w:hyperlink r:id="rId104">
        <w:r w:rsidRPr="00F525CC">
          <w:rPr>
            <w:rFonts w:eastAsia="Google Sans" w:cs="Times New Roman"/>
            <w:color w:val="0000EE"/>
            <w:szCs w:val="24"/>
            <w:u w:val="single"/>
          </w:rPr>
          <w:t>https://www.researchgate.net/publication/305744566_Government_Participation_in_Bad_Debts_Resolution_Case_of_Kosovo_and_Albania</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(PDF) Një studim krahasues i rregullimit prudencial mbi klasifikimin dhe sigurimin e kredive të vendeve të Evropës Juglindore - ResearchGate, aksesuar më 25 prill 2025,</w:t>
      </w:r>
      <w:hyperlink r:id="rId105">
        <w:r w:rsidRPr="00F525CC">
          <w:rPr>
            <w:rFonts w:eastAsia="Google Sans" w:cs="Times New Roman"/>
            <w:color w:val="0000EE"/>
            <w:szCs w:val="24"/>
            <w:u w:val="single"/>
          </w:rPr>
          <w:t>https://www.researchgate.net/publication/328594592_A_Comparative_Study_of_Prudential_Regulation_on_Loan_Classification_and_Provisioning_of_the_South_East_European_Countries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Fehmi Mehmeti: Banka Qendrore e Republikës së Kosovës po monitoron nga afër zhvillimet në ekonominë e Kosovës, qasur më 25 prill 2025,</w:t>
      </w:r>
      <w:hyperlink r:id="rId106">
        <w:r w:rsidRPr="00F525CC">
          <w:rPr>
            <w:rFonts w:eastAsia="Google Sans" w:cs="Times New Roman"/>
            <w:color w:val="0000EE"/>
            <w:szCs w:val="24"/>
            <w:u w:val="single"/>
          </w:rPr>
          <w:t>https://www.bis.org/review/r201118f.pdf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Menaxhimi i riskut të kreditit dhe kreditë me probleme në bankat komerciale në Kosovë, qasur më 25 prill 2025,</w:t>
      </w:r>
      <w:hyperlink r:id="rId107">
        <w:r w:rsidRPr="00F525CC">
          <w:rPr>
            <w:rFonts w:eastAsia="Google Sans" w:cs="Times New Roman"/>
            <w:color w:val="0000EE"/>
            <w:szCs w:val="24"/>
            <w:u w:val="single"/>
          </w:rPr>
          <w:t>https://iipccl.org/wp-content/uploads/2019/03/92-102.pdf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lastRenderedPageBreak/>
        <w:t>AMIK – Shoqata e Institucioneve Mikrofinanciare të Kosovës, qasur më 25 prill 2025,</w:t>
      </w:r>
      <w:hyperlink r:id="rId108">
        <w:r w:rsidRPr="00F525CC">
          <w:rPr>
            <w:rFonts w:eastAsia="Google Sans" w:cs="Times New Roman"/>
            <w:color w:val="0000EE"/>
            <w:szCs w:val="24"/>
            <w:u w:val="single"/>
          </w:rPr>
          <w:t>https://www.european-microfinance.org/organisation/amik-association-of-microfinance-institutions-of-kosovo/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Rreth nesh - amik.org, aksesuar më 25 prill 2025,</w:t>
      </w:r>
      <w:hyperlink r:id="rId109">
        <w:r w:rsidRPr="00F525CC">
          <w:rPr>
            <w:rFonts w:eastAsia="Google Sans" w:cs="Times New Roman"/>
            <w:color w:val="0000EE"/>
            <w:szCs w:val="24"/>
            <w:u w:val="single"/>
          </w:rPr>
          <w:t>https://www.amik.org/Home/SetLanguage?returnUrl=%2FAMIK%2FPer-ne&amp;culture=sr-Latn-RS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Në Qendër të Vëmendjes së Politikave | AmCham Kosova, aksesuar më 25 Prill 2025,</w:t>
      </w:r>
      <w:hyperlink r:id="rId110">
        <w:r w:rsidRPr="00F525CC">
          <w:rPr>
            <w:rFonts w:eastAsia="Google Sans" w:cs="Times New Roman"/>
            <w:color w:val="0000EE"/>
            <w:szCs w:val="24"/>
            <w:u w:val="single"/>
          </w:rPr>
          <w:t>https://www.amchamksv.org/wp-content/uploads/2022/05/Policy-Spotlight_Microfinance-Institutions-in-Kosovo_English-1.pdf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Në Kosovë, Mikrofinanca Zgjeron Kopetë—Dhe Shpresat, qasur më 25 Prill 2025,</w:t>
      </w:r>
      <w:hyperlink r:id="rId111">
        <w:r w:rsidRPr="00F525CC">
          <w:rPr>
            <w:rFonts w:eastAsia="Google Sans" w:cs="Times New Roman"/>
            <w:color w:val="0000EE"/>
            <w:szCs w:val="24"/>
            <w:u w:val="single"/>
          </w:rPr>
          <w:t>https://www.gafspfund.org/news/kosovo-microfinance-expands-herds-and-hopes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Financimi i Bizneseve të Vogla | Credins Bank Kosova, aksesuar më 25 Prill 2025,</w:t>
      </w:r>
      <w:hyperlink r:id="rId112">
        <w:r w:rsidRPr="00F525CC">
          <w:rPr>
            <w:rFonts w:eastAsia="Google Sans" w:cs="Times New Roman"/>
            <w:color w:val="0000EE"/>
            <w:szCs w:val="24"/>
            <w:u w:val="single"/>
          </w:rPr>
          <w:t>https://bankacredins-ks.com/en/business/small-business/financing/small-business-financing/</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Produkte dhe Shërbime - FINCA Impact Finance, aksesuar më 25 Prill 2025,</w:t>
      </w:r>
      <w:hyperlink r:id="rId113">
        <w:r w:rsidRPr="00F525CC">
          <w:rPr>
            <w:rFonts w:eastAsia="Google Sans" w:cs="Times New Roman"/>
            <w:color w:val="0000EE"/>
            <w:szCs w:val="24"/>
            <w:u w:val="single"/>
          </w:rPr>
          <w:t>https://www.fincaimpact.com/solutions/products-and-services/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AMIK - Shoqata e Institucioneve Mikrofinanciare të Kosovës, qasur më 25 prill 2025,</w:t>
      </w:r>
      <w:hyperlink r:id="rId114">
        <w:r w:rsidRPr="00F525CC">
          <w:rPr>
            <w:rFonts w:eastAsia="Google Sans" w:cs="Times New Roman"/>
            <w:color w:val="0000EE"/>
            <w:szCs w:val="24"/>
            <w:u w:val="single"/>
          </w:rPr>
          <w:t>https://www.european-microfinance.org/organisation/amik-association-microfinance-institutions-kosovo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Kosova: Vlerësimi i nevojave të financimit të ndërmarrjeve të vogla dhe të mesme në vendet e Ballkanit Perëndimor - Banka Evropiane e Investimeve, aksesuar më 25 prill 2025,</w:t>
      </w:r>
      <w:hyperlink r:id="rId115">
        <w:r w:rsidRPr="00F525CC">
          <w:rPr>
            <w:rFonts w:eastAsia="Google Sans" w:cs="Times New Roman"/>
            <w:color w:val="0000EE"/>
            <w:szCs w:val="24"/>
            <w:u w:val="single"/>
          </w:rPr>
          <w:t>https://www.eib.org/attachments/efs/assessment_of_financing_needs_of_smes_kosovo_en.pdf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Çfarë është një kredi, Çfarë lloj kredie? Llojet e kredisë, Cila bankë? Dokumentet që duhet të paraqisni përpara se të aplikoni për një kredi - BQK, aksesuar më 25 prill 2025,</w:t>
      </w:r>
      <w:hyperlink r:id="rId116">
        <w:r w:rsidRPr="00F525CC">
          <w:rPr>
            <w:rFonts w:eastAsia="Google Sans" w:cs="Times New Roman"/>
            <w:color w:val="0000EE"/>
            <w:szCs w:val="24"/>
            <w:u w:val="single"/>
          </w:rPr>
          <w:t>https://bqk-kos.org/edu/wp-content/uploads/2024/12/Article-on-loan.pdf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Institucionet e Mikrofinancës në Çështjet dhe Sfidat e Rregullimit dhe Mbikëqyrjes në Kosovë - Qendra Kanadeze e Shkencës dhe Arsimit, qasur më 25 Prill 2025,</w:t>
      </w:r>
      <w:hyperlink r:id="rId117">
        <w:r w:rsidRPr="00F525CC">
          <w:rPr>
            <w:rFonts w:eastAsia="Google Sans" w:cs="Times New Roman"/>
            <w:color w:val="0000EE"/>
            <w:szCs w:val="24"/>
            <w:u w:val="single"/>
          </w:rPr>
          <w:t>https://ccsenet.org/journal/index.php/res/article/download/65953/39228</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Implikimet e vlerësimit fillestar të kreditit të Kosovës - Ekipi Ekonomik Gjerman, qasur më 25 prill 2025,</w:t>
      </w:r>
      <w:hyperlink r:id="rId118">
        <w:r w:rsidRPr="00F525CC">
          <w:rPr>
            <w:rFonts w:eastAsia="Google Sans" w:cs="Times New Roman"/>
            <w:color w:val="0000EE"/>
            <w:szCs w:val="24"/>
            <w:u w:val="single"/>
          </w:rPr>
          <w:t>https://www.german-economic-</w:t>
        </w:r>
        <w:r w:rsidRPr="00F525CC">
          <w:rPr>
            <w:rFonts w:eastAsia="Google Sans" w:cs="Times New Roman"/>
            <w:color w:val="0000EE"/>
            <w:szCs w:val="24"/>
            <w:u w:val="single"/>
          </w:rPr>
          <w:lastRenderedPageBreak/>
          <w:t>team.com/en/newsletter/implications-of-kosovos-initial-credit-rating/</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Dokumenti Informativ i Programit Konceptual (PID) - Financat Publike dhe Rritja e Kosovës DPF, qasur më 25 prill 2025,</w:t>
      </w:r>
      <w:hyperlink r:id="rId119">
        <w:r w:rsidRPr="00F525CC">
          <w:rPr>
            <w:rFonts w:eastAsia="Google Sans" w:cs="Times New Roman"/>
            <w:color w:val="0000EE"/>
            <w:szCs w:val="24"/>
            <w:u w:val="single"/>
          </w:rPr>
          <w:t>https://documents1.worldbank.org/curated/pt/171191561738338544/pdf/Concept-Program-Information-Document-PID-Kosovo-Public-Finances-and-Growth-DPF-P170113.pdf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Koncepti-Programi-Dokument-Informativ-PID-Kosovo-Public-Finances-and-Growth-DPF-P170113.docx, aksesuar më 25 prill 2025,</w:t>
      </w:r>
      <w:hyperlink r:id="rId120">
        <w:r w:rsidRPr="00F525CC">
          <w:rPr>
            <w:rFonts w:eastAsia="Google Sans" w:cs="Times New Roman"/>
            <w:color w:val="0000EE"/>
            <w:szCs w:val="24"/>
            <w:u w:val="single"/>
          </w:rPr>
          <w:t>https://documents1.worldbank.org/curated/en/171191561738338544/Concept-Program-Information-Document-PID-Kosovo-Public-Finances-and-Growth-DPF-P170113.docx</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Raporti i Vendit për Kosovën 2024 - bti-project.org, aksesuar më 25 prill 2025,</w:t>
      </w:r>
      <w:hyperlink r:id="rId121">
        <w:r w:rsidRPr="00F525CC">
          <w:rPr>
            <w:rFonts w:eastAsia="Google Sans" w:cs="Times New Roman"/>
            <w:color w:val="0000EE"/>
            <w:szCs w:val="24"/>
            <w:u w:val="single"/>
          </w:rPr>
          <w:t>https://bti-project.org/en/reports/country-report/RKS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Kosova | BERZH TR 2024, aksesuar më 25 prill 2025,</w:t>
      </w:r>
      <w:hyperlink r:id="rId122">
        <w:r w:rsidRPr="00F525CC">
          <w:rPr>
            <w:rFonts w:eastAsia="Google Sans" w:cs="Times New Roman"/>
            <w:color w:val="0000EE"/>
            <w:szCs w:val="24"/>
            <w:u w:val="single"/>
          </w:rPr>
          <w:t>https://2024.tr-ebrd.com/country/kosovo/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www.elibrary.imf.org, aksesuar më 25 prill 2025,</w:t>
      </w:r>
      <w:hyperlink r:id="rId123">
        <w:r w:rsidRPr="00F525CC">
          <w:rPr>
            <w:rFonts w:eastAsia="Google Sans" w:cs="Times New Roman"/>
            <w:color w:val="0000EE"/>
            <w:szCs w:val="24"/>
            <w:u w:val="single"/>
          </w:rPr>
          <w:t>https://www.elibrary.imf.org/downloadpdf/view/journals/018/2025/004/018.2025.issue-004-en.pdf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Publikimi i statistikave të Sektorit të Jashtëm për tremujorin e katërt të vitit 2024 dhe Bilancit të Pagesave për muajin janar 2025 - BQK, aksesuar më 25 prill 2025,</w:t>
      </w:r>
      <w:hyperlink r:id="rId124">
        <w:r w:rsidRPr="00F525CC">
          <w:rPr>
            <w:rFonts w:eastAsia="Google Sans" w:cs="Times New Roman"/>
            <w:color w:val="0000EE"/>
            <w:szCs w:val="24"/>
            <w:u w:val="single"/>
          </w:rPr>
          <w:t>https://bqk-kos.org/news/publikimi-i-statistikave-te-sektorit-te-jashtem-per-tremujorin-e-kater-2024-dhe-bilancit-te-pagesave-per-muajin-janar-2025/?lang=en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Anketa e Huadhënies Bankare të CESEE - Banka Evropiane e Investimeve, aksesuar më 25 prill 2025,</w:t>
      </w:r>
      <w:hyperlink r:id="rId125">
        <w:r w:rsidRPr="00F525CC">
          <w:rPr>
            <w:rFonts w:eastAsia="Google Sans" w:cs="Times New Roman"/>
            <w:color w:val="0000EE"/>
            <w:szCs w:val="24"/>
            <w:u w:val="single"/>
          </w:rPr>
          <w:t>https://www.eib.org/en/publications-research/economics/surveys-data/cesee/index</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Evropa Qendrore, Lindore dhe Juglindore (CESEE) - Zyra e Publikimeve e BE-së, aksesuar më 25 prill 2025,</w:t>
      </w:r>
      <w:hyperlink r:id="rId126">
        <w:r w:rsidRPr="00F525CC">
          <w:rPr>
            <w:rFonts w:eastAsia="Google Sans" w:cs="Times New Roman"/>
            <w:color w:val="0000EE"/>
            <w:szCs w:val="24"/>
            <w:u w:val="single"/>
          </w:rPr>
          <w:t>https://op.europa.eu/en/publication-detail/-/publication/d5bf15e9-3368-11ef-b441-01aa75ed71a1/language-en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FIF - PRS - Raiffeisen Bank Kosovo | Ne investojmë në ndryshimin e jetës - BERZH, aksesuar më 25 prill 2025,</w:t>
      </w:r>
      <w:hyperlink r:id="rId127">
        <w:r w:rsidRPr="00F525CC">
          <w:rPr>
            <w:rFonts w:eastAsia="Google Sans" w:cs="Times New Roman"/>
            <w:color w:val="0000EE"/>
            <w:szCs w:val="24"/>
            <w:u w:val="single"/>
          </w:rPr>
          <w:t>https://www.ebrd.com/home/work-with-us/projects/psd/54879.html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Lista e Bankave në Kosovë - Global Banking | Financa | Rishikimi, aksesuar më 25 prill 2025,</w:t>
      </w:r>
      <w:hyperlink r:id="rId128">
        <w:r w:rsidRPr="00F525CC">
          <w:rPr>
            <w:rFonts w:eastAsia="Google Sans" w:cs="Times New Roman"/>
            <w:color w:val="0000EE"/>
            <w:szCs w:val="24"/>
            <w:u w:val="single"/>
          </w:rPr>
          <w:t>https://www.globalbankingandfinance.com/list-of-banks-in-kosovo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lastRenderedPageBreak/>
        <w:t>Raiffeisen Bank, aksesuar më 25 prill 2025,</w:t>
      </w:r>
      <w:hyperlink r:id="rId129">
        <w:r w:rsidRPr="00F525CC">
          <w:rPr>
            <w:rFonts w:eastAsia="Google Sans" w:cs="Times New Roman"/>
            <w:color w:val="0000EE"/>
            <w:szCs w:val="24"/>
            <w:u w:val="single"/>
          </w:rPr>
          <w:t>https://www.raiffeisen-kosovo.com/en/about-us/raiffeisen-bank.html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Aplikoni online - ProCredit Bank, aksesuar më 25 prill 2025,</w:t>
      </w:r>
      <w:hyperlink r:id="rId130">
        <w:r w:rsidRPr="00F525CC">
          <w:rPr>
            <w:rFonts w:eastAsia="Google Sans" w:cs="Times New Roman"/>
            <w:color w:val="0000EE"/>
            <w:szCs w:val="24"/>
            <w:u w:val="single"/>
          </w:rPr>
          <w:t>https://procreditbank-kos.com/eng/apply-online/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ProCredit Bank, aksesuar më 25 prill 2025,</w:t>
      </w:r>
      <w:hyperlink r:id="rId131">
        <w:r w:rsidRPr="00F525CC">
          <w:rPr>
            <w:rFonts w:eastAsia="Google Sans" w:cs="Times New Roman"/>
            <w:color w:val="0000EE"/>
            <w:szCs w:val="24"/>
            <w:u w:val="single"/>
          </w:rPr>
          <w:t>https://procreditbank-kos.com/eng/homepage/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ProCredit Bank: Miresevini, aksesuar më 25 Prill 2025,</w:t>
      </w:r>
      <w:hyperlink r:id="rId132">
        <w:r w:rsidRPr="00F525CC">
          <w:rPr>
            <w:rFonts w:eastAsia="Google Sans" w:cs="Times New Roman"/>
            <w:color w:val="0000EE"/>
            <w:szCs w:val="24"/>
            <w:u w:val="single"/>
          </w:rPr>
          <w:t>https://procreditbank-kos.com/</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 personale - ProCredit Bank, aksesuar më 25 Prill 2025,</w:t>
      </w:r>
      <w:hyperlink r:id="rId133">
        <w:r w:rsidRPr="00F525CC">
          <w:rPr>
            <w:rFonts w:eastAsia="Google Sans" w:cs="Times New Roman"/>
            <w:color w:val="0000EE"/>
            <w:szCs w:val="24"/>
            <w:u w:val="single"/>
          </w:rPr>
          <w:t>https://procreditbank-kos.com/eng/apply-online/private-clients/kredi-personale/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Bank Watch - Instituti GAP, aksesuar më 25 prill 2025,</w:t>
      </w:r>
      <w:hyperlink r:id="rId134">
        <w:r w:rsidRPr="00F525CC">
          <w:rPr>
            <w:rFonts w:eastAsia="Google Sans" w:cs="Times New Roman"/>
            <w:color w:val="0000EE"/>
            <w:szCs w:val="24"/>
            <w:u w:val="single"/>
          </w:rPr>
          <w:t>https://www.institutigap.org/documents/97679_BANK%20WATCH%20-%20English%20-%20Final1.pdf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Kursime dhe Investime - Raiffeisen Bank, aksesuar më 25 Prill 2025,</w:t>
      </w:r>
      <w:hyperlink r:id="rId135">
        <w:r w:rsidRPr="00F525CC">
          <w:rPr>
            <w:rFonts w:eastAsia="Google Sans" w:cs="Times New Roman"/>
            <w:color w:val="0000EE"/>
            <w:szCs w:val="24"/>
            <w:u w:val="single"/>
          </w:rPr>
          <w:t>https://www.raiffeisen-kosovo.com/en/personal/products/savings-investment.html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Bashkohuni me Raiffeisen, aksesuar më 25 prill 2025,</w:t>
      </w:r>
      <w:hyperlink r:id="rId136">
        <w:r w:rsidRPr="00F525CC">
          <w:rPr>
            <w:rFonts w:eastAsia="Google Sans" w:cs="Times New Roman"/>
            <w:color w:val="0000EE"/>
            <w:szCs w:val="24"/>
            <w:u w:val="single"/>
          </w:rPr>
          <w:t>https://www.raiffeisen-kosovo.com/en/personal/ways-to-bank/join-raiffeisen.html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Për qetësinë time shpirtërore - Raiffeisen Bank, aksesuar më 25 prill 2025,</w:t>
      </w:r>
      <w:hyperlink r:id="rId137">
        <w:r w:rsidRPr="00F525CC">
          <w:rPr>
            <w:rFonts w:eastAsia="Google Sans" w:cs="Times New Roman"/>
            <w:color w:val="0000EE"/>
            <w:szCs w:val="24"/>
            <w:u w:val="single"/>
          </w:rPr>
          <w:t>https://www.raiffeisen-kosovo.com/en/premium.html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 personale deri në 50,000 euro, pa hipotekë! - Raiffeisen Bank, aksesuar më 25 prill 2025,</w:t>
      </w:r>
      <w:hyperlink r:id="rId138">
        <w:r w:rsidRPr="00F525CC">
          <w:rPr>
            <w:rFonts w:eastAsia="Google Sans" w:cs="Times New Roman"/>
            <w:color w:val="0000EE"/>
            <w:szCs w:val="24"/>
            <w:u w:val="single"/>
          </w:rPr>
          <w:t>https://www.raiffeisen-kosovo.com/en/personal.html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Korporatë - Raiffeisen Bank, aksesuar më 25 prill 2025,</w:t>
      </w:r>
      <w:hyperlink r:id="rId139">
        <w:r w:rsidRPr="00F525CC">
          <w:rPr>
            <w:rFonts w:eastAsia="Google Sans" w:cs="Times New Roman"/>
            <w:color w:val="0000EE"/>
            <w:szCs w:val="24"/>
            <w:u w:val="single"/>
          </w:rPr>
          <w:t>https://www.raiffeisen-kosovo.com/en/corporate.html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Raiffeisen Plus - : - Shërbime bankare në majë të gishtave tuaj, aksesuar më 25 prill 2025,</w:t>
      </w:r>
      <w:hyperlink r:id="rId140">
        <w:r w:rsidRPr="00F525CC">
          <w:rPr>
            <w:rFonts w:eastAsia="Google Sans" w:cs="Times New Roman"/>
            <w:color w:val="0000EE"/>
            <w:szCs w:val="24"/>
            <w:u w:val="single"/>
          </w:rPr>
          <w:t>https://www.raiffeisen-kosovo.com/en/personal/ways-to-bank/e-banking.html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Transferta - Raiffeisen Bank, aksesuar më 25 prill 2025,</w:t>
      </w:r>
      <w:hyperlink r:id="rId141">
        <w:r w:rsidRPr="00F525CC">
          <w:rPr>
            <w:rFonts w:eastAsia="Google Sans" w:cs="Times New Roman"/>
            <w:color w:val="0000EE"/>
            <w:szCs w:val="24"/>
            <w:u w:val="single"/>
          </w:rPr>
          <w:t>https://www.raiffeisen-kosovo.com/en/corporate/transfers.html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Transferoni para në mënyrë të besueshme - Raiffeisen Bank, aksesuar më 25 prill 2025,</w:t>
      </w:r>
      <w:hyperlink r:id="rId142">
        <w:r w:rsidRPr="00F525CC">
          <w:rPr>
            <w:rFonts w:eastAsia="Google Sans" w:cs="Times New Roman"/>
            <w:color w:val="0000EE"/>
            <w:szCs w:val="24"/>
            <w:u w:val="single"/>
          </w:rPr>
          <w:t>https://www.raiffeisen-kosovo.com/en/personal/ways-to-bank/transfers.html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 xml:space="preserve">Kredi personale deri në 50,000 euro, pa hipotekë! - Raiffeisen Bank, aksesuar </w:t>
      </w:r>
      <w:r w:rsidRPr="00F525CC">
        <w:rPr>
          <w:rFonts w:eastAsia="Google Sans" w:cs="Times New Roman"/>
          <w:szCs w:val="24"/>
        </w:rPr>
        <w:lastRenderedPageBreak/>
        <w:t>më 25 prill 2025,</w:t>
      </w:r>
      <w:hyperlink r:id="rId143">
        <w:r w:rsidRPr="00F525CC">
          <w:rPr>
            <w:rFonts w:eastAsia="Google Sans" w:cs="Times New Roman"/>
            <w:color w:val="0000EE"/>
            <w:szCs w:val="24"/>
            <w:u w:val="single"/>
          </w:rPr>
          <w:t>https://www.raiffeisen-kosovo.com/en/personal/products/loans/personal-loan.html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Na Kontaktoni - Raiffeisen Bank, aksesuar më 25 Prill 2025,</w:t>
      </w:r>
      <w:hyperlink r:id="rId144">
        <w:r w:rsidRPr="00F525CC">
          <w:rPr>
            <w:rFonts w:eastAsia="Google Sans" w:cs="Times New Roman"/>
            <w:color w:val="0000EE"/>
            <w:szCs w:val="24"/>
            <w:u w:val="single"/>
          </w:rPr>
          <w:t>https://www.raiffeisen-kosovo.com/en/personal/help-tools/contact-us.html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procreditbank-kos.com, aksesuar më 25 prill 2025,</w:t>
      </w:r>
      <w:hyperlink r:id="rId145">
        <w:r w:rsidRPr="00F525CC">
          <w:rPr>
            <w:rFonts w:eastAsia="Google Sans" w:cs="Times New Roman"/>
            <w:color w:val="0000EE"/>
            <w:szCs w:val="24"/>
            <w:u w:val="single"/>
          </w:rPr>
          <w:t>https://procreditbank-kos.com/Uploads/Data/Files/113/PCB_Cmimore_KlientePrivat_14.03.2025_ENG_EfVjx3KTkG.pdf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TERMAT DHE KUSHTE TË PËRGJITHSHME TË BANKËS PROCREDIT, të aksesuara më 25 Prill 2025,</w:t>
      </w:r>
      <w:hyperlink r:id="rId146">
        <w:r w:rsidRPr="00F525CC">
          <w:rPr>
            <w:rFonts w:eastAsia="Google Sans" w:cs="Times New Roman"/>
            <w:color w:val="0000EE"/>
            <w:szCs w:val="24"/>
            <w:u w:val="single"/>
          </w:rPr>
          <w:t>https://www.procreditbank-kos.com/Uploads/Data/Files/125/General_Terms_bc_xpPCAgb8d5.pdf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Degët - ProCredit Bank, aksesuar më 25 prill 2025,</w:t>
      </w:r>
      <w:hyperlink r:id="rId147">
        <w:r w:rsidRPr="00F525CC">
          <w:rPr>
            <w:rFonts w:eastAsia="Google Sans" w:cs="Times New Roman"/>
            <w:color w:val="0000EE"/>
            <w:szCs w:val="24"/>
            <w:u w:val="single"/>
          </w:rPr>
          <w:t>https://procreditbank-kos.com/eng/branches/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Klientë biznesi – ProCredit Bank Gjermani, aksesuar më 25 prill 2025,</w:t>
      </w:r>
      <w:hyperlink r:id="rId148">
        <w:r w:rsidRPr="00F525CC">
          <w:rPr>
            <w:rFonts w:eastAsia="Google Sans" w:cs="Times New Roman"/>
            <w:color w:val="0000EE"/>
            <w:szCs w:val="24"/>
            <w:u w:val="single"/>
          </w:rPr>
          <w:t>https://www.procreditbank.de/en/business-clients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Llogaritë - ProCredit Bank, aksesuar më 25 prill 2025,</w:t>
      </w:r>
      <w:hyperlink r:id="rId149">
        <w:r w:rsidRPr="00F525CC">
          <w:rPr>
            <w:rFonts w:eastAsia="Google Sans" w:cs="Times New Roman"/>
            <w:color w:val="0000EE"/>
            <w:szCs w:val="24"/>
            <w:u w:val="single"/>
          </w:rPr>
          <w:t>https://procreditbank-kos.com/eng/business-clients/accounts/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TERMAT DHE KUSHTE TË PËRGJITHSHME - ProCredit Bank, aksesuar më 25 Prill 2025,</w:t>
      </w:r>
      <w:hyperlink r:id="rId150">
        <w:r w:rsidRPr="00F525CC">
          <w:rPr>
            <w:rFonts w:eastAsia="Google Sans" w:cs="Times New Roman"/>
            <w:color w:val="0000EE"/>
            <w:szCs w:val="24"/>
            <w:u w:val="single"/>
          </w:rPr>
          <w:t>https://www.procreditbank-kos.com/Uploads/Data/Files/121/PCB_KDR_Personat_Fizik_Anglisht_RSvDKmXTc2.pdf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e-Banking dhe transferta - ProCredit Bank, aksesuar më 25 prill 2025,</w:t>
      </w:r>
      <w:hyperlink r:id="rId151">
        <w:r w:rsidRPr="00F525CC">
          <w:rPr>
            <w:rFonts w:eastAsia="Google Sans" w:cs="Times New Roman"/>
            <w:color w:val="0000EE"/>
            <w:szCs w:val="24"/>
            <w:u w:val="single"/>
          </w:rPr>
          <w:t>https://procreditbank-kos.com/eng/business-clients/services/e-banking-transfers/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Tregtia elektronike - ProCredit Bank, aksesuar më 25 prill 2025,</w:t>
      </w:r>
      <w:hyperlink r:id="rId152">
        <w:r w:rsidRPr="00F525CC">
          <w:rPr>
            <w:rFonts w:eastAsia="Google Sans" w:cs="Times New Roman"/>
            <w:color w:val="0000EE"/>
            <w:szCs w:val="24"/>
            <w:u w:val="single"/>
          </w:rPr>
          <w:t>https://procreditbank-kos.com/eng/business-clients/services/e-commerce/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Raporti Tremujor i Tremujorit të Tremujorit të Tremujorit të Tremujorit të Tretë 2024 - ProCredit Holding, aksesuar më 25 Prill 2025,</w:t>
      </w:r>
      <w:hyperlink r:id="rId153">
        <w:r w:rsidRPr="00F525CC">
          <w:rPr>
            <w:rFonts w:eastAsia="Google Sans" w:cs="Times New Roman"/>
            <w:color w:val="0000EE"/>
            <w:szCs w:val="24"/>
            <w:u w:val="single"/>
          </w:rPr>
          <w:t>https://www.procredit-holding.com/wp-content/uploads/2024/11/PCH-Q3-2024-Quarterly-Report-EN.pdf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Lista e Çmimeve për Klientët Privatë - ProCredit Bank, aksesuar më 25 Prill 2025,</w:t>
      </w:r>
      <w:hyperlink r:id="rId154">
        <w:r w:rsidRPr="00F525CC">
          <w:rPr>
            <w:rFonts w:eastAsia="Google Sans" w:cs="Times New Roman"/>
            <w:color w:val="0000EE"/>
            <w:szCs w:val="24"/>
            <w:u w:val="single"/>
          </w:rPr>
          <w:t>https://procreditbank-kos.com/Uploads/Data/Files/6/PC-2-FIN-ENG_288984_JM2XCKyp5J.pdf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Merrni një kredi personale deri në 10,000 €, përgjigje në vetëm 2 orë ..., aksesuar më 25 prill 2025,</w:t>
      </w:r>
      <w:hyperlink r:id="rId155">
        <w:r w:rsidRPr="00F525CC">
          <w:rPr>
            <w:rFonts w:eastAsia="Google Sans" w:cs="Times New Roman"/>
            <w:color w:val="0000EE"/>
            <w:szCs w:val="24"/>
            <w:u w:val="single"/>
          </w:rPr>
          <w:t>https://procreditbank-kos.com/eng/news/get-a-</w:t>
        </w:r>
        <w:r w:rsidRPr="00F525CC">
          <w:rPr>
            <w:rFonts w:eastAsia="Google Sans" w:cs="Times New Roman"/>
            <w:color w:val="0000EE"/>
            <w:szCs w:val="24"/>
            <w:u w:val="single"/>
          </w:rPr>
          <w:lastRenderedPageBreak/>
          <w:t>personal-loan-of-up-to-10000-response-i-1755/</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Transferta ndërkombëtare - ProCredit Bank, aksesuar më 25 prill 2025,</w:t>
      </w:r>
      <w:hyperlink r:id="rId156">
        <w:r w:rsidRPr="00F525CC">
          <w:rPr>
            <w:rFonts w:eastAsia="Google Sans" w:cs="Times New Roman"/>
            <w:color w:val="0000EE"/>
            <w:szCs w:val="24"/>
            <w:u w:val="single"/>
          </w:rPr>
          <w:t>https://procreditbank-kos.com/?pageId=113&amp;language=2</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Kartat - ProCredit Bank, aksesuar më 25 prill 2025,</w:t>
      </w:r>
      <w:hyperlink r:id="rId157">
        <w:r w:rsidRPr="00F525CC">
          <w:rPr>
            <w:rFonts w:eastAsia="Google Sans" w:cs="Times New Roman"/>
            <w:color w:val="0000EE"/>
            <w:szCs w:val="24"/>
            <w:u w:val="single"/>
          </w:rPr>
          <w:t>https://procreditbank-kos.com/eng/business-clients/services/cards/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ProCredit Bank Direct Kosovo, aksesuar më 25 prill 2025,</w:t>
      </w:r>
      <w:hyperlink r:id="rId158">
        <w:r w:rsidRPr="00F525CC">
          <w:rPr>
            <w:rFonts w:eastAsia="Google Sans" w:cs="Times New Roman"/>
            <w:color w:val="0000EE"/>
            <w:szCs w:val="24"/>
            <w:u w:val="single"/>
          </w:rPr>
          <w:t>https://www.procreditbank-direct.com/kosovo/en/mobile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aksesuar më 1 janar 1970,</w:t>
      </w:r>
      <w:hyperlink r:id="rId159">
        <w:r w:rsidRPr="00F525CC">
          <w:rPr>
            <w:rFonts w:eastAsia="Google Sans" w:cs="Times New Roman"/>
            <w:color w:val="0000EE"/>
            <w:szCs w:val="24"/>
            <w:u w:val="single"/>
          </w:rPr>
          <w:t>https://procreditbank-kos.com/eng/private-clients/loans/personal-loan/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Lista e çmimeve për klientët privatë - ProCredit Bank, aksesuar më 25 prill 2025,</w:t>
      </w:r>
      <w:hyperlink r:id="rId160">
        <w:r w:rsidRPr="00F525CC">
          <w:rPr>
            <w:rFonts w:eastAsia="Google Sans" w:cs="Times New Roman"/>
            <w:color w:val="0000EE"/>
            <w:szCs w:val="24"/>
            <w:u w:val="single"/>
          </w:rPr>
          <w:t>https://procreditbank-kos.com/eng/price-list-general-terms-and-conditions/price-list-for-private-clients/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Kein Folientitel, aksesuar më 25 prill 2025,</w:t>
      </w:r>
      <w:hyperlink r:id="rId161">
        <w:r w:rsidRPr="00F525CC">
          <w:rPr>
            <w:rFonts w:eastAsia="Google Sans" w:cs="Times New Roman"/>
            <w:color w:val="0000EE"/>
            <w:szCs w:val="24"/>
            <w:u w:val="single"/>
          </w:rPr>
          <w:t>https://www.un.org/esa/ffd/wp-content/uploads/2006/11/20061122_NDBs-MSC-SA-Kellow.ppt</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Kredi për Biznes Fillestar | FINCA Kosovë, aksesuar më 25 Prill 2025,</w:t>
      </w:r>
      <w:hyperlink r:id="rId162">
        <w:r w:rsidRPr="00F525CC">
          <w:rPr>
            <w:rFonts w:eastAsia="Google Sans" w:cs="Times New Roman"/>
            <w:color w:val="0000EE"/>
            <w:szCs w:val="24"/>
            <w:u w:val="single"/>
          </w:rPr>
          <w:t>https://fincakosovo.org/en/borrow/start-up-loan/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UDHËZUESI JUAJ PËR T'U ADRESUAR NJË INSTITUCIONI MIKROFINANCIARE, aksesuar më 25 Prill 2025,</w:t>
      </w:r>
      <w:hyperlink r:id="rId163">
        <w:r w:rsidRPr="00F525CC">
          <w:rPr>
            <w:rFonts w:eastAsia="Google Sans" w:cs="Times New Roman"/>
            <w:color w:val="0000EE"/>
            <w:szCs w:val="24"/>
            <w:u w:val="single"/>
          </w:rPr>
          <w:t>https://www.efse.lu/fileadmin/user_upload/efse/news_migration/How_to_approach_a_Microfinance_Institution.pdf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Komunikatë për shtyp - Shoqata e Bankave të Kosovës, aksesuar më 25 prill 2025,</w:t>
      </w:r>
      <w:hyperlink r:id="rId164">
        <w:r w:rsidRPr="00F525CC">
          <w:rPr>
            <w:rFonts w:eastAsia="Google Sans" w:cs="Times New Roman"/>
            <w:color w:val="0000EE"/>
            <w:szCs w:val="24"/>
            <w:u w:val="single"/>
          </w:rPr>
          <w:t>https://www.bankassoc-kos.com/En/komunikatat/?faqe=4</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Shoqata e Bankave të Kosovës i bashkohet SBFN | Rrjeti i Qëndrueshëm i Bankave dhe Financave, aksesuar më 25 prill 2025,</w:t>
      </w:r>
      <w:hyperlink r:id="rId165">
        <w:r w:rsidRPr="00F525CC">
          <w:rPr>
            <w:rFonts w:eastAsia="Google Sans" w:cs="Times New Roman"/>
            <w:color w:val="0000EE"/>
            <w:szCs w:val="24"/>
            <w:u w:val="single"/>
          </w:rPr>
          <w:t>https://www.sbfnetwork.org/kosovo-banking-association-joins-sbfn/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THE KOSOVO BANKER - DREJT BANKINGUT GJITHËPËRFSHIRËS nga ..., aksesuar më 25 prill 2025,</w:t>
      </w:r>
      <w:hyperlink r:id="rId166">
        <w:r w:rsidRPr="00F525CC">
          <w:rPr>
            <w:rFonts w:eastAsia="Google Sans" w:cs="Times New Roman"/>
            <w:color w:val="0000EE"/>
            <w:szCs w:val="24"/>
            <w:u w:val="single"/>
          </w:rPr>
          <w:t>https://issuu.com/shbk/docs/27_-_the_kosovo_banker_2024_-_eng_</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www.efse.lu, aksesuar më 25 prill 2025,</w:t>
      </w:r>
      <w:hyperlink r:id="rId167">
        <w:r w:rsidRPr="00F525CC">
          <w:rPr>
            <w:rFonts w:eastAsia="Google Sans" w:cs="Times New Roman"/>
            <w:color w:val="0000EE"/>
            <w:szCs w:val="24"/>
            <w:u w:val="single"/>
          </w:rPr>
          <w:t>https://www.efse.lu/fileadmin/user_upload/efse/news_migration/2015-05_EFSE_DF_extends_support_for_the_Kosovo_banker_magazine_until_end_2016.pdf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FINCA në revistën The Kosovo Banker, aksesuar më 25 prill 2025,</w:t>
      </w:r>
      <w:hyperlink r:id="rId168">
        <w:r w:rsidRPr="00F525CC">
          <w:rPr>
            <w:rFonts w:eastAsia="Google Sans" w:cs="Times New Roman"/>
            <w:color w:val="0000EE"/>
            <w:szCs w:val="24"/>
            <w:u w:val="single"/>
          </w:rPr>
          <w:t>https://fincakosovo.org/en/news/finca-in-the-kosovo-banker-magazine/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lastRenderedPageBreak/>
        <w:t>Shoqata e Bankave të Kosovës dhe SBFN bashkë-organizojnë Forumin e Financave të Qëndrueshme, aksesuar më 25 prill 2025,</w:t>
      </w:r>
      <w:hyperlink r:id="rId169">
        <w:r w:rsidRPr="00F525CC">
          <w:rPr>
            <w:rFonts w:eastAsia="Google Sans" w:cs="Times New Roman"/>
            <w:color w:val="0000EE"/>
            <w:szCs w:val="24"/>
            <w:u w:val="single"/>
          </w:rPr>
          <w:t>https://www.sbfnetwork.org/kosovo-banking-association-and-sbfn-co-host-sustainable-finance-forum/</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Shteti dhe Mediat Fshehin Financat e Medias - Monitori i Pronësisë së Medias në Kosovë, qasur më 25 prill 2025,</w:t>
      </w:r>
      <w:hyperlink r:id="rId170">
        <w:r w:rsidRPr="00F525CC">
          <w:rPr>
            <w:rFonts w:eastAsia="Google Sans" w:cs="Times New Roman"/>
            <w:color w:val="0000EE"/>
            <w:szCs w:val="24"/>
            <w:u w:val="single"/>
          </w:rPr>
          <w:t>https://kosovo.mom-gmr.org/en/findings/media-finances/</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Treguesit Makroekonomikë - BQK, aksesuar më 25 Prill 2025,</w:t>
      </w:r>
      <w:hyperlink r:id="rId171">
        <w:r w:rsidRPr="00F525CC">
          <w:rPr>
            <w:rFonts w:eastAsia="Google Sans" w:cs="Times New Roman"/>
            <w:color w:val="0000EE"/>
            <w:szCs w:val="24"/>
            <w:u w:val="single"/>
          </w:rPr>
          <w:t>https://bqk-kos.org/statistikat/indikatoret-ekonomik/?lang=en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Kalimi i Politikës Monetare të BQE-së në Normat e Interesit Bankar gjatë Shtrëngimit: Republika e Kosovës, qasur më 25 Prill 2025,</w:t>
      </w:r>
      <w:hyperlink r:id="rId172">
        <w:r w:rsidRPr="00F525CC">
          <w:rPr>
            <w:rFonts w:eastAsia="Google Sans" w:cs="Times New Roman"/>
            <w:color w:val="0000EE"/>
            <w:szCs w:val="24"/>
            <w:u w:val="single"/>
          </w:rPr>
          <w:t>https://www.imf.org/en/Publications/selected-issues-papers/Issues/2025/01/16/ECB-Monetary-Policy-Passthrough-to-Bank-Interest-Rates-During-Tightening-Republic-of-Kosovo-561012</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Projekti-i-forcimit-të-sektorit-financiar-të-Kosovës.txt - Dokumente dhe raporte të Bankës Botërore, aksesuar më 25 prill 2025,</w:t>
      </w:r>
      <w:hyperlink r:id="rId173">
        <w:r w:rsidRPr="00F525CC">
          <w:rPr>
            <w:rFonts w:eastAsia="Google Sans" w:cs="Times New Roman"/>
            <w:color w:val="0000EE"/>
            <w:szCs w:val="24"/>
            <w:u w:val="single"/>
          </w:rPr>
          <w:t>https://documents1.worldbank.org/curated/en/760711558144961259/txt/Kosovo-Financial-Sector-Strengthening-Project.txt</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Raporti i Tregut të Kredive Personale në Mbretërinë e Bashkuar 2025 | Dyqani Mintel, aksesuar më 25 prill 2025,</w:t>
      </w:r>
      <w:hyperlink r:id="rId174">
        <w:r w:rsidRPr="00F525CC">
          <w:rPr>
            <w:rFonts w:eastAsia="Google Sans" w:cs="Times New Roman"/>
            <w:color w:val="0000EE"/>
            <w:szCs w:val="24"/>
            <w:u w:val="single"/>
          </w:rPr>
          <w:t>https://store.mintel.com/report/uk-personal-loans-market-report</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qasur më 25 prill 2025,</w:t>
      </w:r>
      <w:hyperlink r:id="rId175">
        <w:r w:rsidRPr="00F525CC">
          <w:rPr>
            <w:rFonts w:eastAsia="Google Sans" w:cs="Times New Roman"/>
            <w:color w:val="0000EE"/>
            <w:szCs w:val="24"/>
            <w:u w:val="single"/>
          </w:rPr>
          <w:t>https://gjk-ks.org/wp-content/uploads/vendimet/KO97_12_AGJ_ANG.pdf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Kosova, aksesuar më 25 prill 2025,</w:t>
      </w:r>
      <w:hyperlink r:id="rId176">
        <w:r w:rsidRPr="00F525CC">
          <w:rPr>
            <w:rFonts w:eastAsia="Google Sans" w:cs="Times New Roman"/>
            <w:color w:val="0000EE"/>
            <w:szCs w:val="24"/>
            <w:u w:val="single"/>
          </w:rPr>
          <w:t>https://cof.org/sites/default/files/Kosovo.pdf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RREGULLORE PËR KREDI HIPOTEKARE REZIDENCIAL - BQK, aksesuar më 25 prill 2025,</w:t>
      </w:r>
      <w:hyperlink r:id="rId177">
        <w:r w:rsidRPr="00F525CC">
          <w:rPr>
            <w:rFonts w:eastAsia="Google Sans" w:cs="Times New Roman"/>
            <w:color w:val="0000EE"/>
            <w:szCs w:val="24"/>
            <w:u w:val="single"/>
          </w:rPr>
          <w:t>https://bqk-kos.org/wp-content/uploads/2024/11/2-Regulation-on-Residential-Mortgages-ENG-3.pdf?lang=en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Ligji për Organizatat Jofitimprurëse në Kosovë | Këshilli i Fondacioneve, aksesuar më 25 prill 2025,</w:t>
      </w:r>
      <w:hyperlink r:id="rId178">
        <w:r w:rsidRPr="00F525CC">
          <w:rPr>
            <w:rFonts w:eastAsia="Google Sans" w:cs="Times New Roman"/>
            <w:color w:val="0000EE"/>
            <w:szCs w:val="24"/>
            <w:u w:val="single"/>
          </w:rPr>
          <w:t>https://cof.org/country-notes/nonprofit-law-kosovo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(PDF) Pastrimi i Parave në Republikën e Kosovës gjatë viteve 2013-2015, aksesuar më 25 prill 2025,</w:t>
      </w:r>
      <w:hyperlink r:id="rId179">
        <w:r w:rsidRPr="00F525CC">
          <w:rPr>
            <w:rFonts w:eastAsia="Google Sans" w:cs="Times New Roman"/>
            <w:color w:val="0000EE"/>
            <w:szCs w:val="24"/>
            <w:u w:val="single"/>
          </w:rPr>
          <w:t>https://www.researchgate.net/publication/315341344_Pastrimit_Money_in_the_Republic_of_Kosovo_During_the_Years_2013-2015</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 xml:space="preserve">TIPOLOGJITË E PASTRIMIT TË PARAVE KOSOVË - Programi i Kombeve </w:t>
      </w:r>
      <w:r w:rsidRPr="00F525CC">
        <w:rPr>
          <w:rFonts w:eastAsia="Google Sans" w:cs="Times New Roman"/>
          <w:szCs w:val="24"/>
        </w:rPr>
        <w:lastRenderedPageBreak/>
        <w:t>të Bashkuara për Zhvillim, aksesuar më 25 prill 2025,</w:t>
      </w:r>
      <w:hyperlink r:id="rId180">
        <w:r w:rsidRPr="00F525CC">
          <w:rPr>
            <w:rFonts w:eastAsia="Google Sans" w:cs="Times New Roman"/>
            <w:color w:val="0000EE"/>
            <w:szCs w:val="24"/>
            <w:u w:val="single"/>
          </w:rPr>
          <w:t>https://www.undp.org/sites/g/files/zskgke326/files/migration/ks/GeneralTypologies-Eng.pdf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KOMITETI I KONVENTËS PËR KRIMIN KIBERNETIK (T-CY) - https: //rm. coe. int, aksesuar më 25 prill 2025,</w:t>
      </w:r>
      <w:hyperlink r:id="rId181">
        <w:r w:rsidRPr="00F525CC">
          <w:rPr>
            <w:rFonts w:eastAsia="Google Sans" w:cs="Times New Roman"/>
            <w:color w:val="0000EE"/>
            <w:szCs w:val="24"/>
            <w:u w:val="single"/>
          </w:rPr>
          <w:t>https://rm.coe.int/3156-35-iproceeds-assessment-report-indicators-ks/16807be063</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KOMISIONI EVROPIAN Bruksel, 6.10.2020 SWD(2020) 356 final DOKUMENTI I PUNËS I STAFIT TË KOMISIONIT Raporti i Bashkëngjitur i Kosovës* për vitin 2020, aksesuar më 25 prill 2025,</w:t>
      </w:r>
      <w:hyperlink r:id="rId182">
        <w:r w:rsidRPr="00F525CC">
          <w:rPr>
            <w:rFonts w:eastAsia="Google Sans" w:cs="Times New Roman"/>
            <w:color w:val="0000EE"/>
            <w:szCs w:val="24"/>
            <w:u w:val="single"/>
          </w:rPr>
          <w:t>https://enlargement.ec.europa.eu/system/files/2020-10/kosovo_report_2020.pdf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 Kuvendi - Republika e Kosovës, aksesuar më 25 prill 2025,</w:t>
      </w:r>
      <w:hyperlink r:id="rId183">
        <w:r w:rsidRPr="00F525CC">
          <w:rPr>
            <w:rFonts w:eastAsia="Google Sans" w:cs="Times New Roman"/>
            <w:color w:val="0000EE"/>
            <w:szCs w:val="24"/>
            <w:u w:val="single"/>
          </w:rPr>
          <w:t>http://old.kuvendikosoves.org/common/docs/ligjet/05-L-057%20a.pdf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Raporti i Asistencës Teknike - Rishikimi i Stabilitetit të Sektorit Financiar - Fondi Monetar Ndërkombëtar (FMN), aksesuar më 25 prill 2025,</w:t>
      </w:r>
      <w:hyperlink r:id="rId184">
        <w:r w:rsidRPr="00F525CC">
          <w:rPr>
            <w:rFonts w:eastAsia="Google Sans" w:cs="Times New Roman"/>
            <w:color w:val="0000EE"/>
            <w:szCs w:val="24"/>
            <w:u w:val="single"/>
          </w:rPr>
          <w:t>https://www.imf.org/-/media/Files/Publications/CR/2020/English/1UVKEA2020001.ashx</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Raporti i Stabilitetit Financiar - BQK, aksesuar më 25 prill 2025,</w:t>
      </w:r>
      <w:hyperlink r:id="rId185">
        <w:r w:rsidRPr="00F525CC">
          <w:rPr>
            <w:rFonts w:eastAsia="Google Sans" w:cs="Times New Roman"/>
            <w:color w:val="0000EE"/>
            <w:szCs w:val="24"/>
            <w:u w:val="single"/>
          </w:rPr>
          <w:t>https://bqk-kos.org/wp-content/uploads/2024/11/CBK_FSR_16.pdf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Raporti i Stabilitetit Financiar - BQK, aksesuar më 25 prill 2025,</w:t>
      </w:r>
      <w:hyperlink r:id="rId186">
        <w:r w:rsidRPr="00F525CC">
          <w:rPr>
            <w:rFonts w:eastAsia="Google Sans" w:cs="Times New Roman"/>
            <w:color w:val="0000EE"/>
            <w:szCs w:val="24"/>
            <w:u w:val="single"/>
          </w:rPr>
          <w:t>https://bqk-kos.org/wp-content/uploads/2024/11/CBK_FSR_14.pdf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(PDF) Performanca e Kredisë Konsumatore në Periudhën 2007-2017 ..., aksesuar më 25 Prill 2025,</w:t>
      </w:r>
      <w:hyperlink r:id="rId187">
        <w:r w:rsidRPr="00F525CC">
          <w:rPr>
            <w:rFonts w:eastAsia="Google Sans" w:cs="Times New Roman"/>
            <w:color w:val="0000EE"/>
            <w:szCs w:val="24"/>
            <w:u w:val="single"/>
          </w:rPr>
          <w:t>https://www.researchgate.net/publication/333944016_The_Performance_of_Consumer_Loan_in_the_Period_2007-2017_Correlation_with_Consumption_and_Economic_Growth_The_Case_of_Kosovo</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BQK-ja publikon statistikat e bankave komerciale për janar 2024 - BQK, qasur më 25 prill 2025,</w:t>
      </w:r>
      <w:hyperlink r:id="rId188">
        <w:r w:rsidRPr="00F525CC">
          <w:rPr>
            <w:rFonts w:eastAsia="Google Sans" w:cs="Times New Roman"/>
            <w:color w:val="0000EE"/>
            <w:szCs w:val="24"/>
            <w:u w:val="single"/>
          </w:rPr>
          <w:t>https://bqk-kos.org/news/the-cbk-publishes-the-statistics-of-commercial-banks-for-january-2024/?lang=en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Raiffeisen Bank Kosova | Raporti Vjetor 2023, aksesuar më 25 Prill 2025,</w:t>
      </w:r>
      <w:hyperlink r:id="rId189">
        <w:r w:rsidRPr="00F525CC">
          <w:rPr>
            <w:rFonts w:eastAsia="Google Sans" w:cs="Times New Roman"/>
            <w:color w:val="0000EE"/>
            <w:szCs w:val="24"/>
            <w:u w:val="single"/>
          </w:rPr>
          <w:t>https://www.raiffeisen-kosovo.com/content/dam/rbi/retail/eu/xk/about-us/raportet-vjetore/RB_Kosovo2023_AR_EN.pdf.coredownload.pdf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 xml:space="preserve">Mashtrim apo Konspiracion? Arrestimi i Guvernatorit të Bankës Qendrore të </w:t>
      </w:r>
      <w:r w:rsidRPr="00F525CC">
        <w:rPr>
          <w:rFonts w:eastAsia="Google Sans" w:cs="Times New Roman"/>
          <w:szCs w:val="24"/>
        </w:rPr>
        <w:lastRenderedPageBreak/>
        <w:t>Kosovës - Prishtina Insight, qasur më 25 prill 2025,</w:t>
      </w:r>
      <w:hyperlink r:id="rId190">
        <w:r w:rsidRPr="00F525CC">
          <w:rPr>
            <w:rFonts w:eastAsia="Google Sans" w:cs="Times New Roman"/>
            <w:color w:val="0000EE"/>
            <w:szCs w:val="24"/>
            <w:u w:val="single"/>
          </w:rPr>
          <w:t>https://prishtinainsight.com/wp-content/uploads/2016/02/Prishtina-Insight-62.pdf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Kosovë: Prokurori emërohet në rastin e trafikimit të organeve - OCCRP, qasur më 25 prill 2025,</w:t>
      </w:r>
      <w:hyperlink r:id="rId191">
        <w:r w:rsidRPr="00F525CC">
          <w:rPr>
            <w:rFonts w:eastAsia="Google Sans" w:cs="Times New Roman"/>
            <w:color w:val="0000EE"/>
            <w:szCs w:val="24"/>
            <w:u w:val="single"/>
          </w:rPr>
          <w:t>https://www.occrp.org/en/news/kosovo-prosecutor-named-in-organ-trafficking-case</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'Rishikimi' i BE-së mbi korrupsionin në Kosovë: Duke gërvishtur sipërfaqen? - Parlament.com, aksesuar më 25 prill 2025,</w:t>
      </w:r>
      <w:hyperlink r:id="rId192">
        <w:r w:rsidRPr="00F525CC">
          <w:rPr>
            <w:rFonts w:eastAsia="Google Sans" w:cs="Times New Roman"/>
            <w:color w:val="0000EE"/>
            <w:szCs w:val="24"/>
            <w:u w:val="single"/>
          </w:rPr>
          <w:t>https://www.parlement.com/id/vjosnh3yw1ze/nieuws/eu_review_on_kosovo_corruption</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Gjykatat e BE-së kanë probleme me skandalin e Kosovës - Politico.eu, aksesuar më 25 prill 2025,</w:t>
      </w:r>
      <w:hyperlink r:id="rId193">
        <w:r w:rsidRPr="00F525CC">
          <w:rPr>
            <w:rFonts w:eastAsia="Google Sans" w:cs="Times New Roman"/>
            <w:color w:val="0000EE"/>
            <w:szCs w:val="24"/>
            <w:u w:val="single"/>
          </w:rPr>
          <w:t>https://www.politico.eu/article/malcolm-simmons-eulex-eu-courts-chaos-with-kosovo-scandal/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Guvernatori i Bankës miratoi kërkesën për padi për kompensim - Prishtina Insight, aksesuar më 25 prill 2025,</w:t>
      </w:r>
      <w:hyperlink r:id="rId194">
        <w:r w:rsidRPr="00F525CC">
          <w:rPr>
            <w:rFonts w:eastAsia="Google Sans" w:cs="Times New Roman"/>
            <w:color w:val="0000EE"/>
            <w:szCs w:val="24"/>
            <w:u w:val="single"/>
          </w:rPr>
          <w:t>https://prishtinainsight.com/wp-content/uploads/2016/02/Prishtina-Insight-78.pdf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Instituti i Drejtësisë i Kosovës, aksesuar më 25 prill 2025,</w:t>
      </w:r>
      <w:hyperlink r:id="rId195">
        <w:r w:rsidRPr="00F525CC">
          <w:rPr>
            <w:rFonts w:eastAsia="Google Sans" w:cs="Times New Roman"/>
            <w:color w:val="0000EE"/>
            <w:szCs w:val="24"/>
            <w:u w:val="single"/>
          </w:rPr>
          <w:t>https://kli-ks.org/wp-content/uploads/2018/02/4.-Unheard-accusations-1.pdf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Guvernatori i Bankës Qendrore të Kosovës arrestohet në hetimin e BE-së për korrupsion - Radio Evropa e Lirë, aksesuar më 25 prill 2025,</w:t>
      </w:r>
      <w:hyperlink r:id="rId196">
        <w:r w:rsidRPr="00F525CC">
          <w:rPr>
            <w:rFonts w:eastAsia="Google Sans" w:cs="Times New Roman"/>
            <w:color w:val="0000EE"/>
            <w:szCs w:val="24"/>
            <w:u w:val="single"/>
          </w:rPr>
          <w:t>https://www.rferl.org/a/Kosovos_Central_Bank_Governor_Arrested_In_EU_Corruption_Probe/2107841.html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Shtatë kërkime që lidhen me hetimin e Bankës Qendrore - EULEX ..., qasur më 25 prill 2025,</w:t>
      </w:r>
      <w:hyperlink r:id="rId197">
        <w:r w:rsidRPr="00F525CC">
          <w:rPr>
            <w:rFonts w:eastAsia="Google Sans" w:cs="Times New Roman"/>
            <w:color w:val="0000EE"/>
            <w:szCs w:val="24"/>
            <w:u w:val="single"/>
          </w:rPr>
          <w:t>https://www.eulex-kosovo.eu/?page=2,10,1930</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Rexhepi kundër EULEX-it - Paneli i Shqyrtimit të të Drejtave të Njeriut, qasur më 25 prill 2025,</w:t>
      </w:r>
      <w:hyperlink r:id="rId198">
        <w:r w:rsidRPr="00F525CC">
          <w:rPr>
            <w:rFonts w:eastAsia="Google Sans" w:cs="Times New Roman"/>
            <w:color w:val="0000EE"/>
            <w:szCs w:val="24"/>
            <w:u w:val="single"/>
          </w:rPr>
          <w:t>https://hrrp.eu/docs/decisions/Inadmissibility%20Decision%202011-23.pdf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Guvernatori i BQK-së, Hashim Rexhepi, arrestohet - Telegrafi, aksesuar më 25 prill 2025,</w:t>
      </w:r>
      <w:hyperlink r:id="rId199">
        <w:r w:rsidRPr="00F525CC">
          <w:rPr>
            <w:rFonts w:eastAsia="Google Sans" w:cs="Times New Roman"/>
            <w:color w:val="0000EE"/>
            <w:szCs w:val="24"/>
            <w:u w:val="single"/>
          </w:rPr>
          <w:t>https://telegrafi.com/en/arrestohet-guvernatori-i-BKK-Se-Hashim-Rexhepi/</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raporti vjetor i monitorimit te gjykatave - raporti vjetor i monitorimit te gjykatave - Internews Kosova, aksesuar me 25 Prill 2025,</w:t>
      </w:r>
      <w:hyperlink r:id="rId200">
        <w:r w:rsidRPr="00F525CC">
          <w:rPr>
            <w:rFonts w:eastAsia="Google Sans" w:cs="Times New Roman"/>
            <w:color w:val="0000EE"/>
            <w:szCs w:val="24"/>
            <w:u w:val="single"/>
          </w:rPr>
          <w:t>https://internewskosova.org/wp-content/uploads/2017/07/ANNUAL-COURT-MONITORING-RAPORT-2012.pdf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lastRenderedPageBreak/>
        <w:t>Ish-guvernatori, i pafajshëm - Telegraph - Telegrafi, aksesuar më 25 prill 2025,</w:t>
      </w:r>
      <w:hyperlink r:id="rId201">
        <w:r w:rsidRPr="00F525CC">
          <w:rPr>
            <w:rFonts w:eastAsia="Google Sans" w:cs="Times New Roman"/>
            <w:color w:val="0000EE"/>
            <w:szCs w:val="24"/>
            <w:u w:val="single"/>
          </w:rPr>
          <w:t>https://telegrafi.com/en/the-innocent-ish-guvernor/</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headlines_-_30.07.2010.doc - UNMIK, qasur më 25 prill 2025,</w:t>
      </w:r>
      <w:hyperlink r:id="rId202">
        <w:r w:rsidRPr="00F525CC">
          <w:rPr>
            <w:rFonts w:eastAsia="Google Sans" w:cs="Times New Roman"/>
            <w:color w:val="0000EE"/>
            <w:szCs w:val="24"/>
            <w:u w:val="single"/>
          </w:rPr>
          <w:t>https://unmik.unmissions.org/sites/default/files/headlines_-_30.07.2010.doc</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Akuza shtesë kundër Guvernatorit të Bankës Qendrore të Kosovës - Komunikata për Shtyp të EULEX-it, qasur më 25 prill 2025,</w:t>
      </w:r>
      <w:hyperlink r:id="rId203">
        <w:r w:rsidRPr="00F525CC">
          <w:rPr>
            <w:rFonts w:eastAsia="Google Sans" w:cs="Times New Roman"/>
            <w:color w:val="0000EE"/>
            <w:szCs w:val="24"/>
            <w:u w:val="single"/>
          </w:rPr>
          <w:t>https://www.eulex-kosovo.eu/?page=2,10,1926</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Prokurori Kosovar i Antikorrupsionit Arrestohet për Korrupsion - Radio Evropa e Lirë, qasur më 25 prill 2025,</w:t>
      </w:r>
      <w:hyperlink r:id="rId204">
        <w:r w:rsidRPr="00F525CC">
          <w:rPr>
            <w:rFonts w:eastAsia="Google Sans" w:cs="Times New Roman"/>
            <w:color w:val="0000EE"/>
            <w:szCs w:val="24"/>
            <w:u w:val="single"/>
          </w:rPr>
          <w:t>https://www.rferl.org/a/kosovar_anticorruption_prosecutor_arrested_for_corruption/24536494.html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Rrëfimi i Mirashit për "montimin e çështjes deri në eliminimin e Hashim Rexhepit nga Nexhat Kryeziu" - KOHA.net, qasur më 25 prill 2025,</w:t>
      </w:r>
      <w:hyperlink r:id="rId205">
        <w:r w:rsidRPr="00F525CC">
          <w:rPr>
            <w:rFonts w:eastAsia="Google Sans" w:cs="Times New Roman"/>
            <w:color w:val="0000EE"/>
            <w:szCs w:val="24"/>
            <w:u w:val="single"/>
          </w:rPr>
          <w:t>https://www.koha.net/en/arberi/rrefimi-i-mirashit-per-montim-te-rastit-e-deri-te-eliminimi-i-hashim-rexhepit-nga-nexhat-kryeziu-1</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Ekskluzive: Ish-guvernatori i Kosovës kujton arrestimin 'e papritur' - Banka Qendrore, aksesuar më 25 prill 2025,</w:t>
      </w:r>
      <w:hyperlink r:id="rId206">
        <w:r w:rsidRPr="00F525CC">
          <w:rPr>
            <w:rFonts w:eastAsia="Google Sans" w:cs="Times New Roman"/>
            <w:color w:val="0000EE"/>
            <w:szCs w:val="24"/>
            <w:u w:val="single"/>
          </w:rPr>
          <w:t>https://www.centralbanking.com/central-banking/news/2140688/exclusive-kosovo-governor-recals-surprise-arrest</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EULEX mbulon korrupsionin dhe mbron elitën politike të Kosovës (Politika) | Zyra e Komunikimit Strategjik dhe Çështjeve Publike - Observer i Medias së Misionit të OKB-së në Kosovë, qasur më 25 prill 2025,</w:t>
      </w:r>
      <w:hyperlink r:id="rId207">
        <w:r w:rsidRPr="00F525CC">
          <w:rPr>
            <w:rFonts w:eastAsia="Google Sans" w:cs="Times New Roman"/>
            <w:color w:val="0000EE"/>
            <w:szCs w:val="24"/>
            <w:u w:val="single"/>
          </w:rPr>
          <w:t>https://media.unmikonline.org/mediareports/serb-monitoring-4422</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Rasti i Guvernatorit të Bankës Qendrore - Komunikata për Shtyp të EULEX-it, qasur më 25 prill 2025,</w:t>
      </w:r>
      <w:hyperlink r:id="rId208">
        <w:r w:rsidRPr="00F525CC">
          <w:rPr>
            <w:rFonts w:eastAsia="Google Sans" w:cs="Times New Roman"/>
            <w:color w:val="0000EE"/>
            <w:szCs w:val="24"/>
            <w:u w:val="single"/>
          </w:rPr>
          <w:t>https://www.eulex-kosovo.eu/?page=2,10,1906</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Ish-Guvernatori i Bankës së Kosovës lirohet nga akuzat për korrupsion - Radio Evropa e Lirë, aksesuar më 25 prill 2025,</w:t>
      </w:r>
      <w:hyperlink r:id="rId209">
        <w:r w:rsidRPr="00F525CC">
          <w:rPr>
            <w:rFonts w:eastAsia="Google Sans" w:cs="Times New Roman"/>
            <w:color w:val="0000EE"/>
            <w:szCs w:val="24"/>
            <w:u w:val="single"/>
          </w:rPr>
          <w:t>https://www.rferl.org/a/kosovos_former_bank_governor_accused_of_corruption_charges/24423600.html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Kosova, kontradiktat e pranisë evropiane - Osservatorio Balcani Caucaso, aksesuar më 25 prill 2025,</w:t>
      </w:r>
      <w:hyperlink r:id="rId210">
        <w:r w:rsidRPr="00F525CC">
          <w:rPr>
            <w:rFonts w:eastAsia="Google Sans" w:cs="Times New Roman"/>
            <w:color w:val="0000EE"/>
            <w:szCs w:val="24"/>
            <w:u w:val="single"/>
          </w:rPr>
          <w:t>https://www.balcanicaucaso.org/eng/Areas/Kosovo/Kosovo-the-contradictions-of-the-European-presence-93864</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 xml:space="preserve">Kosova: Një vend i shkëlqyer për të bërë biznes – nëse jeni bankë | Euromoney, aksesuar më 25 prill </w:t>
      </w:r>
      <w:r w:rsidRPr="00F525CC">
        <w:rPr>
          <w:rFonts w:eastAsia="Google Sans" w:cs="Times New Roman"/>
          <w:szCs w:val="24"/>
        </w:rPr>
        <w:lastRenderedPageBreak/>
        <w:t>2025,</w:t>
      </w:r>
      <w:hyperlink r:id="rId211">
        <w:r w:rsidRPr="00F525CC">
          <w:rPr>
            <w:rFonts w:eastAsia="Google Sans" w:cs="Times New Roman"/>
            <w:color w:val="0000EE"/>
            <w:szCs w:val="24"/>
            <w:u w:val="single"/>
          </w:rPr>
          <w:t>https://www.euromoney.com/article/b12khwy4qwqyn5/kosovo-a-great-place-to-do-business-if-youre-a-bank</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Raporti i Stafit për Konsultimin e Nenit IV të vitit 2024 dhe Shqyrtimet e Treta sipas Marrëveshjes së Mbështetjes dhe Marrëveshjes sipas Instrumentit të Rezistencës dhe Qëndrueshmërisë—Shtojca Informative në - Biblioteka Elektronike e FMN-së, qasur më 25 prill 2025,</w:t>
      </w:r>
      <w:hyperlink r:id="rId212">
        <w:r w:rsidRPr="00F525CC">
          <w:rPr>
            <w:rFonts w:eastAsia="Google Sans" w:cs="Times New Roman"/>
            <w:color w:val="0000EE"/>
            <w:szCs w:val="24"/>
            <w:u w:val="single"/>
          </w:rPr>
          <w:t>https://www.elibrary.imf.org/view/journals/002/2024/364/article-A002-en.xml</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 Biblioteka elektronike e FMN-së, aksesuar më 25 prill 2025,</w:t>
      </w:r>
      <w:hyperlink r:id="rId213">
        <w:r w:rsidRPr="00F525CC">
          <w:rPr>
            <w:rFonts w:eastAsia="Google Sans" w:cs="Times New Roman"/>
            <w:color w:val="0000EE"/>
            <w:szCs w:val="24"/>
            <w:u w:val="single"/>
          </w:rPr>
          <w:t>https://www.elibrary.imf.org/downloadpdf/view/journals/002/2024/147/article-A002-en.pdf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Republika e Kosovës: Kërkesë për Marrëveshje Stand-By; Raporti i FMN-së për Vendin 10/245; 7 korrik 2010, aksesuar më 25 prill 2025,</w:t>
      </w:r>
      <w:hyperlink r:id="rId214">
        <w:r w:rsidRPr="00F525CC">
          <w:rPr>
            <w:rFonts w:eastAsia="Google Sans" w:cs="Times New Roman"/>
            <w:color w:val="0000EE"/>
            <w:szCs w:val="24"/>
            <w:u w:val="single"/>
          </w:rPr>
          <w:t>https://www.imf.org/external/pubs/ft/scr/2010/cr10245.pdf</w:t>
        </w:r>
      </w:hyperlink>
    </w:p>
    <w:p w:rsidR="00F525CC" w:rsidRPr="00F525CC" w:rsidRDefault="00F525CC" w:rsidP="00F525CC">
      <w:pPr>
        <w:widowControl w:val="0"/>
        <w:numPr>
          <w:ilvl w:val="0"/>
          <w:numId w:val="28"/>
        </w:numPr>
        <w:pBdr>
          <w:top w:val="nil"/>
          <w:left w:val="nil"/>
          <w:bottom w:val="nil"/>
          <w:right w:val="nil"/>
          <w:between w:val="nil"/>
        </w:pBdr>
        <w:spacing w:after="0"/>
        <w:jc w:val="left"/>
        <w:rPr>
          <w:rFonts w:cs="Times New Roman"/>
        </w:rPr>
      </w:pPr>
      <w:r w:rsidRPr="00F525CC">
        <w:rPr>
          <w:rFonts w:eastAsia="Google Sans" w:cs="Times New Roman"/>
          <w:szCs w:val="24"/>
        </w:rPr>
        <w:t>Rrjeti Ballkanik i Gazetarisë Investigative - Fondi i Vëllezërve Rockefeller, aksesuar më 25 prill 2025,</w:t>
      </w:r>
      <w:hyperlink r:id="rId215">
        <w:r w:rsidRPr="00F525CC">
          <w:rPr>
            <w:rFonts w:eastAsia="Google Sans" w:cs="Times New Roman"/>
            <w:color w:val="0000EE"/>
            <w:szCs w:val="24"/>
            <w:u w:val="single"/>
          </w:rPr>
          <w:t>https://www.rbf.org/about/our-history/timeline/balkan-investigative-reporting-network</w:t>
        </w:r>
      </w:hyperlink>
    </w:p>
    <w:p w:rsidR="00F525CC" w:rsidRPr="00F525CC" w:rsidRDefault="00F525CC" w:rsidP="00F525CC">
      <w:pPr>
        <w:rPr>
          <w:rFonts w:cs="Times New Roman"/>
        </w:rPr>
      </w:pPr>
    </w:p>
    <w:p w:rsidR="00F525CC" w:rsidRPr="00F525CC" w:rsidRDefault="00F525CC" w:rsidP="00F525CC">
      <w:pPr>
        <w:rPr>
          <w:rFonts w:cs="Times New Roman"/>
        </w:rPr>
      </w:pPr>
    </w:p>
    <w:p w:rsidR="00F525CC" w:rsidRPr="00F525CC" w:rsidRDefault="00F525CC" w:rsidP="00F525CC">
      <w:pPr>
        <w:rPr>
          <w:rFonts w:cs="Times New Roman"/>
        </w:rPr>
      </w:pPr>
    </w:p>
    <w:p w:rsidR="00F525CC" w:rsidRPr="00F525CC" w:rsidRDefault="00F525CC" w:rsidP="00F525CC">
      <w:pPr>
        <w:rPr>
          <w:rFonts w:cs="Times New Roman"/>
        </w:rPr>
      </w:pPr>
    </w:p>
    <w:p w:rsidR="00F525CC" w:rsidRPr="00F525CC" w:rsidRDefault="00F525CC" w:rsidP="00F525CC">
      <w:pPr>
        <w:rPr>
          <w:rFonts w:cs="Times New Roman"/>
        </w:rPr>
      </w:pPr>
    </w:p>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F525CC" w:rsidRDefault="00F525CC" w:rsidP="00F525CC"/>
    <w:p w:rsidR="00DC170B" w:rsidRDefault="00DC170B" w:rsidP="00EB5B87">
      <w:pPr>
        <w:widowControl w:val="0"/>
        <w:pBdr>
          <w:top w:val="nil"/>
          <w:left w:val="nil"/>
          <w:bottom w:val="nil"/>
          <w:right w:val="nil"/>
          <w:between w:val="nil"/>
        </w:pBdr>
      </w:pPr>
    </w:p>
    <w:sectPr w:rsidR="00DC170B" w:rsidSect="005C7F7D">
      <w:footerReference w:type="default" r:id="rId216"/>
      <w:pgSz w:w="11907" w:h="16840" w:code="9"/>
      <w:pgMar w:top="1418" w:right="1701" w:bottom="1418" w:left="1701"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3D88" w:rsidRDefault="00BA3D88" w:rsidP="00DC170B">
      <w:pPr>
        <w:spacing w:after="0" w:line="240" w:lineRule="auto"/>
      </w:pPr>
      <w:r>
        <w:separator/>
      </w:r>
    </w:p>
  </w:endnote>
  <w:endnote w:type="continuationSeparator" w:id="0">
    <w:p w:rsidR="00BA3D88" w:rsidRDefault="00BA3D88" w:rsidP="00DC1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oogle Sans Text">
    <w:altName w:val="Calibri"/>
    <w:charset w:val="00"/>
    <w:family w:val="auto"/>
    <w:pitch w:val="default"/>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894482"/>
      <w:docPartObj>
        <w:docPartGallery w:val="Page Numbers (Bottom of Page)"/>
        <w:docPartUnique/>
      </w:docPartObj>
    </w:sdtPr>
    <w:sdtEndPr>
      <w:rPr>
        <w:noProof/>
      </w:rPr>
    </w:sdtEndPr>
    <w:sdtContent>
      <w:p w:rsidR="00637866" w:rsidRDefault="006378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C7F7D" w:rsidRDefault="005C7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3D88" w:rsidRDefault="00BA3D88" w:rsidP="00DC170B">
      <w:pPr>
        <w:spacing w:after="0" w:line="240" w:lineRule="auto"/>
      </w:pPr>
      <w:r>
        <w:separator/>
      </w:r>
    </w:p>
  </w:footnote>
  <w:footnote w:type="continuationSeparator" w:id="0">
    <w:p w:rsidR="00BA3D88" w:rsidRDefault="00BA3D88" w:rsidP="00DC1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592"/>
    <w:multiLevelType w:val="multilevel"/>
    <w:tmpl w:val="F75299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0671049"/>
    <w:multiLevelType w:val="multilevel"/>
    <w:tmpl w:val="CE3680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39C3415"/>
    <w:multiLevelType w:val="multilevel"/>
    <w:tmpl w:val="92EA9A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9FF3BEF"/>
    <w:multiLevelType w:val="multilevel"/>
    <w:tmpl w:val="B5949112"/>
    <w:lvl w:ilvl="0">
      <w:start w:val="1"/>
      <w:numFmt w:val="decimal"/>
      <w:lvlText w:val="%1."/>
      <w:lvlJc w:val="left"/>
      <w:pPr>
        <w:ind w:left="480" w:hanging="360"/>
      </w:pPr>
      <w:rPr>
        <w:rFonts w:ascii="Times New Roman" w:eastAsia="Arial" w:hAnsi="Times New Roman" w:cs="Times New Roman" w:hint="default"/>
        <w:b/>
        <w:bCs/>
        <w:i w:val="0"/>
        <w:smallCaps w:val="0"/>
        <w:strike w:val="0"/>
        <w:color w:val="000000"/>
        <w:sz w:val="24"/>
        <w:szCs w:val="24"/>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FFB30EA"/>
    <w:multiLevelType w:val="multilevel"/>
    <w:tmpl w:val="97C6EC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8E8376B"/>
    <w:multiLevelType w:val="multilevel"/>
    <w:tmpl w:val="759664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ED62F05"/>
    <w:multiLevelType w:val="multilevel"/>
    <w:tmpl w:val="2CFE68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322012A"/>
    <w:multiLevelType w:val="multilevel"/>
    <w:tmpl w:val="BD6A0E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8447631"/>
    <w:multiLevelType w:val="multilevel"/>
    <w:tmpl w:val="FBF8FF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ACF1209"/>
    <w:multiLevelType w:val="multilevel"/>
    <w:tmpl w:val="3CF267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44866EC"/>
    <w:multiLevelType w:val="multilevel"/>
    <w:tmpl w:val="766A1B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5E424F2"/>
    <w:multiLevelType w:val="multilevel"/>
    <w:tmpl w:val="0E6A359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7557F8F"/>
    <w:multiLevelType w:val="multilevel"/>
    <w:tmpl w:val="F08E1B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93726E1"/>
    <w:multiLevelType w:val="multilevel"/>
    <w:tmpl w:val="6E36947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9E7075F"/>
    <w:multiLevelType w:val="multilevel"/>
    <w:tmpl w:val="0B8688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A744160"/>
    <w:multiLevelType w:val="multilevel"/>
    <w:tmpl w:val="7D360E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3CA840A1"/>
    <w:multiLevelType w:val="multilevel"/>
    <w:tmpl w:val="571059A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1A45F8B"/>
    <w:multiLevelType w:val="multilevel"/>
    <w:tmpl w:val="26F00F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3816645"/>
    <w:multiLevelType w:val="multilevel"/>
    <w:tmpl w:val="44389C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45EE0FE3"/>
    <w:multiLevelType w:val="multilevel"/>
    <w:tmpl w:val="E7EAAA90"/>
    <w:lvl w:ilvl="0">
      <w:start w:val="1"/>
      <w:numFmt w:val="decimal"/>
      <w:lvlText w:val="%1."/>
      <w:lvlJc w:val="left"/>
      <w:pPr>
        <w:ind w:left="600" w:hanging="360"/>
      </w:pPr>
      <w:rPr>
        <w:rFonts w:ascii="Arial" w:eastAsia="Arial" w:hAnsi="Arial" w:cs="Arial"/>
        <w:b/>
        <w:bCs/>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4C2F79DE"/>
    <w:multiLevelType w:val="multilevel"/>
    <w:tmpl w:val="0DB411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52BD622C"/>
    <w:multiLevelType w:val="multilevel"/>
    <w:tmpl w:val="1B2CA7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543E118D"/>
    <w:multiLevelType w:val="multilevel"/>
    <w:tmpl w:val="F6C0D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5BCB4F54"/>
    <w:multiLevelType w:val="multilevel"/>
    <w:tmpl w:val="06B8451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6A5F7CB7"/>
    <w:multiLevelType w:val="multilevel"/>
    <w:tmpl w:val="924AAA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6B252EA3"/>
    <w:multiLevelType w:val="multilevel"/>
    <w:tmpl w:val="BDE0D8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0E71BA7"/>
    <w:multiLevelType w:val="multilevel"/>
    <w:tmpl w:val="0D7A50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78A52D5D"/>
    <w:multiLevelType w:val="multilevel"/>
    <w:tmpl w:val="007A8A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755829270">
    <w:abstractNumId w:val="21"/>
  </w:num>
  <w:num w:numId="2" w16cid:durableId="130221342">
    <w:abstractNumId w:val="10"/>
  </w:num>
  <w:num w:numId="3" w16cid:durableId="1572304592">
    <w:abstractNumId w:val="15"/>
  </w:num>
  <w:num w:numId="4" w16cid:durableId="269357937">
    <w:abstractNumId w:val="18"/>
  </w:num>
  <w:num w:numId="5" w16cid:durableId="1598563062">
    <w:abstractNumId w:val="25"/>
  </w:num>
  <w:num w:numId="6" w16cid:durableId="1886062219">
    <w:abstractNumId w:val="2"/>
  </w:num>
  <w:num w:numId="7" w16cid:durableId="2120484218">
    <w:abstractNumId w:val="3"/>
  </w:num>
  <w:num w:numId="8" w16cid:durableId="536506124">
    <w:abstractNumId w:val="20"/>
  </w:num>
  <w:num w:numId="9" w16cid:durableId="1149131164">
    <w:abstractNumId w:val="16"/>
  </w:num>
  <w:num w:numId="10" w16cid:durableId="686250949">
    <w:abstractNumId w:val="26"/>
  </w:num>
  <w:num w:numId="11" w16cid:durableId="1873346560">
    <w:abstractNumId w:val="24"/>
  </w:num>
  <w:num w:numId="12" w16cid:durableId="846363274">
    <w:abstractNumId w:val="23"/>
  </w:num>
  <w:num w:numId="13" w16cid:durableId="1561404924">
    <w:abstractNumId w:val="27"/>
  </w:num>
  <w:num w:numId="14" w16cid:durableId="178282593">
    <w:abstractNumId w:val="1"/>
  </w:num>
  <w:num w:numId="15" w16cid:durableId="1592811165">
    <w:abstractNumId w:val="12"/>
  </w:num>
  <w:num w:numId="16" w16cid:durableId="442262132">
    <w:abstractNumId w:val="8"/>
  </w:num>
  <w:num w:numId="17" w16cid:durableId="512182460">
    <w:abstractNumId w:val="4"/>
  </w:num>
  <w:num w:numId="18" w16cid:durableId="296954515">
    <w:abstractNumId w:val="22"/>
  </w:num>
  <w:num w:numId="19" w16cid:durableId="215744911">
    <w:abstractNumId w:val="17"/>
  </w:num>
  <w:num w:numId="20" w16cid:durableId="1289774401">
    <w:abstractNumId w:val="13"/>
  </w:num>
  <w:num w:numId="21" w16cid:durableId="508444140">
    <w:abstractNumId w:val="6"/>
  </w:num>
  <w:num w:numId="22" w16cid:durableId="1266814660">
    <w:abstractNumId w:val="11"/>
  </w:num>
  <w:num w:numId="23" w16cid:durableId="661589689">
    <w:abstractNumId w:val="5"/>
  </w:num>
  <w:num w:numId="24" w16cid:durableId="265500365">
    <w:abstractNumId w:val="0"/>
  </w:num>
  <w:num w:numId="25" w16cid:durableId="326135563">
    <w:abstractNumId w:val="9"/>
  </w:num>
  <w:num w:numId="26" w16cid:durableId="1893232194">
    <w:abstractNumId w:val="14"/>
  </w:num>
  <w:num w:numId="27" w16cid:durableId="1926842370">
    <w:abstractNumId w:val="7"/>
  </w:num>
  <w:num w:numId="28" w16cid:durableId="8716488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78"/>
    <w:rsid w:val="00046DA4"/>
    <w:rsid w:val="00077A39"/>
    <w:rsid w:val="00077AA0"/>
    <w:rsid w:val="000D12CF"/>
    <w:rsid w:val="000D6C8F"/>
    <w:rsid w:val="00135D2D"/>
    <w:rsid w:val="001A5FF9"/>
    <w:rsid w:val="001C1A24"/>
    <w:rsid w:val="001D7798"/>
    <w:rsid w:val="002104C0"/>
    <w:rsid w:val="002347D3"/>
    <w:rsid w:val="002577B2"/>
    <w:rsid w:val="00271368"/>
    <w:rsid w:val="002D6957"/>
    <w:rsid w:val="00311BD8"/>
    <w:rsid w:val="00322813"/>
    <w:rsid w:val="00324869"/>
    <w:rsid w:val="003924B8"/>
    <w:rsid w:val="003E1D2F"/>
    <w:rsid w:val="003F6AFA"/>
    <w:rsid w:val="00416198"/>
    <w:rsid w:val="004D0569"/>
    <w:rsid w:val="005022C3"/>
    <w:rsid w:val="00537A35"/>
    <w:rsid w:val="00557FB4"/>
    <w:rsid w:val="00576BCC"/>
    <w:rsid w:val="005B21AE"/>
    <w:rsid w:val="005C7F7D"/>
    <w:rsid w:val="005D0E9E"/>
    <w:rsid w:val="005E2D20"/>
    <w:rsid w:val="00637866"/>
    <w:rsid w:val="0067560B"/>
    <w:rsid w:val="006847EA"/>
    <w:rsid w:val="00723CEB"/>
    <w:rsid w:val="007637AF"/>
    <w:rsid w:val="007D1D61"/>
    <w:rsid w:val="008366F4"/>
    <w:rsid w:val="00870E98"/>
    <w:rsid w:val="008A0862"/>
    <w:rsid w:val="008A4D5D"/>
    <w:rsid w:val="00903AA4"/>
    <w:rsid w:val="00993466"/>
    <w:rsid w:val="009E2F4D"/>
    <w:rsid w:val="00A60DDA"/>
    <w:rsid w:val="00A8205C"/>
    <w:rsid w:val="00AA5A78"/>
    <w:rsid w:val="00B21F81"/>
    <w:rsid w:val="00B30C70"/>
    <w:rsid w:val="00B86BAF"/>
    <w:rsid w:val="00BA3D88"/>
    <w:rsid w:val="00BC34FC"/>
    <w:rsid w:val="00BF2D78"/>
    <w:rsid w:val="00CF0005"/>
    <w:rsid w:val="00D11E1E"/>
    <w:rsid w:val="00DB2A7B"/>
    <w:rsid w:val="00DC170B"/>
    <w:rsid w:val="00E17996"/>
    <w:rsid w:val="00E331D7"/>
    <w:rsid w:val="00EB5B87"/>
    <w:rsid w:val="00EE09A8"/>
    <w:rsid w:val="00F34828"/>
    <w:rsid w:val="00F525CC"/>
    <w:rsid w:val="00F84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59DD2"/>
  <w15:chartTrackingRefBased/>
  <w15:docId w15:val="{21C864C5-2813-4EA5-8280-C6E94961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Google Sans Text"/>
        <w:color w:val="1B1C1D"/>
        <w:kern w:val="2"/>
        <w:sz w:val="24"/>
        <w:lang w:val="en-US" w:eastAsia="en-US"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70B"/>
    <w:pPr>
      <w:jc w:val="both"/>
    </w:pPr>
    <w:rPr>
      <w:lang w:val="sq-AL"/>
    </w:rPr>
  </w:style>
  <w:style w:type="paragraph" w:styleId="Heading1">
    <w:name w:val="heading 1"/>
    <w:basedOn w:val="Normal"/>
    <w:next w:val="Normal"/>
    <w:link w:val="Heading1Char"/>
    <w:autoRedefine/>
    <w:uiPriority w:val="9"/>
    <w:qFormat/>
    <w:rsid w:val="007D1D61"/>
    <w:pPr>
      <w:widowControl w:val="0"/>
      <w:pBdr>
        <w:top w:val="nil"/>
        <w:left w:val="nil"/>
        <w:bottom w:val="nil"/>
        <w:right w:val="nil"/>
        <w:between w:val="nil"/>
      </w:pBdr>
      <w:spacing w:before="240"/>
      <w:jc w:val="center"/>
      <w:outlineLvl w:val="0"/>
    </w:pPr>
    <w:rPr>
      <w:rFonts w:ascii="Arial" w:eastAsia="Arial" w:hAnsi="Arial" w:cs="Arial"/>
      <w:b/>
      <w:color w:val="auto"/>
      <w:sz w:val="28"/>
      <w:szCs w:val="48"/>
    </w:rPr>
  </w:style>
  <w:style w:type="paragraph" w:styleId="Heading2">
    <w:name w:val="heading 2"/>
    <w:basedOn w:val="Normal"/>
    <w:next w:val="Normal"/>
    <w:link w:val="Heading2Char"/>
    <w:autoRedefine/>
    <w:uiPriority w:val="9"/>
    <w:unhideWhenUsed/>
    <w:qFormat/>
    <w:rsid w:val="003F6AFA"/>
    <w:pPr>
      <w:widowControl w:val="0"/>
      <w:pBdr>
        <w:top w:val="nil"/>
        <w:left w:val="nil"/>
        <w:bottom w:val="nil"/>
        <w:right w:val="nil"/>
        <w:between w:val="nil"/>
      </w:pBdr>
      <w:spacing w:before="225" w:after="225"/>
      <w:jc w:val="center"/>
      <w:outlineLvl w:val="1"/>
    </w:pPr>
    <w:rPr>
      <w:rFonts w:ascii="Arial" w:eastAsia="Arial" w:hAnsi="Arial" w:cs="Arial"/>
      <w:b/>
      <w:color w:val="auto"/>
      <w:sz w:val="26"/>
      <w:szCs w:val="36"/>
    </w:rPr>
  </w:style>
  <w:style w:type="paragraph" w:styleId="Heading3">
    <w:name w:val="heading 3"/>
    <w:basedOn w:val="Normal"/>
    <w:next w:val="Normal"/>
    <w:link w:val="Heading3Char"/>
    <w:uiPriority w:val="9"/>
    <w:unhideWhenUsed/>
    <w:qFormat/>
    <w:rsid w:val="00BF2D78"/>
    <w:pPr>
      <w:keepNext/>
      <w:keepLines/>
      <w:spacing w:before="40" w:after="0"/>
      <w:outlineLvl w:val="2"/>
    </w:pPr>
    <w:rPr>
      <w:rFonts w:asciiTheme="majorHAnsi" w:eastAsiaTheme="majorEastAsia" w:hAnsiTheme="majorHAnsi" w:cstheme="majorBidi"/>
      <w:color w:val="0A2F40" w:themeColor="accent1" w:themeShade="7F"/>
      <w:szCs w:val="24"/>
    </w:rPr>
  </w:style>
  <w:style w:type="paragraph" w:styleId="Heading4">
    <w:name w:val="heading 4"/>
    <w:basedOn w:val="Normal"/>
    <w:next w:val="Normal"/>
    <w:link w:val="Heading4Char"/>
    <w:uiPriority w:val="9"/>
    <w:unhideWhenUsed/>
    <w:qFormat/>
    <w:rsid w:val="00F525CC"/>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25CC"/>
    <w:pPr>
      <w:widowControl w:val="0"/>
      <w:pBdr>
        <w:top w:val="nil"/>
        <w:left w:val="nil"/>
        <w:bottom w:val="nil"/>
        <w:right w:val="nil"/>
        <w:between w:val="nil"/>
      </w:pBdr>
      <w:spacing w:before="255" w:after="255" w:line="240" w:lineRule="auto"/>
      <w:jc w:val="left"/>
      <w:outlineLvl w:val="4"/>
    </w:pPr>
    <w:rPr>
      <w:rFonts w:ascii="Arial" w:eastAsia="Arial" w:hAnsi="Arial" w:cs="Arial"/>
      <w:b/>
      <w:color w:val="auto"/>
      <w:kern w:val="0"/>
      <w:sz w:val="18"/>
      <w:szCs w:val="18"/>
      <w:lang w:val="en-US"/>
      <w14:ligatures w14:val="none"/>
    </w:rPr>
  </w:style>
  <w:style w:type="paragraph" w:styleId="Heading6">
    <w:name w:val="heading 6"/>
    <w:basedOn w:val="Normal"/>
    <w:next w:val="Normal"/>
    <w:link w:val="Heading6Char"/>
    <w:uiPriority w:val="9"/>
    <w:semiHidden/>
    <w:unhideWhenUsed/>
    <w:qFormat/>
    <w:rsid w:val="00F525CC"/>
    <w:pPr>
      <w:widowControl w:val="0"/>
      <w:pBdr>
        <w:top w:val="nil"/>
        <w:left w:val="nil"/>
        <w:bottom w:val="nil"/>
        <w:right w:val="nil"/>
        <w:between w:val="nil"/>
      </w:pBdr>
      <w:spacing w:before="360" w:after="360" w:line="240" w:lineRule="auto"/>
      <w:jc w:val="left"/>
      <w:outlineLvl w:val="5"/>
    </w:pPr>
    <w:rPr>
      <w:rFonts w:ascii="Arial" w:eastAsia="Arial" w:hAnsi="Arial" w:cs="Arial"/>
      <w:b/>
      <w:color w:val="auto"/>
      <w:kern w:val="0"/>
      <w:sz w:val="16"/>
      <w:szCs w:val="16"/>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D61"/>
    <w:rPr>
      <w:rFonts w:ascii="Arial" w:eastAsia="Arial" w:hAnsi="Arial" w:cs="Arial"/>
      <w:b/>
      <w:color w:val="auto"/>
      <w:sz w:val="28"/>
      <w:szCs w:val="48"/>
      <w:lang w:val="sq-AL"/>
    </w:rPr>
  </w:style>
  <w:style w:type="character" w:customStyle="1" w:styleId="Heading2Char">
    <w:name w:val="Heading 2 Char"/>
    <w:basedOn w:val="DefaultParagraphFont"/>
    <w:link w:val="Heading2"/>
    <w:uiPriority w:val="9"/>
    <w:rsid w:val="003F6AFA"/>
    <w:rPr>
      <w:rFonts w:ascii="Arial" w:eastAsia="Arial" w:hAnsi="Arial" w:cs="Arial"/>
      <w:b/>
      <w:color w:val="auto"/>
      <w:sz w:val="26"/>
      <w:szCs w:val="36"/>
      <w:lang w:val="sq-AL"/>
    </w:rPr>
  </w:style>
  <w:style w:type="paragraph" w:styleId="FootnoteText">
    <w:name w:val="footnote text"/>
    <w:basedOn w:val="Normal"/>
    <w:link w:val="FootnoteTextChar"/>
    <w:autoRedefine/>
    <w:uiPriority w:val="99"/>
    <w:semiHidden/>
    <w:unhideWhenUsed/>
    <w:qFormat/>
    <w:rsid w:val="003924B8"/>
    <w:pPr>
      <w:spacing w:after="0" w:line="240" w:lineRule="auto"/>
    </w:pPr>
  </w:style>
  <w:style w:type="character" w:customStyle="1" w:styleId="FootnoteTextChar">
    <w:name w:val="Footnote Text Char"/>
    <w:basedOn w:val="DefaultParagraphFont"/>
    <w:link w:val="FootnoteText"/>
    <w:uiPriority w:val="99"/>
    <w:semiHidden/>
    <w:rsid w:val="003924B8"/>
  </w:style>
  <w:style w:type="character" w:customStyle="1" w:styleId="Heading3Char">
    <w:name w:val="Heading 3 Char"/>
    <w:basedOn w:val="DefaultParagraphFont"/>
    <w:link w:val="Heading3"/>
    <w:uiPriority w:val="9"/>
    <w:rsid w:val="00BF2D78"/>
    <w:rPr>
      <w:rFonts w:asciiTheme="majorHAnsi" w:eastAsiaTheme="majorEastAsia" w:hAnsiTheme="majorHAnsi" w:cstheme="majorBidi"/>
      <w:color w:val="0A2F40" w:themeColor="accent1" w:themeShade="7F"/>
      <w:szCs w:val="24"/>
      <w:lang w:val="sq-AL"/>
    </w:rPr>
  </w:style>
  <w:style w:type="paragraph" w:styleId="EndnoteText">
    <w:name w:val="endnote text"/>
    <w:basedOn w:val="Normal"/>
    <w:link w:val="EndnoteTextChar"/>
    <w:uiPriority w:val="99"/>
    <w:semiHidden/>
    <w:unhideWhenUsed/>
    <w:rsid w:val="00DC170B"/>
    <w:pPr>
      <w:spacing w:after="0" w:line="240" w:lineRule="auto"/>
    </w:pPr>
    <w:rPr>
      <w:sz w:val="20"/>
    </w:rPr>
  </w:style>
  <w:style w:type="character" w:customStyle="1" w:styleId="EndnoteTextChar">
    <w:name w:val="Endnote Text Char"/>
    <w:basedOn w:val="DefaultParagraphFont"/>
    <w:link w:val="EndnoteText"/>
    <w:uiPriority w:val="99"/>
    <w:semiHidden/>
    <w:rsid w:val="00DC170B"/>
    <w:rPr>
      <w:sz w:val="20"/>
      <w:lang w:val="sq-AL"/>
    </w:rPr>
  </w:style>
  <w:style w:type="character" w:styleId="EndnoteReference">
    <w:name w:val="endnote reference"/>
    <w:basedOn w:val="DefaultParagraphFont"/>
    <w:uiPriority w:val="99"/>
    <w:semiHidden/>
    <w:unhideWhenUsed/>
    <w:rsid w:val="00DC170B"/>
    <w:rPr>
      <w:vertAlign w:val="superscript"/>
    </w:rPr>
  </w:style>
  <w:style w:type="paragraph" w:styleId="ListParagraph">
    <w:name w:val="List Paragraph"/>
    <w:basedOn w:val="Normal"/>
    <w:uiPriority w:val="34"/>
    <w:qFormat/>
    <w:rsid w:val="00EB5B87"/>
    <w:pPr>
      <w:ind w:left="720"/>
      <w:contextualSpacing/>
    </w:pPr>
  </w:style>
  <w:style w:type="paragraph" w:styleId="Header">
    <w:name w:val="header"/>
    <w:basedOn w:val="Normal"/>
    <w:link w:val="HeaderChar"/>
    <w:uiPriority w:val="99"/>
    <w:unhideWhenUsed/>
    <w:rsid w:val="00416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198"/>
    <w:rPr>
      <w:lang w:val="sq-AL"/>
    </w:rPr>
  </w:style>
  <w:style w:type="paragraph" w:styleId="Footer">
    <w:name w:val="footer"/>
    <w:basedOn w:val="Normal"/>
    <w:link w:val="FooterChar"/>
    <w:uiPriority w:val="99"/>
    <w:unhideWhenUsed/>
    <w:rsid w:val="00416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198"/>
    <w:rPr>
      <w:lang w:val="sq-AL"/>
    </w:rPr>
  </w:style>
  <w:style w:type="character" w:customStyle="1" w:styleId="Heading4Char">
    <w:name w:val="Heading 4 Char"/>
    <w:basedOn w:val="DefaultParagraphFont"/>
    <w:link w:val="Heading4"/>
    <w:uiPriority w:val="9"/>
    <w:rsid w:val="00F525CC"/>
    <w:rPr>
      <w:rFonts w:asciiTheme="majorHAnsi" w:eastAsiaTheme="majorEastAsia" w:hAnsiTheme="majorHAnsi" w:cstheme="majorBidi"/>
      <w:i/>
      <w:iCs/>
      <w:color w:val="0F4761" w:themeColor="accent1" w:themeShade="BF"/>
      <w:lang w:val="sq-AL"/>
    </w:rPr>
  </w:style>
  <w:style w:type="character" w:customStyle="1" w:styleId="Heading5Char">
    <w:name w:val="Heading 5 Char"/>
    <w:basedOn w:val="DefaultParagraphFont"/>
    <w:link w:val="Heading5"/>
    <w:uiPriority w:val="9"/>
    <w:semiHidden/>
    <w:rsid w:val="00F525CC"/>
    <w:rPr>
      <w:rFonts w:ascii="Arial" w:eastAsia="Arial" w:hAnsi="Arial" w:cs="Arial"/>
      <w:b/>
      <w:color w:val="auto"/>
      <w:kern w:val="0"/>
      <w:sz w:val="18"/>
      <w:szCs w:val="18"/>
      <w14:ligatures w14:val="none"/>
    </w:rPr>
  </w:style>
  <w:style w:type="character" w:customStyle="1" w:styleId="Heading6Char">
    <w:name w:val="Heading 6 Char"/>
    <w:basedOn w:val="DefaultParagraphFont"/>
    <w:link w:val="Heading6"/>
    <w:uiPriority w:val="9"/>
    <w:semiHidden/>
    <w:rsid w:val="00F525CC"/>
    <w:rPr>
      <w:rFonts w:ascii="Arial" w:eastAsia="Arial" w:hAnsi="Arial" w:cs="Arial"/>
      <w:b/>
      <w:color w:val="auto"/>
      <w:kern w:val="0"/>
      <w:sz w:val="16"/>
      <w:szCs w:val="16"/>
      <w14:ligatures w14:val="none"/>
    </w:rPr>
  </w:style>
  <w:style w:type="paragraph" w:styleId="Title">
    <w:name w:val="Title"/>
    <w:basedOn w:val="Normal"/>
    <w:next w:val="Normal"/>
    <w:link w:val="TitleChar"/>
    <w:uiPriority w:val="10"/>
    <w:qFormat/>
    <w:rsid w:val="00F525CC"/>
    <w:pPr>
      <w:keepNext/>
      <w:keepLines/>
      <w:widowControl w:val="0"/>
      <w:spacing w:before="480" w:after="120" w:line="240" w:lineRule="auto"/>
      <w:jc w:val="left"/>
    </w:pPr>
    <w:rPr>
      <w:rFonts w:ascii="Arial" w:eastAsia="Arial" w:hAnsi="Arial" w:cs="Arial"/>
      <w:b/>
      <w:color w:val="auto"/>
      <w:kern w:val="0"/>
      <w:sz w:val="72"/>
      <w:szCs w:val="72"/>
      <w:lang w:val="en-US"/>
      <w14:ligatures w14:val="none"/>
    </w:rPr>
  </w:style>
  <w:style w:type="character" w:customStyle="1" w:styleId="TitleChar">
    <w:name w:val="Title Char"/>
    <w:basedOn w:val="DefaultParagraphFont"/>
    <w:link w:val="Title"/>
    <w:uiPriority w:val="10"/>
    <w:rsid w:val="00F525CC"/>
    <w:rPr>
      <w:rFonts w:ascii="Arial" w:eastAsia="Arial" w:hAnsi="Arial" w:cs="Arial"/>
      <w:b/>
      <w:color w:val="auto"/>
      <w:kern w:val="0"/>
      <w:sz w:val="72"/>
      <w:szCs w:val="72"/>
      <w14:ligatures w14:val="none"/>
    </w:rPr>
  </w:style>
  <w:style w:type="paragraph" w:styleId="Subtitle">
    <w:name w:val="Subtitle"/>
    <w:basedOn w:val="Normal"/>
    <w:next w:val="Normal"/>
    <w:link w:val="SubtitleChar"/>
    <w:uiPriority w:val="11"/>
    <w:qFormat/>
    <w:rsid w:val="00F525CC"/>
    <w:pPr>
      <w:keepNext/>
      <w:keepLines/>
      <w:widowControl w:val="0"/>
      <w:spacing w:before="360" w:after="80" w:line="240" w:lineRule="auto"/>
      <w:jc w:val="left"/>
    </w:pPr>
    <w:rPr>
      <w:rFonts w:ascii="Georgia" w:eastAsia="Georgia" w:hAnsi="Georgia" w:cs="Georgia"/>
      <w:i/>
      <w:color w:val="666666"/>
      <w:kern w:val="0"/>
      <w:sz w:val="48"/>
      <w:szCs w:val="48"/>
      <w:lang w:val="en-US"/>
      <w14:ligatures w14:val="none"/>
    </w:rPr>
  </w:style>
  <w:style w:type="character" w:customStyle="1" w:styleId="SubtitleChar">
    <w:name w:val="Subtitle Char"/>
    <w:basedOn w:val="DefaultParagraphFont"/>
    <w:link w:val="Subtitle"/>
    <w:uiPriority w:val="11"/>
    <w:rsid w:val="00F525CC"/>
    <w:rPr>
      <w:rFonts w:ascii="Georgia" w:eastAsia="Georgia" w:hAnsi="Georgia" w:cs="Georgia"/>
      <w:i/>
      <w:color w:val="666666"/>
      <w:kern w:val="0"/>
      <w:sz w:val="48"/>
      <w:szCs w:val="48"/>
      <w14:ligatures w14:val="none"/>
    </w:rPr>
  </w:style>
  <w:style w:type="paragraph" w:styleId="TOCHeading">
    <w:name w:val="TOC Heading"/>
    <w:basedOn w:val="Heading1"/>
    <w:next w:val="Normal"/>
    <w:uiPriority w:val="39"/>
    <w:unhideWhenUsed/>
    <w:qFormat/>
    <w:rsid w:val="00B30C7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30C70"/>
    <w:pPr>
      <w:spacing w:after="100"/>
    </w:pPr>
  </w:style>
  <w:style w:type="paragraph" w:styleId="TOC2">
    <w:name w:val="toc 2"/>
    <w:basedOn w:val="Normal"/>
    <w:next w:val="Normal"/>
    <w:autoRedefine/>
    <w:uiPriority w:val="39"/>
    <w:unhideWhenUsed/>
    <w:rsid w:val="00B30C70"/>
    <w:pPr>
      <w:spacing w:after="100"/>
      <w:ind w:left="240"/>
    </w:pPr>
  </w:style>
  <w:style w:type="character" w:styleId="Hyperlink">
    <w:name w:val="Hyperlink"/>
    <w:basedOn w:val="DefaultParagraphFont"/>
    <w:uiPriority w:val="99"/>
    <w:unhideWhenUsed/>
    <w:rsid w:val="00B30C70"/>
    <w:rPr>
      <w:color w:val="467886" w:themeColor="hyperlink"/>
      <w:u w:val="single"/>
    </w:rPr>
  </w:style>
  <w:style w:type="paragraph" w:styleId="NoSpacing">
    <w:name w:val="No Spacing"/>
    <w:link w:val="NoSpacingChar"/>
    <w:uiPriority w:val="1"/>
    <w:qFormat/>
    <w:rsid w:val="00637866"/>
    <w:pPr>
      <w:spacing w:after="0" w:line="240" w:lineRule="auto"/>
    </w:pPr>
    <w:rPr>
      <w:rFonts w:asciiTheme="minorHAnsi" w:eastAsiaTheme="minorEastAsia" w:hAnsiTheme="minorHAnsi" w:cstheme="minorBidi"/>
      <w:color w:val="auto"/>
      <w:kern w:val="0"/>
      <w:sz w:val="22"/>
      <w:szCs w:val="22"/>
      <w14:ligatures w14:val="none"/>
    </w:rPr>
  </w:style>
  <w:style w:type="character" w:customStyle="1" w:styleId="NoSpacingChar">
    <w:name w:val="No Spacing Char"/>
    <w:basedOn w:val="DefaultParagraphFont"/>
    <w:link w:val="NoSpacing"/>
    <w:uiPriority w:val="1"/>
    <w:rsid w:val="00637866"/>
    <w:rPr>
      <w:rFonts w:asciiTheme="minorHAnsi" w:eastAsiaTheme="minorEastAsia" w:hAnsiTheme="minorHAnsi" w:cstheme="minorBidi"/>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csenet.org/journal/index.php/res/article/download/65953/39228" TargetMode="External"/><Relationship Id="rId21" Type="http://schemas.openxmlformats.org/officeDocument/2006/relationships/hyperlink" Target="https://www.consumerfinance.gov/owning-a-home/explore/understand-the-different-kinds-of-loans-available/" TargetMode="External"/><Relationship Id="rId42" Type="http://schemas.openxmlformats.org/officeDocument/2006/relationships/hyperlink" Target="https://gusto.com/resources/articles/business-finance/funding/sba-loans" TargetMode="External"/><Relationship Id="rId63" Type="http://schemas.openxmlformats.org/officeDocument/2006/relationships/hyperlink" Target="https://www.experian.com/blogs/ask-experian/what-happens-if-i-default-on-personal-loan/" TargetMode="External"/><Relationship Id="rId84" Type="http://schemas.openxmlformats.org/officeDocument/2006/relationships/hyperlink" Target="https://bqk-kos.org/news/bqk-anetaresohet-ne-organizaten-nderkombetare-per-mbrojtje-te-konsumatoreve-financiare-finconet/?lang=en" TargetMode="External"/><Relationship Id="rId138" Type="http://schemas.openxmlformats.org/officeDocument/2006/relationships/hyperlink" Target="https://www.raiffeisen-kosovo.com/en/personal.html" TargetMode="External"/><Relationship Id="rId159" Type="http://schemas.openxmlformats.org/officeDocument/2006/relationships/hyperlink" Target="https://procreditbank-kos.com/eng/private-clients/loans/personal-loan/" TargetMode="External"/><Relationship Id="rId170" Type="http://schemas.openxmlformats.org/officeDocument/2006/relationships/hyperlink" Target="https://kosovo.mom-gmr.org/en/findings/media-finances/" TargetMode="External"/><Relationship Id="rId191" Type="http://schemas.openxmlformats.org/officeDocument/2006/relationships/hyperlink" Target="https://www.occrp.org/en/news/kosovo-prosecutor-named-in-organ-trafficking-case" TargetMode="External"/><Relationship Id="rId205" Type="http://schemas.openxmlformats.org/officeDocument/2006/relationships/hyperlink" Target="https://www.koha.net/en/arberi/rrefimi-i-mirashit-per-montim-te-rastit-e-deri-te-eliminimi-i-hashim-rexhepit-nga-nexhat-kryeziu-1" TargetMode="External"/><Relationship Id="rId107" Type="http://schemas.openxmlformats.org/officeDocument/2006/relationships/hyperlink" Target="https://iipccl.org/wp-content/uploads/2019/03/92-102.pdf" TargetMode="External"/><Relationship Id="rId11" Type="http://schemas.openxmlformats.org/officeDocument/2006/relationships/hyperlink" Target="https://www.balcanicaucaso.org/eng/Areas/Kosovo/EU-fiasco-the-case-of-Kosovo-s-Central-Bank-110879" TargetMode="External"/><Relationship Id="rId32" Type="http://schemas.openxmlformats.org/officeDocument/2006/relationships/hyperlink" Target="https://www.salliemae.com/" TargetMode="External"/><Relationship Id="rId53" Type="http://schemas.openxmlformats.org/officeDocument/2006/relationships/hyperlink" Target="https://www.investopedia.com/terms/o/origination.asp" TargetMode="External"/><Relationship Id="rId74" Type="http://schemas.openxmlformats.org/officeDocument/2006/relationships/hyperlink" Target="https://www.trade.gov/country-commercial-guides/kosovo-trade-financing" TargetMode="External"/><Relationship Id="rId128" Type="http://schemas.openxmlformats.org/officeDocument/2006/relationships/hyperlink" Target="https://www.globalbankingandfinance.com/list-of-banks-in-kosovo" TargetMode="External"/><Relationship Id="rId149" Type="http://schemas.openxmlformats.org/officeDocument/2006/relationships/hyperlink" Target="https://procreditbank-kos.com/eng/business-clients/accounts/" TargetMode="External"/><Relationship Id="rId5" Type="http://schemas.openxmlformats.org/officeDocument/2006/relationships/webSettings" Target="webSettings.xml"/><Relationship Id="rId95" Type="http://schemas.openxmlformats.org/officeDocument/2006/relationships/hyperlink" Target="https://www.worldbank.org/en/country/kosovo/overview" TargetMode="External"/><Relationship Id="rId160" Type="http://schemas.openxmlformats.org/officeDocument/2006/relationships/hyperlink" Target="https://procreditbank-kos.com/eng/price-list-general-terms-and-conditions/price-list-for-private-clients/" TargetMode="External"/><Relationship Id="rId181" Type="http://schemas.openxmlformats.org/officeDocument/2006/relationships/hyperlink" Target="https://rm.coe.int/3156-35-iproceeds-assessment-report-indicators-ks/16807be063" TargetMode="External"/><Relationship Id="rId216" Type="http://schemas.openxmlformats.org/officeDocument/2006/relationships/footer" Target="footer1.xml"/><Relationship Id="rId22" Type="http://schemas.openxmlformats.org/officeDocument/2006/relationships/hyperlink" Target="https://www.investopedia.com/loan-basics-4689731" TargetMode="External"/><Relationship Id="rId43" Type="http://schemas.openxmlformats.org/officeDocument/2006/relationships/hyperlink" Target="https://www.sba.gov/funding-programs/loans/504-loans" TargetMode="External"/><Relationship Id="rId64" Type="http://schemas.openxmlformats.org/officeDocument/2006/relationships/hyperlink" Target="https://www.equifax.com/personal/education/personal-finance/articles/-/learn/what-is-reposession/" TargetMode="External"/><Relationship Id="rId118" Type="http://schemas.openxmlformats.org/officeDocument/2006/relationships/hyperlink" Target="https://www.german-economic-team.com/en/newsletter/implications-of-kosovos-initial-credit-rating/" TargetMode="External"/><Relationship Id="rId139" Type="http://schemas.openxmlformats.org/officeDocument/2006/relationships/hyperlink" Target="https://www.raiffeisen-kosovo.com/en/corporate.html" TargetMode="External"/><Relationship Id="rId85" Type="http://schemas.openxmlformats.org/officeDocument/2006/relationships/hyperlink" Target="https://kosovapress.com/en/bqk-these-are-the-effects-achieved-after-the-entry-into-force-of-the-regulation-on-cash-operations" TargetMode="External"/><Relationship Id="rId150" Type="http://schemas.openxmlformats.org/officeDocument/2006/relationships/hyperlink" Target="https://www.procreditbank-kos.com/Uploads/Data/Files/121/PCB_KDR_Personat_Fizik_Anglisht_RSvDKmXTc2.pdf" TargetMode="External"/><Relationship Id="rId171" Type="http://schemas.openxmlformats.org/officeDocument/2006/relationships/hyperlink" Target="https://bqk-kos.org/statistikat/indikatoret-ekonomik/?lang=en" TargetMode="External"/><Relationship Id="rId192" Type="http://schemas.openxmlformats.org/officeDocument/2006/relationships/hyperlink" Target="https://www.parlement.com/id/vjosnh3yw1ze/nieuws/eu_review_on_kosovo_corruption" TargetMode="External"/><Relationship Id="rId206" Type="http://schemas.openxmlformats.org/officeDocument/2006/relationships/hyperlink" Target="https://www.centralbanking.com/central-banking/news/2140688/exclusive-kosovo-governor-recalls-surprise-arrest" TargetMode="External"/><Relationship Id="rId12" Type="http://schemas.openxmlformats.org/officeDocument/2006/relationships/hyperlink" Target="https://www.ebrd.com/content/dam/ebrd_dxp/assets/pdfs/office-of-the-chief-economist/transition-report-archive/transition-report-2024/country-assessments-2023-24/south-eastern-europe/Transition-Report-2024-25-Kosovo.pdf" TargetMode="External"/><Relationship Id="rId33" Type="http://schemas.openxmlformats.org/officeDocument/2006/relationships/hyperlink" Target="https://www.salliemae.com/student-loans/information.aspxCachedSimilarNavigating" TargetMode="External"/><Relationship Id="rId108" Type="http://schemas.openxmlformats.org/officeDocument/2006/relationships/hyperlink" Target="https://www.european-microfinance.org/organisation/amik-association-of-microfinance-institutions-of-kosovo/" TargetMode="External"/><Relationship Id="rId129" Type="http://schemas.openxmlformats.org/officeDocument/2006/relationships/hyperlink" Target="https://www.raiffeisen-kosovo.com/en/about-us/raiffeisen-bank.html" TargetMode="External"/><Relationship Id="rId54" Type="http://schemas.openxmlformats.org/officeDocument/2006/relationships/hyperlink" Target="https://www.investopedia.com/terms/u/underwriting.asp" TargetMode="External"/><Relationship Id="rId75" Type="http://schemas.openxmlformats.org/officeDocument/2006/relationships/hyperlink" Target="https://www.elibrary.imf.org/view/journals/002/2013/099/article-A001-en.xml" TargetMode="External"/><Relationship Id="rId96" Type="http://schemas.openxmlformats.org/officeDocument/2006/relationships/hyperlink" Target="https://www.elibrary.imf.org/view/journals/002/2024/364/article-A001-en.xml" TargetMode="External"/><Relationship Id="rId140" Type="http://schemas.openxmlformats.org/officeDocument/2006/relationships/hyperlink" Target="https://www.raiffeisen-kosovo.com/en/personal/ways-to-bank/e-banking.html" TargetMode="External"/><Relationship Id="rId161" Type="http://schemas.openxmlformats.org/officeDocument/2006/relationships/hyperlink" Target="https://www.un.org/esa/ffd/wp-content/uploads/2006/11/20061122_NDBs-MSC-SA-Kellow.ppt" TargetMode="External"/><Relationship Id="rId182" Type="http://schemas.openxmlformats.org/officeDocument/2006/relationships/hyperlink" Target="https://enlargement.ec.europa.eu/system/files/2020-10/kosovo_report_2020.pdf" TargetMode="External"/><Relationship Id="rId217"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hyperlink" Target="https://openknowledge.worldbank.org/entities/publication/2a452123-14d4-5262-a1eb-e013ceaaf852" TargetMode="External"/><Relationship Id="rId119" Type="http://schemas.openxmlformats.org/officeDocument/2006/relationships/hyperlink" Target="https://documents1.worldbank.org/curated/pt/171191561738338544/pdf/Concept-Program-Information-Document-PID-Kosovo-Public-Finances-and-Growth-DPF-P170113.pdf" TargetMode="External"/><Relationship Id="rId44" Type="http://schemas.openxmlformats.org/officeDocument/2006/relationships/hyperlink" Target="http://business.bankofamerica.com/en/resources/what-is-an-sba-loan.html" TargetMode="External"/><Relationship Id="rId65" Type="http://schemas.openxmlformats.org/officeDocument/2006/relationships/hyperlink" Target="https://www.experian.com/blogs/ask-experian/how-bad-is-it-to-default-on-a-car-loan/" TargetMode="External"/><Relationship Id="rId86" Type="http://schemas.openxmlformats.org/officeDocument/2006/relationships/hyperlink" Target="https://ecommerce4all-ks.com/wp-content/uploads/sites/5/2022/08/law_no._04_l-121_on_consumer_protection.pdf" TargetMode="External"/><Relationship Id="rId130" Type="http://schemas.openxmlformats.org/officeDocument/2006/relationships/hyperlink" Target="https://procreditbank-kos.com/eng/apply-online/" TargetMode="External"/><Relationship Id="rId151" Type="http://schemas.openxmlformats.org/officeDocument/2006/relationships/hyperlink" Target="https://procreditbank-kos.com/eng/business-clients/services/e-banking-transfers/" TargetMode="External"/><Relationship Id="rId172" Type="http://schemas.openxmlformats.org/officeDocument/2006/relationships/hyperlink" Target="https://www.imf.org/en/Publications/selected-issues-papers/Issues/2025/01/16/ECB-Monetary-Policy-Passthrough-to-Bank-Interest-Rates-During-Tightening-Republic-of-Kosovo-561012" TargetMode="External"/><Relationship Id="rId193" Type="http://schemas.openxmlformats.org/officeDocument/2006/relationships/hyperlink" Target="https://www.politico.eu/article/malcolm-simmons-eulex-eu-courts-chaos-with-kosovo-scandal/" TargetMode="External"/><Relationship Id="rId207" Type="http://schemas.openxmlformats.org/officeDocument/2006/relationships/hyperlink" Target="https://media.unmikonline.org/mediareports/serb-monitoring-4422" TargetMode="External"/><Relationship Id="rId13" Type="http://schemas.openxmlformats.org/officeDocument/2006/relationships/hyperlink" Target="https://www.investopedia.com/terms/l/loan.asp" TargetMode="External"/><Relationship Id="rId109" Type="http://schemas.openxmlformats.org/officeDocument/2006/relationships/hyperlink" Target="https://www.amik.org/Home/SetLanguage?returnUrl=/AMIK/Per-ne&amp;culture=sr-Latn-RS" TargetMode="External"/><Relationship Id="rId34" Type="http://schemas.openxmlformats.org/officeDocument/2006/relationships/hyperlink" Target="https://www.salliemae.com/blog/comparing-student-loan-options/" TargetMode="External"/><Relationship Id="rId55" Type="http://schemas.openxmlformats.org/officeDocument/2006/relationships/hyperlink" Target="https://www.ibm.com/think/topics/ai-in-fintech" TargetMode="External"/><Relationship Id="rId76" Type="http://schemas.openxmlformats.org/officeDocument/2006/relationships/hyperlink" Target="https://www.abacademies.org/articles/financial-performance-evaluation-of-the-commercial-banks-in-kosovo-10128.html" TargetMode="External"/><Relationship Id="rId97" Type="http://schemas.openxmlformats.org/officeDocument/2006/relationships/hyperlink" Target="https://www.imf.org/en/News/Articles/2024/12/21/pr-24497-kosovo-imf-concludes-2024-aiv-consultation-and-3rd-rev-under-sba-and-rsf-arrangements" TargetMode="External"/><Relationship Id="rId120" Type="http://schemas.openxmlformats.org/officeDocument/2006/relationships/hyperlink" Target="https://documents1.worldbank.org/curated/en/171191561738338544/Concept-Program-Information-Document-PID-Kosovo-Public-Finances-and-Growth-DPF-P170113.docx" TargetMode="External"/><Relationship Id="rId141" Type="http://schemas.openxmlformats.org/officeDocument/2006/relationships/hyperlink" Target="https://www.raiffeisen-kosovo.com/en/corporate/transfers.html" TargetMode="External"/><Relationship Id="rId7" Type="http://schemas.openxmlformats.org/officeDocument/2006/relationships/endnotes" Target="endnotes.xml"/><Relationship Id="rId162" Type="http://schemas.openxmlformats.org/officeDocument/2006/relationships/hyperlink" Target="https://fincakosovo.org/en/borrow/start-up-loan/" TargetMode="External"/><Relationship Id="rId183" Type="http://schemas.openxmlformats.org/officeDocument/2006/relationships/hyperlink" Target="http://old.kuvendikosoves.org/common/docs/ligjet/05-L-057%20a.pdf" TargetMode="External"/><Relationship Id="rId218" Type="http://schemas.openxmlformats.org/officeDocument/2006/relationships/theme" Target="theme/theme1.xml"/><Relationship Id="rId24" Type="http://schemas.openxmlformats.org/officeDocument/2006/relationships/hyperlink" Target="https://www.nerdwallet.com/article/loans/personal-loans/secured-vs-unsecured-loans" TargetMode="External"/><Relationship Id="rId45" Type="http://schemas.openxmlformats.org/officeDocument/2006/relationships/hyperlink" Target="https://www.sba.gov/partners/lenders/7a-loan-program/types-7a-loans" TargetMode="External"/><Relationship Id="rId66" Type="http://schemas.openxmlformats.org/officeDocument/2006/relationships/hyperlink" Target="https://www.experian.com/blogs/ask-experian/when-does-debt-become-delinquent/" TargetMode="External"/><Relationship Id="rId87" Type="http://schemas.openxmlformats.org/officeDocument/2006/relationships/hyperlink" Target="https://bqk-kos.org/legjislacioni/?lang=en" TargetMode="External"/><Relationship Id="rId110" Type="http://schemas.openxmlformats.org/officeDocument/2006/relationships/hyperlink" Target="https://www.amchamksv.org/wp-content/uploads/2022/05/Policy-Spotlight_Microfinance-Institutions-in-Kosovo_English-1.pdf" TargetMode="External"/><Relationship Id="rId131" Type="http://schemas.openxmlformats.org/officeDocument/2006/relationships/hyperlink" Target="https://procreditbank-kos.com/eng/homepage/" TargetMode="External"/><Relationship Id="rId152" Type="http://schemas.openxmlformats.org/officeDocument/2006/relationships/hyperlink" Target="https://procreditbank-kos.com/eng/business-clients/services/e-commerce/" TargetMode="External"/><Relationship Id="rId173" Type="http://schemas.openxmlformats.org/officeDocument/2006/relationships/hyperlink" Target="https://documents1.worldbank.org/curated/en/760711558144961259/txt/Kosovo-Financial-Sector-Strengthening-Project.txt" TargetMode="External"/><Relationship Id="rId194" Type="http://schemas.openxmlformats.org/officeDocument/2006/relationships/hyperlink" Target="https://prishtinainsight.com/wp-content/uploads/2016/02/Prishtina-Insight-78.pdf" TargetMode="External"/><Relationship Id="rId208" Type="http://schemas.openxmlformats.org/officeDocument/2006/relationships/hyperlink" Target="https://www.eulex-kosovo.eu/?page=2,10,1906" TargetMode="External"/><Relationship Id="rId14" Type="http://schemas.openxmlformats.org/officeDocument/2006/relationships/hyperlink" Target="https://www.investopedia.com/terms/p/principal.asp" TargetMode="External"/><Relationship Id="rId30" Type="http://schemas.openxmlformats.org/officeDocument/2006/relationships/hyperlink" Target="https://dfpi.ca.gov/news/insights/consumer-financial-education-other-loans/" TargetMode="External"/><Relationship Id="rId35" Type="http://schemas.openxmlformats.org/officeDocument/2006/relationships/hyperlink" Target="https://salliemakessense.com/who-sallie-mae-is-and-isnt/" TargetMode="External"/><Relationship Id="rId56" Type="http://schemas.openxmlformats.org/officeDocument/2006/relationships/hyperlink" Target="https://pubsonline.informs.org/doi/10.1287/mnsc.2024.4986" TargetMode="External"/><Relationship Id="rId77" Type="http://schemas.openxmlformats.org/officeDocument/2006/relationships/hyperlink" Target="https://www.acadlore.com/article/JAFAS/2021_7_3/jafas.2021.027" TargetMode="External"/><Relationship Id="rId100" Type="http://schemas.openxmlformats.org/officeDocument/2006/relationships/hyperlink" Target="https://documents1.worldbank.org/curated/en/099070324080533594/pdf/BOSIB1df5ea1c10d919824135a2d95eafd8.pdf?_gl=1*f0g9fp*_gcl_au*MjIzNzU3MzcwLjE3MjU4Njg5MDk." TargetMode="External"/><Relationship Id="rId105" Type="http://schemas.openxmlformats.org/officeDocument/2006/relationships/hyperlink" Target="https://www.researchgate.net/publication/328594592_A_Comparative_Study_of_Prudential_Regulation_on_Loan_Classification_and_Provisioning_of_the_South_East_European_Countries" TargetMode="External"/><Relationship Id="rId126" Type="http://schemas.openxmlformats.org/officeDocument/2006/relationships/hyperlink" Target="https://op.europa.eu/en/publication-detail/-/publication/d5bf15e9-3368-11ef-b441-01aa75ed71a1/language-en" TargetMode="External"/><Relationship Id="rId147" Type="http://schemas.openxmlformats.org/officeDocument/2006/relationships/hyperlink" Target="https://procreditbank-kos.com/eng/branches/" TargetMode="External"/><Relationship Id="rId168" Type="http://schemas.openxmlformats.org/officeDocument/2006/relationships/hyperlink" Target="https://fincakosovo.org/en/news/finca-in-the-kosovo-banker-magazine/" TargetMode="External"/><Relationship Id="rId8" Type="http://schemas.openxmlformats.org/officeDocument/2006/relationships/image" Target="media/image1.png"/><Relationship Id="rId51" Type="http://schemas.openxmlformats.org/officeDocument/2006/relationships/hyperlink" Target="https://mfc.org.pl/wp-content/uploads/2016/04/Research-Indebtedness-Study-Kosovo_Summary-Paper_ENG.pdf" TargetMode="External"/><Relationship Id="rId72" Type="http://schemas.openxmlformats.org/officeDocument/2006/relationships/hyperlink" Target="https://mpra.ub.uni-muenchen.de/25577/1/Functions_of_Central_Bank_of_Kosovo_and_the_need_for_their_advancement.pdf" TargetMode="External"/><Relationship Id="rId93" Type="http://schemas.openxmlformats.org/officeDocument/2006/relationships/hyperlink" Target="https://www.state.gov/reports/2024-investment-climate-statements/kosovo/" TargetMode="External"/><Relationship Id="rId98" Type="http://schemas.openxmlformats.org/officeDocument/2006/relationships/hyperlink" Target="https://bqk-kos.org/wp-content/uploads/2024/11/CBK_QAE_Q1-2024.pdf?lang=en" TargetMode="External"/><Relationship Id="rId121" Type="http://schemas.openxmlformats.org/officeDocument/2006/relationships/hyperlink" Target="https://bti-project.org/en/reports/country-report/RKS" TargetMode="External"/><Relationship Id="rId142" Type="http://schemas.openxmlformats.org/officeDocument/2006/relationships/hyperlink" Target="https://www.raiffeisen-kosovo.com/en/personal/ways-to-bank/transfers.html" TargetMode="External"/><Relationship Id="rId163" Type="http://schemas.openxmlformats.org/officeDocument/2006/relationships/hyperlink" Target="https://www.efse.lu/fileadmin/user_upload/efse/news_migration/How_to_approach_a_Microfinance_Institution.pdf" TargetMode="External"/><Relationship Id="rId184" Type="http://schemas.openxmlformats.org/officeDocument/2006/relationships/hyperlink" Target="https://www.imf.org/-/media/Files/Publications/CR/2020/English/1UVKEA2020001.ashx" TargetMode="External"/><Relationship Id="rId189" Type="http://schemas.openxmlformats.org/officeDocument/2006/relationships/hyperlink" Target="https://www.raiffeisen-kosovo.com/content/dam/rbi/retail/eu/xk/about-us/raportet-vjetore/RB_Kosovo2023_AR_EN.pdf.coredownload.pdf" TargetMode="External"/><Relationship Id="rId3" Type="http://schemas.openxmlformats.org/officeDocument/2006/relationships/styles" Target="styles.xml"/><Relationship Id="rId214" Type="http://schemas.openxmlformats.org/officeDocument/2006/relationships/hyperlink" Target="https://www.imf.org/external/pubs/ft/scr/2010/cr10245.pdf" TargetMode="External"/><Relationship Id="rId25" Type="http://schemas.openxmlformats.org/officeDocument/2006/relationships/hyperlink" Target="https://www.nerdwallet.com/article/loans/personal-loans/what-is-a-secured-loan" TargetMode="External"/><Relationship Id="rId46" Type="http://schemas.openxmlformats.org/officeDocument/2006/relationships/hyperlink" Target="https://www.sba.gov/funding-programs/loans" TargetMode="External"/><Relationship Id="rId67" Type="http://schemas.openxmlformats.org/officeDocument/2006/relationships/hyperlink" Target="https://en.wikipedia.org/wiki/Central_Bank_of_Kosovo" TargetMode="External"/><Relationship Id="rId116" Type="http://schemas.openxmlformats.org/officeDocument/2006/relationships/hyperlink" Target="https://bqk-kos.org/edu/wp-content/uploads/2024/12/Article-on-loan.pdf" TargetMode="External"/><Relationship Id="rId137" Type="http://schemas.openxmlformats.org/officeDocument/2006/relationships/hyperlink" Target="https://www.raiffeisen-kosovo.com/en/premium.html" TargetMode="External"/><Relationship Id="rId158" Type="http://schemas.openxmlformats.org/officeDocument/2006/relationships/hyperlink" Target="https://www.procreditbank-direct.com/kosovo/en/mobile" TargetMode="External"/><Relationship Id="rId20" Type="http://schemas.openxmlformats.org/officeDocument/2006/relationships/hyperlink" Target="https://www.researchgate.net/publication/388036307_Investigating_determinants_of_credit_growth_in_the_case_of_Kosovo_A_VAR_model" TargetMode="External"/><Relationship Id="rId41" Type="http://schemas.openxmlformats.org/officeDocument/2006/relationships/hyperlink" Target="https://resources.liveoak.bank/blog/what-is-a-small-business-loan" TargetMode="External"/><Relationship Id="rId62" Type="http://schemas.openxmlformats.org/officeDocument/2006/relationships/hyperlink" Target="https://www.experian.com/blogs/ask-experian/what-does-it-mean-to-default-on-a-loan/" TargetMode="External"/><Relationship Id="rId83" Type="http://schemas.openxmlformats.org/officeDocument/2006/relationships/hyperlink" Target="https://virtusinterpress.org/IMG/pdf/clgrv6i3p10.pdf" TargetMode="External"/><Relationship Id="rId88" Type="http://schemas.openxmlformats.org/officeDocument/2006/relationships/hyperlink" Target="https://bqk-kos.org/stabiliteti-financiar/anketa-e-kreditimit-bankar-ne-kosove/?lang=en" TargetMode="External"/><Relationship Id="rId111" Type="http://schemas.openxmlformats.org/officeDocument/2006/relationships/hyperlink" Target="https://www.gafspfund.org/news/kosovo-microfinance-expands-herds-and-hopes" TargetMode="External"/><Relationship Id="rId132" Type="http://schemas.openxmlformats.org/officeDocument/2006/relationships/hyperlink" Target="https://procreditbank-kos.com/" TargetMode="External"/><Relationship Id="rId153" Type="http://schemas.openxmlformats.org/officeDocument/2006/relationships/hyperlink" Target="https://www.procredit-holding.com/wp-content/uploads/2024/11/PCH-Q3-2024-Quarterly-Report-EN.pdf" TargetMode="External"/><Relationship Id="rId174" Type="http://schemas.openxmlformats.org/officeDocument/2006/relationships/hyperlink" Target="https://store.mintel.com/report/uk-personal-loans-market-report" TargetMode="External"/><Relationship Id="rId179" Type="http://schemas.openxmlformats.org/officeDocument/2006/relationships/hyperlink" Target="https://www.researchgate.net/publication/315341344_Money_Laundering_in_the_Republic_of_Kosovo_During_the_Years_2013-2015" TargetMode="External"/><Relationship Id="rId195" Type="http://schemas.openxmlformats.org/officeDocument/2006/relationships/hyperlink" Target="https://kli-ks.org/wp-content/uploads/2018/02/4.-Unheard-accusations-1.pdf" TargetMode="External"/><Relationship Id="rId209" Type="http://schemas.openxmlformats.org/officeDocument/2006/relationships/hyperlink" Target="https://www.rferl.org/a/kosovos_former_bank_governor_accused_of_corruption_charges/24423600.html" TargetMode="External"/><Relationship Id="rId190" Type="http://schemas.openxmlformats.org/officeDocument/2006/relationships/hyperlink" Target="https://prishtinainsight.com/wp-content/uploads/2016/02/Prishtina-Insight-62.pdf" TargetMode="External"/><Relationship Id="rId204" Type="http://schemas.openxmlformats.org/officeDocument/2006/relationships/hyperlink" Target="https://www.rferl.org/a/kosovar_anticorruption_prosecutor_arrested_for_corruption/24536494.html" TargetMode="External"/><Relationship Id="rId15" Type="http://schemas.openxmlformats.org/officeDocument/2006/relationships/hyperlink" Target="https://www.investopedia.com/terms/i/interestrate.asp" TargetMode="External"/><Relationship Id="rId36" Type="http://schemas.openxmlformats.org/officeDocument/2006/relationships/hyperlink" Target="https://www.salliemae.com/college-planning/student-loans-and-borrowing/" TargetMode="External"/><Relationship Id="rId57" Type="http://schemas.openxmlformats.org/officeDocument/2006/relationships/hyperlink" Target="https://neontri.com/blog/artificial-intelligence-fintech/" TargetMode="External"/><Relationship Id="rId106" Type="http://schemas.openxmlformats.org/officeDocument/2006/relationships/hyperlink" Target="https://www.bis.org/review/r201118f.pdf" TargetMode="External"/><Relationship Id="rId127" Type="http://schemas.openxmlformats.org/officeDocument/2006/relationships/hyperlink" Target="https://www.ebrd.com/home/work-with-us/projects/psd/54879.html" TargetMode="External"/><Relationship Id="rId10" Type="http://schemas.openxmlformats.org/officeDocument/2006/relationships/hyperlink" Target="https://www.imf.org/en/News/Articles/2025/03/20/pr2571-kosovo-review-sba-rsf" TargetMode="External"/><Relationship Id="rId31" Type="http://schemas.openxmlformats.org/officeDocument/2006/relationships/hyperlink" Target="https://www.salliemae.com/blog/what-to-use-student-loans-for/" TargetMode="External"/><Relationship Id="rId52" Type="http://schemas.openxmlformats.org/officeDocument/2006/relationships/hyperlink" Target="https://www.investopedia.com/mortgage-process-explained-5213694" TargetMode="External"/><Relationship Id="rId73" Type="http://schemas.openxmlformats.org/officeDocument/2006/relationships/hyperlink" Target="https://cps.rks-gov.net/wp-content/uploads/2020/09/LAW_NO._04_L-093_ON_BANKS_MICROFINANCE_INSTITUTIONS_AND_NON_BANK_FINANCIAL_INSTITUTIONS-1.pdf" TargetMode="External"/><Relationship Id="rId78" Type="http://schemas.openxmlformats.org/officeDocument/2006/relationships/hyperlink" Target="https://bqk-kos.org/wp-content/uploads/2024/11/Regulation-on-Credit-Risk-Management-28.03.2019.pdf?lang=en" TargetMode="External"/><Relationship Id="rId94" Type="http://schemas.openxmlformats.org/officeDocument/2006/relationships/hyperlink" Target="https://www.imf.org/-/media/Files/Publications/CR/2024/English/1kosea2024002-print-pdf.ashx" TargetMode="External"/><Relationship Id="rId99" Type="http://schemas.openxmlformats.org/officeDocument/2006/relationships/hyperlink" Target="https://www.imf.org/external/pubs/ft/scr/2015/cr15131.pdf" TargetMode="External"/><Relationship Id="rId101" Type="http://schemas.openxmlformats.org/officeDocument/2006/relationships/hyperlink" Target="https://www.researchgate.net/publication/352887884_Impact_of_Non-Performing_Loans_on_Bank's_Profitability_Empirical_Evidence_from_Commercial_Banks_in_Kosovo" TargetMode="External"/><Relationship Id="rId122" Type="http://schemas.openxmlformats.org/officeDocument/2006/relationships/hyperlink" Target="https://2024.tr-ebrd.com/country/kosovo/" TargetMode="External"/><Relationship Id="rId143" Type="http://schemas.openxmlformats.org/officeDocument/2006/relationships/hyperlink" Target="https://www.raiffeisen-kosovo.com/en/personal/products/loans/personal-loan.html" TargetMode="External"/><Relationship Id="rId148" Type="http://schemas.openxmlformats.org/officeDocument/2006/relationships/hyperlink" Target="https://www.procreditbank.de/en/business-clients" TargetMode="External"/><Relationship Id="rId164" Type="http://schemas.openxmlformats.org/officeDocument/2006/relationships/hyperlink" Target="https://www.bankassoc-kos.com/En/komunikatat/?faqe=4" TargetMode="External"/><Relationship Id="rId169" Type="http://schemas.openxmlformats.org/officeDocument/2006/relationships/hyperlink" Target="https://www.sbfnetwork.org/kosovo-banking-association-and-sbfn-co-host-sustainable-finance-forum/" TargetMode="External"/><Relationship Id="rId185" Type="http://schemas.openxmlformats.org/officeDocument/2006/relationships/hyperlink" Target="https://bqk-kos.org/wp-content/uploads/2024/11/CBK_FSR_16.pdf" TargetMode="External"/><Relationship Id="rId4" Type="http://schemas.openxmlformats.org/officeDocument/2006/relationships/settings" Target="settings.xml"/><Relationship Id="rId9" Type="http://schemas.openxmlformats.org/officeDocument/2006/relationships/hyperlink" Target="https://www.vienna-initiative.com/assets/Uploads/2022/economics_cesee_bls_2022_h1_en.pdf" TargetMode="External"/><Relationship Id="rId180" Type="http://schemas.openxmlformats.org/officeDocument/2006/relationships/hyperlink" Target="https://www.undp.org/sites/g/files/zskgke326/files/migration/ks/GeneralTypologies-Eng.pdf" TargetMode="External"/><Relationship Id="rId210" Type="http://schemas.openxmlformats.org/officeDocument/2006/relationships/hyperlink" Target="https://www.balcanicaucaso.org/eng/Areas/Kosovo/Kosovo-the-contradictions-of-the-European-presence-93864" TargetMode="External"/><Relationship Id="rId215" Type="http://schemas.openxmlformats.org/officeDocument/2006/relationships/hyperlink" Target="https://www.rbf.org/about/our-history/timeline/balkan-investigative-reporting-network" TargetMode="External"/><Relationship Id="rId26" Type="http://schemas.openxmlformats.org/officeDocument/2006/relationships/hyperlink" Target="https://www.nerdwallet.com/article/loans/personal-loans/unsecured-personal-loans-no-collateral" TargetMode="External"/><Relationship Id="rId47" Type="http://schemas.openxmlformats.org/officeDocument/2006/relationships/hyperlink" Target="https://www.sba.gov/funding-programs/loans/7a-loans" TargetMode="External"/><Relationship Id="rId68" Type="http://schemas.openxmlformats.org/officeDocument/2006/relationships/hyperlink" Target="https://www.devex.com/organizations/central-bank-of-the-republic-of-kosovo-128032" TargetMode="External"/><Relationship Id="rId89" Type="http://schemas.openxmlformats.org/officeDocument/2006/relationships/hyperlink" Target="https://bqk-kos.org/stabiliteti-financiar/?lang=en" TargetMode="External"/><Relationship Id="rId112" Type="http://schemas.openxmlformats.org/officeDocument/2006/relationships/hyperlink" Target="https://bankacredins-ks.com/en/business/small-business/financing/small-business-financing/" TargetMode="External"/><Relationship Id="rId133" Type="http://schemas.openxmlformats.org/officeDocument/2006/relationships/hyperlink" Target="https://procreditbank-kos.com/eng/apply-online/private-clients/kredi-personale/" TargetMode="External"/><Relationship Id="rId154" Type="http://schemas.openxmlformats.org/officeDocument/2006/relationships/hyperlink" Target="https://procreditbank-kos.com/Uploads/Data/Files/6/PC-2-FIN-ENG_288984_JM2XCKyp5J.pdf" TargetMode="External"/><Relationship Id="rId175" Type="http://schemas.openxmlformats.org/officeDocument/2006/relationships/hyperlink" Target="https://gjk-ks.org/wp-content/uploads/vendimet/KO97_12_AGJ_ANG.pdf" TargetMode="External"/><Relationship Id="rId196" Type="http://schemas.openxmlformats.org/officeDocument/2006/relationships/hyperlink" Target="https://www.rferl.org/a/Kosovos_Central_Bank_Governor_Arrested_In_EU_Corruption_Probe/2107841.html" TargetMode="External"/><Relationship Id="rId200" Type="http://schemas.openxmlformats.org/officeDocument/2006/relationships/hyperlink" Target="https://internewskosova.org/wp-content/uploads/2017/07/ANNUAL-COURT-MONITORING-REPORT-2012.pdf" TargetMode="External"/><Relationship Id="rId16" Type="http://schemas.openxmlformats.org/officeDocument/2006/relationships/hyperlink" Target="https://www.forbes.com/uk/advisor/investing/best-compound-interest-investments/" TargetMode="External"/><Relationship Id="rId37" Type="http://schemas.openxmlformats.org/officeDocument/2006/relationships/hyperlink" Target="https://www.salliemae.com/college-planning/student-loans-and-borrowing/compare-federal-vs-private-loans/private-student-loans/" TargetMode="External"/><Relationship Id="rId58" Type="http://schemas.openxmlformats.org/officeDocument/2006/relationships/hyperlink" Target="https://www.ey.com/en_be/insights/financial-services/how-embedded-finance-and-ai-impact-the-lending-sector" TargetMode="External"/><Relationship Id="rId79" Type="http://schemas.openxmlformats.org/officeDocument/2006/relationships/hyperlink" Target="https://rphs.law/advancing-kosovos-financial-sector-legislative-milestones-on-the-path-to-sepa-membership/" TargetMode="External"/><Relationship Id="rId102" Type="http://schemas.openxmlformats.org/officeDocument/2006/relationships/hyperlink" Target="https://www.ceicdata.com/en/indicator/kosovo/bank-lending-rate" TargetMode="External"/><Relationship Id="rId123" Type="http://schemas.openxmlformats.org/officeDocument/2006/relationships/hyperlink" Target="https://www.elibrary.imf.org/downloadpdf/view/journals/018/2025/004/018.2025.issue-004-en.pdf" TargetMode="External"/><Relationship Id="rId144" Type="http://schemas.openxmlformats.org/officeDocument/2006/relationships/hyperlink" Target="https://www.raiffeisen-kosovo.com/en/personal/help-tools/contact-us.html" TargetMode="External"/><Relationship Id="rId90" Type="http://schemas.openxmlformats.org/officeDocument/2006/relationships/hyperlink" Target="https://www.elibrary.imf.org/view/book/9789928445391/ch006.xml" TargetMode="External"/><Relationship Id="rId165" Type="http://schemas.openxmlformats.org/officeDocument/2006/relationships/hyperlink" Target="https://www.sbfnetwork.org/kosovo-banking-association-joins-sbfn/" TargetMode="External"/><Relationship Id="rId186" Type="http://schemas.openxmlformats.org/officeDocument/2006/relationships/hyperlink" Target="https://bqk-kos.org/wp-content/uploads/2024/11/CBK_FSR_14.pdf" TargetMode="External"/><Relationship Id="rId211" Type="http://schemas.openxmlformats.org/officeDocument/2006/relationships/hyperlink" Target="https://www.euromoney.com/article/b12khwy4qwqyn5/kosovo-a-great-place-to-do-business-if-youre-a-bank" TargetMode="External"/><Relationship Id="rId27" Type="http://schemas.openxmlformats.org/officeDocument/2006/relationships/hyperlink" Target="https://www.truist.com/loans" TargetMode="External"/><Relationship Id="rId48" Type="http://schemas.openxmlformats.org/officeDocument/2006/relationships/hyperlink" Target="https://www.sba.gov/partners/lenders/7a-loan-program/terms-conditions-eligibility" TargetMode="External"/><Relationship Id="rId69" Type="http://schemas.openxmlformats.org/officeDocument/2006/relationships/hyperlink" Target="https://bqk-kos.org/?lang=en&amp;lang=en" TargetMode="External"/><Relationship Id="rId113" Type="http://schemas.openxmlformats.org/officeDocument/2006/relationships/hyperlink" Target="https://www.fincaimpact.com/solutions/products-and-services/" TargetMode="External"/><Relationship Id="rId134" Type="http://schemas.openxmlformats.org/officeDocument/2006/relationships/hyperlink" Target="https://www.institutigap.org/documents/97679_BANK%20WATCH%20-%20English%20-%20Final1.pdf" TargetMode="External"/><Relationship Id="rId80" Type="http://schemas.openxmlformats.org/officeDocument/2006/relationships/hyperlink" Target="https://www.elibrary.imf.org/view/journals/002/2020/217/article-A001-en.xml" TargetMode="External"/><Relationship Id="rId155" Type="http://schemas.openxmlformats.org/officeDocument/2006/relationships/hyperlink" Target="https://procreditbank-kos.com/eng/news/get-a-personal-loan-of-up-to-10000-response-i-1755/" TargetMode="External"/><Relationship Id="rId176" Type="http://schemas.openxmlformats.org/officeDocument/2006/relationships/hyperlink" Target="https://cof.org/sites/default/files/Kosovo.pdf" TargetMode="External"/><Relationship Id="rId197" Type="http://schemas.openxmlformats.org/officeDocument/2006/relationships/hyperlink" Target="https://www.eulex-kosovo.eu/?page=2,10,1930" TargetMode="External"/><Relationship Id="rId201" Type="http://schemas.openxmlformats.org/officeDocument/2006/relationships/hyperlink" Target="https://telegrafi.com/en/the-innocent-ex-governor/" TargetMode="External"/><Relationship Id="rId17" Type="http://schemas.openxmlformats.org/officeDocument/2006/relationships/hyperlink" Target="https://www.forbes.com/advisor/au/investing/compound-interest-in-australia/" TargetMode="External"/><Relationship Id="rId38" Type="http://schemas.openxmlformats.org/officeDocument/2006/relationships/hyperlink" Target="https://www.salliemae.com/college-planning/student-loans-and-borrowing/compare-federal-vs-private-loans/" TargetMode="External"/><Relationship Id="rId59" Type="http://schemas.openxmlformats.org/officeDocument/2006/relationships/hyperlink" Target="https://www.rapidinnovation.io/post/ai-in-loan-underwriting-use-cases-best-practices-and-future" TargetMode="External"/><Relationship Id="rId103" Type="http://schemas.openxmlformats.org/officeDocument/2006/relationships/hyperlink" Target="https://www.ceicdata.com/en/indicator/kosovo/total-loans-growth" TargetMode="External"/><Relationship Id="rId124" Type="http://schemas.openxmlformats.org/officeDocument/2006/relationships/hyperlink" Target="https://bqk-kos.org/news/publikimi-i-statistikave-te-sektorit-te-jashtem-per-tremujorin-e-kater-2024-dhe-bilancit-te-pagesave-per-muajin-janar-2025/?lang=en" TargetMode="External"/><Relationship Id="rId70" Type="http://schemas.openxmlformats.org/officeDocument/2006/relationships/hyperlink" Target="https://bqk-kos.org/?lang=en" TargetMode="External"/><Relationship Id="rId91" Type="http://schemas.openxmlformats.org/officeDocument/2006/relationships/hyperlink" Target="https://www.elibrary.imf.org/downloadpdf/view/journals/002/2024/365/article-A003-en.pdf" TargetMode="External"/><Relationship Id="rId145" Type="http://schemas.openxmlformats.org/officeDocument/2006/relationships/hyperlink" Target="https://procreditbank-kos.com/Uploads/Data/Files/113/PCB_Cmimore_KlientePrivat_14.03.2025_ENG_EfVjx3KTkG.pdf" TargetMode="External"/><Relationship Id="rId166" Type="http://schemas.openxmlformats.org/officeDocument/2006/relationships/hyperlink" Target="https://issuu.com/shbk/docs/27_-_the_kosovo_banker_2024_-_eng_" TargetMode="External"/><Relationship Id="rId187" Type="http://schemas.openxmlformats.org/officeDocument/2006/relationships/hyperlink" Target="https://www.researchgate.net/publication/333944016_The_Performance_of_Consumer_Loan_in_the_Period_2007-2017_Correlation_with_Consumption_and_Economic_Growth_The_Case_of_Kosovo" TargetMode="External"/><Relationship Id="rId1" Type="http://schemas.openxmlformats.org/officeDocument/2006/relationships/customXml" Target="../customXml/item1.xml"/><Relationship Id="rId212" Type="http://schemas.openxmlformats.org/officeDocument/2006/relationships/hyperlink" Target="https://www.elibrary.imf.org/view/journals/002/2024/364/article-A002-en.xml" TargetMode="External"/><Relationship Id="rId28" Type="http://schemas.openxmlformats.org/officeDocument/2006/relationships/hyperlink" Target="https://kcdf.org/toolkit/understanding-bank-loans-and-credit-options-in-kosovo-a-guide-for-msmes/" TargetMode="External"/><Relationship Id="rId49" Type="http://schemas.openxmlformats.org/officeDocument/2006/relationships/hyperlink" Target="https://www.lakecitybank.com/business-banking/loans/sba-loans/" TargetMode="External"/><Relationship Id="rId114" Type="http://schemas.openxmlformats.org/officeDocument/2006/relationships/hyperlink" Target="https://www.european-microfinance.org/organisation/amik-association-microfinance-institutions-kosovo" TargetMode="External"/><Relationship Id="rId60" Type="http://schemas.openxmlformats.org/officeDocument/2006/relationships/hyperlink" Target="https://bqk-kos.org/wp-content/uploads/2025/03/CBK_BLSK_Q4-2024_No.22.pdf" TargetMode="External"/><Relationship Id="rId81" Type="http://schemas.openxmlformats.org/officeDocument/2006/relationships/hyperlink" Target="https://telegrafi.com/en/bqk-with-strategy-for-consumer-protection/" TargetMode="External"/><Relationship Id="rId135" Type="http://schemas.openxmlformats.org/officeDocument/2006/relationships/hyperlink" Target="https://www.raiffeisen-kosovo.com/en/personal/products/savings-investment.html" TargetMode="External"/><Relationship Id="rId156" Type="http://schemas.openxmlformats.org/officeDocument/2006/relationships/hyperlink" Target="https://procreditbank-kos.com/?pageId=113&amp;language=2" TargetMode="External"/><Relationship Id="rId177" Type="http://schemas.openxmlformats.org/officeDocument/2006/relationships/hyperlink" Target="https://bqk-kos.org/wp-content/uploads/2024/11/2-Regulation-on-Residential-Mortgages-ENG-3.pdf?lang=en" TargetMode="External"/><Relationship Id="rId198" Type="http://schemas.openxmlformats.org/officeDocument/2006/relationships/hyperlink" Target="https://hrrp.eu/docs/decisions/Inadmissibility%20Decision%202011-23.pdf" TargetMode="External"/><Relationship Id="rId202" Type="http://schemas.openxmlformats.org/officeDocument/2006/relationships/hyperlink" Target="https://unmik.unmissions.org/sites/default/files/headlines_-_30.07.2010.doc" TargetMode="External"/><Relationship Id="rId18" Type="http://schemas.openxmlformats.org/officeDocument/2006/relationships/hyperlink" Target="https://www.researchgate.net/publication/369045938_Examining_Legal_and_Financial_Aspects_of_Consumer_Credit_in_Selected_Countries_of_Western_Balkans_and_Kosovo" TargetMode="External"/><Relationship Id="rId39" Type="http://schemas.openxmlformats.org/officeDocument/2006/relationships/hyperlink" Target="https://research.com/student-loans/sallie-mae-student-loans-review" TargetMode="External"/><Relationship Id="rId50" Type="http://schemas.openxmlformats.org/officeDocument/2006/relationships/hyperlink" Target="https://www.usbank.com/business-banking/business-lending/sba-loans.html" TargetMode="External"/><Relationship Id="rId104" Type="http://schemas.openxmlformats.org/officeDocument/2006/relationships/hyperlink" Target="https://www.researchgate.net/publication/305744566_Government_Participation_in_Bad_Debts_Resolution_Case_of_Kosovo_and_Albania" TargetMode="External"/><Relationship Id="rId125" Type="http://schemas.openxmlformats.org/officeDocument/2006/relationships/hyperlink" Target="https://www.eib.org/en/publications-research/economics/surveys-data/cesee/index" TargetMode="External"/><Relationship Id="rId146" Type="http://schemas.openxmlformats.org/officeDocument/2006/relationships/hyperlink" Target="https://www.procreditbank-kos.com/Uploads/Data/Files/125/General_Terms_bc_xpPCAgb8d5.pdf" TargetMode="External"/><Relationship Id="rId167" Type="http://schemas.openxmlformats.org/officeDocument/2006/relationships/hyperlink" Target="https://www.efse.lu/fileadmin/user_upload/efse/news_migration/2015-05_EFSE_DF_extends_support_for_the_Kosovo_banker_magazine_until_end_2016.pdf" TargetMode="External"/><Relationship Id="rId188" Type="http://schemas.openxmlformats.org/officeDocument/2006/relationships/hyperlink" Target="https://bqk-kos.org/news/the-cbk-publishes-the-statistics-of-commercial-banks-for-january-2024/?lang=en" TargetMode="External"/><Relationship Id="rId71" Type="http://schemas.openxmlformats.org/officeDocument/2006/relationships/hyperlink" Target="https://www.ebrd.com/content/dam/ebrd_dxp/assets/pdfs/country-strategies/kosovo/Kosovo-Private-Sector-Diagnostic.pdf" TargetMode="External"/><Relationship Id="rId92" Type="http://schemas.openxmlformats.org/officeDocument/2006/relationships/hyperlink" Target="https://openknowledge.worldbank.org/entities/publication/f0f94492-3052-5224-a937-da7caccc0e90" TargetMode="External"/><Relationship Id="rId213" Type="http://schemas.openxmlformats.org/officeDocument/2006/relationships/hyperlink" Target="https://www.elibrary.imf.org/downloadpdf/view/journals/002/2024/147/article-A002-en.pdf" TargetMode="External"/><Relationship Id="rId2" Type="http://schemas.openxmlformats.org/officeDocument/2006/relationships/numbering" Target="numbering.xml"/><Relationship Id="rId29" Type="http://schemas.openxmlformats.org/officeDocument/2006/relationships/hyperlink" Target="https://www.investopedia.com/personal-loan-5076027" TargetMode="External"/><Relationship Id="rId40" Type="http://schemas.openxmlformats.org/officeDocument/2006/relationships/hyperlink" Target="https://www.salliemae.com/student-loans/private-student-loans/" TargetMode="External"/><Relationship Id="rId115" Type="http://schemas.openxmlformats.org/officeDocument/2006/relationships/hyperlink" Target="https://www.eib.org/attachments/efs/assessment_of_financing_needs_of_smes_kosovo_en.pdf" TargetMode="External"/><Relationship Id="rId136" Type="http://schemas.openxmlformats.org/officeDocument/2006/relationships/hyperlink" Target="https://www.raiffeisen-kosovo.com/en/personal/ways-to-bank/join-raiffeisen.html" TargetMode="External"/><Relationship Id="rId157" Type="http://schemas.openxmlformats.org/officeDocument/2006/relationships/hyperlink" Target="https://procreditbank-kos.com/eng/business-clients/services/cards/" TargetMode="External"/><Relationship Id="rId178" Type="http://schemas.openxmlformats.org/officeDocument/2006/relationships/hyperlink" Target="https://cof.org/country-notes/nonprofit-law-kosovo" TargetMode="External"/><Relationship Id="rId61" Type="http://schemas.openxmlformats.org/officeDocument/2006/relationships/hyperlink" Target="https://www.experian.com/blogs/ask-experian/how-does-default-impact-credit/" TargetMode="External"/><Relationship Id="rId82" Type="http://schemas.openxmlformats.org/officeDocument/2006/relationships/hyperlink" Target="https://bqk-kos.org/news/the-regulation-on-the-inclusion-of-all-citizens-in-the-financial-market-comes-into-force/?lang=en" TargetMode="External"/><Relationship Id="rId199" Type="http://schemas.openxmlformats.org/officeDocument/2006/relationships/hyperlink" Target="https://telegrafi.com/en/the-governor-of-BKK-Se-Hashim-Rexhepi-is-arrested/" TargetMode="External"/><Relationship Id="rId203" Type="http://schemas.openxmlformats.org/officeDocument/2006/relationships/hyperlink" Target="https://www.eulex-kosovo.eu/?page=2,10,1926" TargetMode="External"/><Relationship Id="rId19" Type="http://schemas.openxmlformats.org/officeDocument/2006/relationships/hyperlink" Target="https://www.institutigap.org/documents/45703_Consumer%20protection%20in%20the%20banking%20secto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810EC-264A-4F7B-8208-C73B99986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2512</TotalTime>
  <Pages>67</Pages>
  <Words>20747</Words>
  <Characters>118258</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Premtim Morina</dc:creator>
  <cp:keywords/>
  <dc:description/>
  <cp:lastModifiedBy>Premtim Morina</cp:lastModifiedBy>
  <cp:revision>16</cp:revision>
  <dcterms:created xsi:type="dcterms:W3CDTF">2025-05-09T08:04:00Z</dcterms:created>
  <dcterms:modified xsi:type="dcterms:W3CDTF">2025-05-19T11:58:00Z</dcterms:modified>
</cp:coreProperties>
</file>