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D3952" w14:textId="30B5CC8C" w:rsidR="00DF2166" w:rsidRDefault="0017453C" w:rsidP="00DF2166">
      <w:pPr>
        <w:jc w:val="center"/>
        <w:rPr>
          <w:b/>
          <w:sz w:val="36"/>
          <w:szCs w:val="36"/>
        </w:rPr>
      </w:pPr>
      <w:r>
        <w:rPr>
          <w:b/>
          <w:sz w:val="36"/>
          <w:szCs w:val="36"/>
        </w:rPr>
        <w:t>Governance</w:t>
      </w:r>
      <w:r w:rsidR="006431E7">
        <w:rPr>
          <w:b/>
          <w:sz w:val="36"/>
          <w:szCs w:val="36"/>
        </w:rPr>
        <w:t xml:space="preserve"> and Economic Development</w:t>
      </w:r>
      <w:r>
        <w:rPr>
          <w:b/>
          <w:sz w:val="36"/>
          <w:szCs w:val="36"/>
        </w:rPr>
        <w:t>:                                                                                       Problem-Solving at Global, National, and Sub-National Levels</w:t>
      </w:r>
    </w:p>
    <w:p w14:paraId="010CA409" w14:textId="77777777" w:rsidR="005A0E8A" w:rsidRPr="00DB2848" w:rsidRDefault="005A0E8A" w:rsidP="005A0E8A">
      <w:pPr>
        <w:rPr>
          <w:b/>
          <w:color w:val="595959"/>
          <w:lang w:val="en"/>
        </w:rPr>
      </w:pPr>
      <w:r w:rsidRPr="00DF2166">
        <w:rPr>
          <w:b/>
          <w:color w:val="595959"/>
          <w:highlight w:val="yellow"/>
          <w:lang w:val="en"/>
        </w:rPr>
        <w:t>Course Description</w:t>
      </w:r>
    </w:p>
    <w:p w14:paraId="5CFD9072" w14:textId="77777777" w:rsidR="005A0E8A" w:rsidRPr="005A0E8A" w:rsidRDefault="005A0E8A" w:rsidP="005A0E8A">
      <w:pPr>
        <w:rPr>
          <w:b/>
          <w:sz w:val="36"/>
          <w:szCs w:val="36"/>
        </w:rPr>
      </w:pPr>
      <w:r w:rsidRPr="005A0E8A">
        <w:t xml:space="preserve">The complete scope of governance, as defined by the 1995 </w:t>
      </w:r>
      <w:r w:rsidRPr="005A0E8A">
        <w:rPr>
          <w:i/>
        </w:rPr>
        <w:t>Commission on Global Governance</w:t>
      </w:r>
      <w:r w:rsidRPr="005A0E8A">
        <w:t>, includes informal or consensual arrangements for managing aspects of human relationships (from local, customary justice to the Montreal Convention on global atmospheric ozone).</w:t>
      </w:r>
      <w:r w:rsidRPr="005A0E8A">
        <w:rPr>
          <w:rStyle w:val="EndnoteReference"/>
        </w:rPr>
        <w:endnoteReference w:id="1"/>
      </w:r>
      <w:r>
        <w:t xml:space="preserve"> For this course</w:t>
      </w:r>
      <w:r w:rsidRPr="005A0E8A">
        <w:t>, governance emphasizes the objectives of global public policy, including “milieu goals,” which are objectives for shaping an entity’s external environment.</w:t>
      </w:r>
      <w:r w:rsidRPr="005A0E8A">
        <w:rPr>
          <w:rStyle w:val="EndnoteReference"/>
        </w:rPr>
        <w:endnoteReference w:id="2"/>
      </w:r>
      <w:r w:rsidRPr="005A0E8A">
        <w:t xml:space="preserve"> Global governance has milieu goals of worldwide scope, as expressed in the UN Charter as well as other key documents for global governance, such as the Universal Declaration of Human Rights. The institutions of global</w:t>
      </w:r>
      <w:r>
        <w:t xml:space="preserve">, national, and sub-national </w:t>
      </w:r>
      <w:r w:rsidRPr="005A0E8A">
        <w:t xml:space="preserve">governance are the “mechanisms for steering” states and societies </w:t>
      </w:r>
      <w:r w:rsidRPr="005A0E8A">
        <w:rPr>
          <w:iCs/>
        </w:rPr>
        <w:t>toward such goals.</w:t>
      </w:r>
      <w:r w:rsidRPr="005A0E8A">
        <w:rPr>
          <w:rStyle w:val="EndnoteReference"/>
        </w:rPr>
        <w:endnoteReference w:id="3"/>
      </w:r>
      <w:r w:rsidRPr="005A0E8A">
        <w:t xml:space="preserve"> </w:t>
      </w:r>
    </w:p>
    <w:p w14:paraId="069B5D31" w14:textId="77777777" w:rsidR="005A0E8A" w:rsidRPr="005A0E8A" w:rsidRDefault="00EC7C59" w:rsidP="005A0E8A">
      <w:pPr>
        <w:pStyle w:val="gloconormal"/>
        <w:rPr>
          <w:rFonts w:asciiTheme="minorHAnsi" w:hAnsiTheme="minorHAnsi"/>
          <w:sz w:val="22"/>
          <w:szCs w:val="22"/>
        </w:rPr>
      </w:pPr>
      <w:r>
        <w:rPr>
          <w:rFonts w:asciiTheme="minorHAnsi" w:hAnsiTheme="minorHAnsi"/>
          <w:sz w:val="22"/>
          <w:szCs w:val="22"/>
        </w:rPr>
        <w:t>The course will</w:t>
      </w:r>
      <w:r w:rsidR="005A0E8A" w:rsidRPr="005A0E8A">
        <w:rPr>
          <w:rFonts w:asciiTheme="minorHAnsi" w:hAnsiTheme="minorHAnsi"/>
          <w:sz w:val="22"/>
          <w:szCs w:val="22"/>
        </w:rPr>
        <w:t xml:space="preserve"> focus on institutions and relations that involve some degree of legitimate authority, that is, authority accepted by participants as a right to rule, use power, and leverage compliance.</w:t>
      </w:r>
      <w:r w:rsidR="005A0E8A" w:rsidRPr="005A0E8A">
        <w:rPr>
          <w:rStyle w:val="EndnoteReference"/>
          <w:rFonts w:asciiTheme="minorHAnsi" w:hAnsiTheme="minorHAnsi"/>
          <w:sz w:val="22"/>
          <w:szCs w:val="22"/>
        </w:rPr>
        <w:endnoteReference w:id="4"/>
      </w:r>
      <w:r w:rsidR="005A0E8A" w:rsidRPr="005A0E8A">
        <w:rPr>
          <w:rFonts w:asciiTheme="minorHAnsi" w:hAnsiTheme="minorHAnsi"/>
          <w:sz w:val="22"/>
          <w:szCs w:val="22"/>
        </w:rPr>
        <w:t xml:space="preserve"> Such authority can be exercised not only by governments, but also various other actors over their respective membership communities, which may be linked by kinship, religion, profession, or business. They participate in global governance provided they “exert authority over communities located in two or more states….”</w:t>
      </w:r>
      <w:r w:rsidR="005A0E8A" w:rsidRPr="005A0E8A">
        <w:rPr>
          <w:rStyle w:val="EndnoteReference"/>
          <w:rFonts w:asciiTheme="minorHAnsi" w:hAnsiTheme="minorHAnsi"/>
          <w:sz w:val="22"/>
          <w:szCs w:val="22"/>
        </w:rPr>
        <w:endnoteReference w:id="5"/>
      </w:r>
    </w:p>
    <w:p w14:paraId="1152DA20" w14:textId="77777777" w:rsidR="005A0E8A" w:rsidRPr="005A0E8A" w:rsidRDefault="005A0E8A" w:rsidP="005A0E8A">
      <w:pPr>
        <w:pStyle w:val="gloconormal"/>
        <w:rPr>
          <w:rFonts w:asciiTheme="minorHAnsi" w:hAnsiTheme="minorHAnsi"/>
          <w:sz w:val="22"/>
          <w:szCs w:val="22"/>
        </w:rPr>
      </w:pPr>
    </w:p>
    <w:p w14:paraId="3286AF61" w14:textId="77777777" w:rsidR="005A0E8A" w:rsidRPr="005A0E8A" w:rsidRDefault="005A0E8A" w:rsidP="005A0E8A">
      <w:pPr>
        <w:pStyle w:val="gloconormal"/>
        <w:rPr>
          <w:rFonts w:asciiTheme="minorHAnsi" w:hAnsiTheme="minorHAnsi"/>
          <w:sz w:val="22"/>
          <w:szCs w:val="22"/>
        </w:rPr>
      </w:pPr>
      <w:r w:rsidRPr="005A0E8A">
        <w:rPr>
          <w:rFonts w:asciiTheme="minorHAnsi" w:hAnsiTheme="minorHAnsi"/>
          <w:sz w:val="22"/>
          <w:szCs w:val="22"/>
        </w:rPr>
        <w:t>Global governance is also understood to encompass relations of international actors with national, subnational, and local actors. Thus, for example, UN peacekeeping operations may have a duty and authority from the UN Security Council (global) both to help rebuild the capacity of a post-conflict government (national-level action) and to protect civilians from physical violence (local-level action).</w:t>
      </w:r>
    </w:p>
    <w:p w14:paraId="7402E717" w14:textId="77777777" w:rsidR="005A0E8A" w:rsidRPr="005A0E8A" w:rsidRDefault="005A0E8A" w:rsidP="005A0E8A">
      <w:pPr>
        <w:pStyle w:val="gloconormal"/>
        <w:rPr>
          <w:rFonts w:asciiTheme="minorHAnsi" w:hAnsiTheme="minorHAnsi"/>
          <w:sz w:val="22"/>
          <w:szCs w:val="22"/>
        </w:rPr>
      </w:pPr>
    </w:p>
    <w:p w14:paraId="2E6848CE" w14:textId="77777777" w:rsidR="005A0E8A" w:rsidRPr="005A0E8A" w:rsidRDefault="005A0E8A" w:rsidP="005A0E8A">
      <w:pPr>
        <w:pStyle w:val="glocoheading3"/>
        <w:rPr>
          <w:rFonts w:asciiTheme="minorHAnsi" w:hAnsiTheme="minorHAnsi"/>
          <w:sz w:val="22"/>
          <w:szCs w:val="22"/>
        </w:rPr>
      </w:pPr>
      <w:bookmarkStart w:id="1" w:name="_Toc418255513"/>
      <w:bookmarkStart w:id="2" w:name="_Toc418256642"/>
      <w:r w:rsidRPr="005A0E8A">
        <w:rPr>
          <w:rFonts w:asciiTheme="minorHAnsi" w:hAnsiTheme="minorHAnsi"/>
          <w:sz w:val="22"/>
          <w:szCs w:val="22"/>
        </w:rPr>
        <w:t>Global public goods: What they are and why they are needed</w:t>
      </w:r>
      <w:bookmarkEnd w:id="1"/>
      <w:bookmarkEnd w:id="2"/>
    </w:p>
    <w:p w14:paraId="71BDCC97" w14:textId="77777777" w:rsidR="005A0E8A" w:rsidRPr="005A0E8A" w:rsidRDefault="005A0E8A" w:rsidP="005A0E8A">
      <w:pPr>
        <w:pStyle w:val="gloconormalindented"/>
        <w:rPr>
          <w:rFonts w:asciiTheme="minorHAnsi" w:hAnsiTheme="minorHAnsi"/>
          <w:sz w:val="22"/>
          <w:szCs w:val="22"/>
        </w:rPr>
      </w:pPr>
    </w:p>
    <w:p w14:paraId="195EC12E" w14:textId="77777777" w:rsidR="005A0E8A" w:rsidRPr="005A0E8A" w:rsidRDefault="005A0E8A" w:rsidP="00EC7C59">
      <w:pPr>
        <w:pStyle w:val="gloconormalindented"/>
        <w:ind w:left="0"/>
        <w:rPr>
          <w:rFonts w:asciiTheme="minorHAnsi" w:hAnsiTheme="minorHAnsi"/>
          <w:sz w:val="22"/>
          <w:szCs w:val="22"/>
        </w:rPr>
      </w:pPr>
      <w:r w:rsidRPr="005A0E8A">
        <w:rPr>
          <w:rFonts w:asciiTheme="minorHAnsi" w:hAnsiTheme="minorHAnsi"/>
          <w:sz w:val="22"/>
          <w:szCs w:val="22"/>
        </w:rPr>
        <w:t>Governments and global governance arrangements alike exist to provide public goods, which one person can use it without diminishing its availability to others and which people cannot practically be excluded from using.</w:t>
      </w:r>
      <w:r w:rsidRPr="005A0E8A">
        <w:rPr>
          <w:rStyle w:val="glocofootnotereferenceChar"/>
          <w:rFonts w:asciiTheme="minorHAnsi" w:hAnsiTheme="minorHAnsi"/>
          <w:sz w:val="22"/>
          <w:szCs w:val="22"/>
        </w:rPr>
        <w:endnoteReference w:id="6"/>
      </w:r>
      <w:r w:rsidRPr="005A0E8A">
        <w:rPr>
          <w:rFonts w:asciiTheme="minorHAnsi" w:hAnsiTheme="minorHAnsi"/>
          <w:sz w:val="22"/>
          <w:szCs w:val="22"/>
        </w:rPr>
        <w:t xml:space="preserve"> For these reasons, markets have limited incentives to provide them, and governments underprovide global public goods for similar reasons: states that have not contributed to providing such goods cannot be practically excluded from enjoying them.</w:t>
      </w:r>
    </w:p>
    <w:p w14:paraId="6325D328" w14:textId="77777777" w:rsidR="005A0E8A" w:rsidRPr="005A0E8A" w:rsidRDefault="005A0E8A" w:rsidP="005A0E8A">
      <w:pPr>
        <w:pStyle w:val="gloconormalindented"/>
        <w:rPr>
          <w:rFonts w:asciiTheme="minorHAnsi" w:hAnsiTheme="minorHAnsi"/>
          <w:sz w:val="22"/>
          <w:szCs w:val="22"/>
        </w:rPr>
      </w:pPr>
    </w:p>
    <w:p w14:paraId="3D229061" w14:textId="77777777" w:rsidR="005A0E8A" w:rsidRPr="005A0E8A" w:rsidRDefault="005A0E8A" w:rsidP="00EC7C59">
      <w:pPr>
        <w:pStyle w:val="gloconormalindented"/>
        <w:ind w:left="0"/>
        <w:rPr>
          <w:rFonts w:asciiTheme="minorHAnsi" w:hAnsiTheme="minorHAnsi"/>
          <w:sz w:val="22"/>
          <w:szCs w:val="22"/>
        </w:rPr>
      </w:pPr>
      <w:r w:rsidRPr="005A0E8A">
        <w:rPr>
          <w:rFonts w:asciiTheme="minorHAnsi" w:hAnsiTheme="minorHAnsi"/>
          <w:sz w:val="22"/>
          <w:szCs w:val="22"/>
        </w:rPr>
        <w:t xml:space="preserve">Different global problems involve different kinds of public goods with different sorts of participation incentives that problem-solving strategies need to recognize. For example, “single best effort” goods are those that can be supplied effectively by one or a few parties, although wider participation may be sought to share costs or to </w:t>
      </w:r>
      <w:r w:rsidRPr="005A0E8A">
        <w:rPr>
          <w:rFonts w:asciiTheme="minorHAnsi" w:hAnsiTheme="minorHAnsi"/>
          <w:i/>
          <w:sz w:val="22"/>
          <w:szCs w:val="22"/>
        </w:rPr>
        <w:t>limit</w:t>
      </w:r>
      <w:r w:rsidRPr="005A0E8A">
        <w:rPr>
          <w:rFonts w:asciiTheme="minorHAnsi" w:hAnsiTheme="minorHAnsi"/>
          <w:sz w:val="22"/>
          <w:szCs w:val="22"/>
        </w:rPr>
        <w:t xml:space="preserve"> action; “weakest link public goods” fail if states that contribute the least fail to contribute that share, as with vaccination campaigns against infectious disease; finally, “aggregate public goods” are those whose effectiveness varies depending on who participates in providing them. A successful aggregate public good would be the restoration of stratospheric ozone under the Montréal Protocol.</w:t>
      </w:r>
      <w:r w:rsidRPr="005A0E8A">
        <w:rPr>
          <w:rStyle w:val="EndnoteReference"/>
          <w:rFonts w:asciiTheme="minorHAnsi" w:hAnsiTheme="minorHAnsi"/>
          <w:sz w:val="22"/>
          <w:szCs w:val="22"/>
        </w:rPr>
        <w:t xml:space="preserve"> </w:t>
      </w:r>
      <w:r w:rsidRPr="005A0E8A">
        <w:rPr>
          <w:rStyle w:val="EndnoteReference"/>
          <w:rFonts w:asciiTheme="minorHAnsi" w:hAnsiTheme="minorHAnsi"/>
          <w:sz w:val="22"/>
          <w:szCs w:val="22"/>
        </w:rPr>
        <w:endnoteReference w:id="7"/>
      </w:r>
    </w:p>
    <w:p w14:paraId="7209B3D3" w14:textId="77777777" w:rsidR="005A0E8A" w:rsidRPr="005A0E8A" w:rsidRDefault="005A0E8A" w:rsidP="005A0E8A">
      <w:pPr>
        <w:pStyle w:val="gloconormalindented"/>
        <w:rPr>
          <w:rFonts w:asciiTheme="minorHAnsi" w:hAnsiTheme="minorHAnsi"/>
          <w:sz w:val="22"/>
          <w:szCs w:val="22"/>
        </w:rPr>
      </w:pPr>
    </w:p>
    <w:p w14:paraId="794496A4" w14:textId="77777777" w:rsidR="005A0E8A" w:rsidRPr="005A0E8A" w:rsidRDefault="005A0E8A" w:rsidP="00EC7C59">
      <w:pPr>
        <w:pStyle w:val="gloconormalindented"/>
        <w:ind w:left="0"/>
        <w:rPr>
          <w:rFonts w:asciiTheme="minorHAnsi" w:hAnsiTheme="minorHAnsi"/>
          <w:sz w:val="22"/>
          <w:szCs w:val="22"/>
        </w:rPr>
      </w:pPr>
      <w:r w:rsidRPr="005A0E8A">
        <w:rPr>
          <w:rFonts w:asciiTheme="minorHAnsi" w:hAnsiTheme="minorHAnsi"/>
          <w:sz w:val="22"/>
          <w:szCs w:val="22"/>
        </w:rPr>
        <w:t xml:space="preserve">Global justice and security are “aggregate public goods” that no single state or group of states can provide throughout the world. While some provide more than others, the more states that participate in providing these goods, the stronger both become. At a sub-regional level, however, certain states may </w:t>
      </w:r>
      <w:r w:rsidRPr="005A0E8A">
        <w:rPr>
          <w:rFonts w:asciiTheme="minorHAnsi" w:hAnsiTheme="minorHAnsi"/>
          <w:sz w:val="22"/>
          <w:szCs w:val="22"/>
        </w:rPr>
        <w:lastRenderedPageBreak/>
        <w:t xml:space="preserve">be weak links whose low levels of governance threaten not only their own people’s enjoyment of security and justice but security and justice in neighboring states as well. </w:t>
      </w:r>
    </w:p>
    <w:p w14:paraId="57540E7C" w14:textId="77777777" w:rsidR="005A0E8A" w:rsidRPr="005A0E8A" w:rsidRDefault="005A0E8A" w:rsidP="005A0E8A">
      <w:pPr>
        <w:pStyle w:val="gloconormalindented"/>
        <w:rPr>
          <w:rFonts w:asciiTheme="minorHAnsi" w:hAnsiTheme="minorHAnsi"/>
          <w:sz w:val="22"/>
          <w:szCs w:val="22"/>
        </w:rPr>
      </w:pPr>
    </w:p>
    <w:p w14:paraId="4EBC7D18" w14:textId="77777777" w:rsidR="005A0E8A" w:rsidRPr="005A0E8A" w:rsidRDefault="005A0E8A" w:rsidP="005A0E8A">
      <w:pPr>
        <w:pStyle w:val="glocoheading3"/>
        <w:rPr>
          <w:rFonts w:asciiTheme="minorHAnsi" w:hAnsiTheme="minorHAnsi"/>
          <w:sz w:val="22"/>
          <w:szCs w:val="22"/>
        </w:rPr>
      </w:pPr>
      <w:bookmarkStart w:id="3" w:name="_Toc418255514"/>
      <w:bookmarkStart w:id="4" w:name="_Toc418256643"/>
      <w:r w:rsidRPr="005A0E8A">
        <w:rPr>
          <w:rFonts w:asciiTheme="minorHAnsi" w:hAnsiTheme="minorHAnsi"/>
          <w:sz w:val="22"/>
          <w:szCs w:val="22"/>
        </w:rPr>
        <w:t>Global governance as network governance</w:t>
      </w:r>
      <w:bookmarkEnd w:id="3"/>
      <w:bookmarkEnd w:id="4"/>
    </w:p>
    <w:p w14:paraId="3017D796" w14:textId="77777777" w:rsidR="005A0E8A" w:rsidRPr="005A0E8A" w:rsidRDefault="005A0E8A" w:rsidP="005A0E8A">
      <w:pPr>
        <w:pStyle w:val="gloconormalindented"/>
        <w:rPr>
          <w:rFonts w:asciiTheme="minorHAnsi" w:hAnsiTheme="minorHAnsi"/>
          <w:sz w:val="22"/>
          <w:szCs w:val="22"/>
        </w:rPr>
      </w:pPr>
    </w:p>
    <w:p w14:paraId="1DB6757A" w14:textId="77777777" w:rsidR="005A0E8A" w:rsidRPr="005A0E8A" w:rsidRDefault="005A0E8A" w:rsidP="00EC7C59">
      <w:pPr>
        <w:pStyle w:val="gloconormalindented"/>
        <w:ind w:left="0"/>
        <w:rPr>
          <w:rFonts w:asciiTheme="minorHAnsi" w:hAnsiTheme="minorHAnsi"/>
          <w:sz w:val="22"/>
          <w:szCs w:val="22"/>
        </w:rPr>
      </w:pPr>
      <w:r w:rsidRPr="005A0E8A">
        <w:rPr>
          <w:rFonts w:asciiTheme="minorHAnsi" w:hAnsiTheme="minorHAnsi"/>
          <w:sz w:val="22"/>
          <w:szCs w:val="22"/>
        </w:rPr>
        <w:t xml:space="preserve">Global governance is a mix of bilateral, informal multilateral, and treaty-based relations among states that is increasingly influenced by non-state actors’ interests and activities. The largest segment of it, the UN system, is a loose network of organizations that answer to no single administrator (the UN Secretary-General administers the UN Secretariat but coordinates with other parts of the system). </w:t>
      </w:r>
      <w:r w:rsidR="00EC7C59">
        <w:rPr>
          <w:rFonts w:asciiTheme="minorHAnsi" w:hAnsiTheme="minorHAnsi"/>
          <w:sz w:val="22"/>
          <w:szCs w:val="22"/>
        </w:rPr>
        <w:t xml:space="preserve">The relationships of </w:t>
      </w:r>
      <w:r w:rsidRPr="005A0E8A">
        <w:rPr>
          <w:rFonts w:asciiTheme="minorHAnsi" w:hAnsiTheme="minorHAnsi"/>
          <w:sz w:val="22"/>
          <w:szCs w:val="22"/>
        </w:rPr>
        <w:t xml:space="preserve">UN Member States are similarly networked in flat organizations like the General Assembly. Even the Security Council is a two-tiered network of permanent and non-permanent members—the five permanent members (P5) caucus together and influence the Council’s proceedings but cannot </w:t>
      </w:r>
      <w:r w:rsidRPr="005A0E8A">
        <w:rPr>
          <w:rFonts w:asciiTheme="minorHAnsi" w:hAnsiTheme="minorHAnsi"/>
          <w:i/>
          <w:sz w:val="22"/>
          <w:szCs w:val="22"/>
        </w:rPr>
        <w:t>require</w:t>
      </w:r>
      <w:r w:rsidRPr="005A0E8A">
        <w:rPr>
          <w:rFonts w:asciiTheme="minorHAnsi" w:hAnsiTheme="minorHAnsi"/>
          <w:sz w:val="22"/>
          <w:szCs w:val="22"/>
        </w:rPr>
        <w:t xml:space="preserve"> that other Council members vote with them. </w:t>
      </w:r>
    </w:p>
    <w:p w14:paraId="7BC596F1" w14:textId="77777777" w:rsidR="005A0E8A" w:rsidRPr="005A0E8A" w:rsidRDefault="005A0E8A" w:rsidP="005A0E8A">
      <w:pPr>
        <w:pStyle w:val="gloconormalindented"/>
        <w:rPr>
          <w:rFonts w:asciiTheme="minorHAnsi" w:hAnsiTheme="minorHAnsi"/>
          <w:sz w:val="22"/>
          <w:szCs w:val="22"/>
        </w:rPr>
      </w:pPr>
    </w:p>
    <w:p w14:paraId="663CA2A5" w14:textId="77777777" w:rsidR="005A0E8A" w:rsidRPr="005A0E8A" w:rsidRDefault="005A0E8A" w:rsidP="00EC7C59">
      <w:pPr>
        <w:pStyle w:val="gloconormalindented"/>
        <w:ind w:left="0"/>
        <w:rPr>
          <w:rFonts w:asciiTheme="minorHAnsi" w:hAnsiTheme="minorHAnsi"/>
          <w:sz w:val="22"/>
          <w:szCs w:val="22"/>
        </w:rPr>
      </w:pPr>
      <w:r w:rsidRPr="005A0E8A">
        <w:rPr>
          <w:rFonts w:asciiTheme="minorHAnsi" w:hAnsiTheme="minorHAnsi"/>
          <w:sz w:val="22"/>
          <w:szCs w:val="22"/>
        </w:rPr>
        <w:t>Three basic forms of network governance</w:t>
      </w:r>
      <w:r>
        <w:rPr>
          <w:rFonts w:asciiTheme="minorHAnsi" w:hAnsiTheme="minorHAnsi"/>
          <w:sz w:val="22"/>
          <w:szCs w:val="22"/>
        </w:rPr>
        <w:t xml:space="preserve"> are summarized in Table </w:t>
      </w:r>
      <w:r w:rsidRPr="005A0E8A">
        <w:rPr>
          <w:rFonts w:asciiTheme="minorHAnsi" w:hAnsiTheme="minorHAnsi"/>
          <w:sz w:val="22"/>
          <w:szCs w:val="22"/>
        </w:rPr>
        <w:t xml:space="preserve">1. The first form is “participant-governed,” with no central core of management and no lead entity, just a group of organizations collaborating toward more or less common goals. This model corresponds more or less to informal groupings of states, such as the G20, as well as the top level of the UN system. For example, the Secretary-General convenes Chief Executives Board for Coordination with agencies over which he does not have direct administrative control. </w:t>
      </w:r>
    </w:p>
    <w:p w14:paraId="3F3880F6" w14:textId="77777777" w:rsidR="005A0E8A" w:rsidRPr="005A0E8A" w:rsidRDefault="005A0E8A" w:rsidP="005A0E8A">
      <w:pPr>
        <w:pStyle w:val="gloconormalindented"/>
        <w:rPr>
          <w:rFonts w:asciiTheme="minorHAnsi" w:hAnsiTheme="minorHAnsi"/>
          <w:sz w:val="22"/>
          <w:szCs w:val="22"/>
        </w:rPr>
      </w:pPr>
    </w:p>
    <w:p w14:paraId="75B84238" w14:textId="77777777" w:rsidR="005A0E8A" w:rsidRPr="005A0E8A" w:rsidRDefault="005A0E8A" w:rsidP="00EC7C59">
      <w:pPr>
        <w:pStyle w:val="gloconormalindented"/>
        <w:ind w:left="0"/>
        <w:rPr>
          <w:rFonts w:asciiTheme="minorHAnsi" w:hAnsiTheme="minorHAnsi"/>
          <w:sz w:val="22"/>
          <w:szCs w:val="22"/>
        </w:rPr>
      </w:pPr>
      <w:r w:rsidRPr="005A0E8A">
        <w:rPr>
          <w:rFonts w:asciiTheme="minorHAnsi" w:hAnsiTheme="minorHAnsi"/>
          <w:sz w:val="22"/>
          <w:szCs w:val="22"/>
        </w:rPr>
        <w:t xml:space="preserve">The second network model has one member that leads the others “because of its central position in the flow of clients and key resources.” Such a role is mandated to a UN peace operation and its Head of Mission (HoM) when it deploys into a country where other UN entities already operate. </w:t>
      </w:r>
    </w:p>
    <w:p w14:paraId="38D14AEA" w14:textId="77777777" w:rsidR="005A0E8A" w:rsidRPr="005A0E8A" w:rsidRDefault="005A0E8A" w:rsidP="005A0E8A">
      <w:pPr>
        <w:pStyle w:val="gloconormalindented"/>
        <w:rPr>
          <w:rFonts w:asciiTheme="minorHAnsi" w:hAnsiTheme="minorHAnsi"/>
          <w:sz w:val="22"/>
          <w:szCs w:val="22"/>
        </w:rPr>
      </w:pPr>
    </w:p>
    <w:p w14:paraId="5033D47D" w14:textId="77777777" w:rsidR="005A0E8A" w:rsidRPr="005A0E8A" w:rsidRDefault="005A0E8A" w:rsidP="00EC7C59">
      <w:pPr>
        <w:pStyle w:val="gloconormalindented"/>
        <w:ind w:left="0"/>
        <w:rPr>
          <w:rFonts w:asciiTheme="minorHAnsi" w:hAnsiTheme="minorHAnsi"/>
          <w:sz w:val="22"/>
          <w:szCs w:val="22"/>
        </w:rPr>
      </w:pPr>
      <w:r w:rsidRPr="005A0E8A">
        <w:rPr>
          <w:rFonts w:asciiTheme="minorHAnsi" w:hAnsiTheme="minorHAnsi"/>
          <w:sz w:val="22"/>
          <w:szCs w:val="22"/>
        </w:rPr>
        <w:t xml:space="preserve">The third model uses a “network administrative organization” to manage the network’s interests and operations on behalf of its members. One example is the UN is the Development Operations Coordination Office. Its 34-person staff supports the UN Development Group, a network of 32 UN agencies, funds, and programs.  </w:t>
      </w:r>
    </w:p>
    <w:p w14:paraId="6F6BA54F" w14:textId="77777777" w:rsidR="005A0E8A" w:rsidRPr="005A0E8A" w:rsidRDefault="005A0E8A" w:rsidP="005A0E8A">
      <w:pPr>
        <w:pStyle w:val="gloconormalindented"/>
        <w:rPr>
          <w:rFonts w:asciiTheme="minorHAnsi" w:hAnsiTheme="minorHAnsi"/>
          <w:sz w:val="22"/>
          <w:szCs w:val="22"/>
        </w:rPr>
      </w:pPr>
    </w:p>
    <w:p w14:paraId="0FB1C91B" w14:textId="77777777" w:rsidR="005A0E8A" w:rsidRPr="005A0E8A" w:rsidRDefault="005A0E8A" w:rsidP="005A0E8A">
      <w:pPr>
        <w:pStyle w:val="NoSpacing"/>
        <w:jc w:val="center"/>
        <w:rPr>
          <w:rFonts w:asciiTheme="minorHAnsi" w:hAnsiTheme="minorHAnsi" w:cs="Times New Roman"/>
        </w:rPr>
      </w:pPr>
      <w:r>
        <w:rPr>
          <w:rFonts w:asciiTheme="minorHAnsi" w:hAnsiTheme="minorHAnsi" w:cs="Times New Roman"/>
          <w:b/>
        </w:rPr>
        <w:t xml:space="preserve">Table </w:t>
      </w:r>
      <w:r w:rsidRPr="005A0E8A">
        <w:rPr>
          <w:rFonts w:asciiTheme="minorHAnsi" w:hAnsiTheme="minorHAnsi" w:cs="Times New Roman"/>
          <w:b/>
        </w:rPr>
        <w:t>1: Key Forms of Network Governance</w:t>
      </w:r>
    </w:p>
    <w:p w14:paraId="327CB899" w14:textId="77777777" w:rsidR="005A0E8A" w:rsidRPr="005A0E8A" w:rsidRDefault="005A0E8A" w:rsidP="005A0E8A">
      <w:pPr>
        <w:pStyle w:val="NoSpacing"/>
        <w:rPr>
          <w:rFonts w:asciiTheme="minorHAnsi" w:hAnsiTheme="minorHAnsi" w:cs="Times New Roman"/>
        </w:rPr>
      </w:pPr>
    </w:p>
    <w:tbl>
      <w:tblPr>
        <w:tblStyle w:val="TableGrid"/>
        <w:tblW w:w="8208" w:type="dxa"/>
        <w:jc w:val="center"/>
        <w:tblLook w:val="04A0" w:firstRow="1" w:lastRow="0" w:firstColumn="1" w:lastColumn="0" w:noHBand="0" w:noVBand="1"/>
      </w:tblPr>
      <w:tblGrid>
        <w:gridCol w:w="1998"/>
        <w:gridCol w:w="1681"/>
        <w:gridCol w:w="1559"/>
        <w:gridCol w:w="1318"/>
        <w:gridCol w:w="1652"/>
      </w:tblGrid>
      <w:tr w:rsidR="005A0E8A" w:rsidRPr="005A0E8A" w14:paraId="4343083F" w14:textId="77777777" w:rsidTr="005A0E8A">
        <w:trPr>
          <w:trHeight w:val="368"/>
          <w:jc w:val="center"/>
        </w:trPr>
        <w:tc>
          <w:tcPr>
            <w:tcW w:w="8208" w:type="dxa"/>
            <w:gridSpan w:val="5"/>
            <w:shd w:val="clear" w:color="auto" w:fill="D9D9D9" w:themeFill="background1" w:themeFillShade="D9"/>
          </w:tcPr>
          <w:p w14:paraId="75C28A5D" w14:textId="77777777" w:rsidR="005A0E8A" w:rsidRPr="005A0E8A" w:rsidRDefault="005A0E8A" w:rsidP="005A0E8A">
            <w:pPr>
              <w:pStyle w:val="NoSpacing"/>
              <w:jc w:val="center"/>
              <w:rPr>
                <w:rFonts w:asciiTheme="minorHAnsi" w:hAnsiTheme="minorHAnsi" w:cs="Times New Roman"/>
                <w:b/>
                <w:lang w:val="en-US"/>
              </w:rPr>
            </w:pPr>
          </w:p>
        </w:tc>
      </w:tr>
      <w:tr w:rsidR="005A0E8A" w:rsidRPr="005A0E8A" w14:paraId="7850C885" w14:textId="77777777" w:rsidTr="005A0E8A">
        <w:trPr>
          <w:jc w:val="center"/>
        </w:trPr>
        <w:tc>
          <w:tcPr>
            <w:tcW w:w="1998" w:type="dxa"/>
          </w:tcPr>
          <w:p w14:paraId="7DA03977" w14:textId="77777777" w:rsidR="005A0E8A" w:rsidRPr="005A0E8A" w:rsidRDefault="005A0E8A" w:rsidP="005A0E8A">
            <w:pPr>
              <w:pStyle w:val="NoSpacing"/>
              <w:rPr>
                <w:rFonts w:asciiTheme="minorHAnsi" w:hAnsiTheme="minorHAnsi" w:cs="Times New Roman"/>
                <w:b/>
              </w:rPr>
            </w:pPr>
            <w:r w:rsidRPr="005A0E8A">
              <w:rPr>
                <w:rFonts w:asciiTheme="minorHAnsi" w:hAnsiTheme="minorHAnsi" w:cs="Times New Roman"/>
                <w:b/>
              </w:rPr>
              <w:t>Governance Form</w:t>
            </w:r>
          </w:p>
        </w:tc>
        <w:tc>
          <w:tcPr>
            <w:tcW w:w="1681" w:type="dxa"/>
          </w:tcPr>
          <w:p w14:paraId="06C98F9B" w14:textId="77777777" w:rsidR="005A0E8A" w:rsidRPr="005A0E8A" w:rsidRDefault="005A0E8A" w:rsidP="005A0E8A">
            <w:pPr>
              <w:pStyle w:val="NoSpacing"/>
              <w:rPr>
                <w:rFonts w:asciiTheme="minorHAnsi" w:hAnsiTheme="minorHAnsi" w:cs="Times New Roman"/>
                <w:b/>
              </w:rPr>
            </w:pPr>
            <w:r w:rsidRPr="005A0E8A">
              <w:rPr>
                <w:rFonts w:asciiTheme="minorHAnsi" w:hAnsiTheme="minorHAnsi" w:cs="Times New Roman"/>
                <w:b/>
              </w:rPr>
              <w:t>Trust</w:t>
            </w:r>
          </w:p>
        </w:tc>
        <w:tc>
          <w:tcPr>
            <w:tcW w:w="1559" w:type="dxa"/>
          </w:tcPr>
          <w:p w14:paraId="7D96ED12" w14:textId="77777777" w:rsidR="005A0E8A" w:rsidRPr="005A0E8A" w:rsidRDefault="005A0E8A" w:rsidP="005A0E8A">
            <w:pPr>
              <w:pStyle w:val="NoSpacing"/>
              <w:rPr>
                <w:rFonts w:asciiTheme="minorHAnsi" w:hAnsiTheme="minorHAnsi" w:cs="Times New Roman"/>
                <w:b/>
              </w:rPr>
            </w:pPr>
            <w:r w:rsidRPr="005A0E8A">
              <w:rPr>
                <w:rFonts w:asciiTheme="minorHAnsi" w:hAnsiTheme="minorHAnsi" w:cs="Times New Roman"/>
                <w:b/>
              </w:rPr>
              <w:t>No. of Participants</w:t>
            </w:r>
          </w:p>
        </w:tc>
        <w:tc>
          <w:tcPr>
            <w:tcW w:w="1318" w:type="dxa"/>
          </w:tcPr>
          <w:p w14:paraId="2211BB7C" w14:textId="77777777" w:rsidR="005A0E8A" w:rsidRPr="005A0E8A" w:rsidRDefault="005A0E8A" w:rsidP="005A0E8A">
            <w:pPr>
              <w:pStyle w:val="NoSpacing"/>
              <w:rPr>
                <w:rFonts w:asciiTheme="minorHAnsi" w:hAnsiTheme="minorHAnsi" w:cs="Times New Roman"/>
                <w:b/>
              </w:rPr>
            </w:pPr>
            <w:r w:rsidRPr="005A0E8A">
              <w:rPr>
                <w:rFonts w:asciiTheme="minorHAnsi" w:hAnsiTheme="minorHAnsi" w:cs="Times New Roman"/>
                <w:b/>
              </w:rPr>
              <w:t>Goal Consensus</w:t>
            </w:r>
          </w:p>
        </w:tc>
        <w:tc>
          <w:tcPr>
            <w:tcW w:w="1652" w:type="dxa"/>
          </w:tcPr>
          <w:p w14:paraId="1D5245E9" w14:textId="77777777" w:rsidR="005A0E8A" w:rsidRPr="005A0E8A" w:rsidRDefault="005A0E8A" w:rsidP="005A0E8A">
            <w:pPr>
              <w:pStyle w:val="NoSpacing"/>
              <w:rPr>
                <w:rFonts w:asciiTheme="minorHAnsi" w:hAnsiTheme="minorHAnsi" w:cs="Times New Roman"/>
                <w:b/>
                <w:lang w:val="en-US"/>
              </w:rPr>
            </w:pPr>
            <w:r w:rsidRPr="005A0E8A">
              <w:rPr>
                <w:rFonts w:asciiTheme="minorHAnsi" w:hAnsiTheme="minorHAnsi" w:cs="Times New Roman"/>
                <w:b/>
                <w:lang w:val="en-US"/>
              </w:rPr>
              <w:t>Need for Network Level Competencies</w:t>
            </w:r>
          </w:p>
        </w:tc>
      </w:tr>
      <w:tr w:rsidR="005A0E8A" w:rsidRPr="005A0E8A" w14:paraId="2C339E01" w14:textId="77777777" w:rsidTr="005A0E8A">
        <w:trPr>
          <w:trHeight w:val="323"/>
          <w:jc w:val="center"/>
        </w:trPr>
        <w:tc>
          <w:tcPr>
            <w:tcW w:w="1998" w:type="dxa"/>
          </w:tcPr>
          <w:p w14:paraId="4E297E17" w14:textId="77777777" w:rsidR="005A0E8A" w:rsidRPr="005A0E8A" w:rsidRDefault="005A0E8A" w:rsidP="005A0E8A">
            <w:pPr>
              <w:pStyle w:val="NoSpacing"/>
              <w:rPr>
                <w:rFonts w:asciiTheme="minorHAnsi" w:hAnsiTheme="minorHAnsi" w:cs="Times New Roman"/>
                <w:b/>
              </w:rPr>
            </w:pPr>
            <w:r w:rsidRPr="005A0E8A">
              <w:rPr>
                <w:rFonts w:asciiTheme="minorHAnsi" w:hAnsiTheme="minorHAnsi" w:cs="Times New Roman"/>
                <w:b/>
              </w:rPr>
              <w:t>Shared governance</w:t>
            </w:r>
          </w:p>
        </w:tc>
        <w:tc>
          <w:tcPr>
            <w:tcW w:w="1681" w:type="dxa"/>
          </w:tcPr>
          <w:p w14:paraId="28D7283A" w14:textId="77777777" w:rsidR="005A0E8A" w:rsidRPr="005A0E8A" w:rsidRDefault="005A0E8A" w:rsidP="005A0E8A">
            <w:pPr>
              <w:pStyle w:val="NoSpacing"/>
              <w:rPr>
                <w:rFonts w:asciiTheme="minorHAnsi" w:hAnsiTheme="minorHAnsi" w:cs="Times New Roman"/>
              </w:rPr>
            </w:pPr>
            <w:r w:rsidRPr="005A0E8A">
              <w:rPr>
                <w:rFonts w:asciiTheme="minorHAnsi" w:hAnsiTheme="minorHAnsi" w:cs="Times New Roman"/>
              </w:rPr>
              <w:t>High density</w:t>
            </w:r>
          </w:p>
        </w:tc>
        <w:tc>
          <w:tcPr>
            <w:tcW w:w="1559" w:type="dxa"/>
          </w:tcPr>
          <w:p w14:paraId="612EF3D0" w14:textId="77777777" w:rsidR="005A0E8A" w:rsidRPr="005A0E8A" w:rsidRDefault="005A0E8A" w:rsidP="005A0E8A">
            <w:pPr>
              <w:pStyle w:val="NoSpacing"/>
              <w:rPr>
                <w:rFonts w:asciiTheme="minorHAnsi" w:hAnsiTheme="minorHAnsi" w:cs="Times New Roman"/>
              </w:rPr>
            </w:pPr>
            <w:r w:rsidRPr="005A0E8A">
              <w:rPr>
                <w:rFonts w:asciiTheme="minorHAnsi" w:hAnsiTheme="minorHAnsi" w:cs="Times New Roman"/>
              </w:rPr>
              <w:t>Few</w:t>
            </w:r>
          </w:p>
        </w:tc>
        <w:tc>
          <w:tcPr>
            <w:tcW w:w="1318" w:type="dxa"/>
          </w:tcPr>
          <w:p w14:paraId="614C5BFC" w14:textId="77777777" w:rsidR="005A0E8A" w:rsidRPr="005A0E8A" w:rsidRDefault="005A0E8A" w:rsidP="005A0E8A">
            <w:pPr>
              <w:pStyle w:val="NoSpacing"/>
              <w:rPr>
                <w:rFonts w:asciiTheme="minorHAnsi" w:hAnsiTheme="minorHAnsi" w:cs="Times New Roman"/>
              </w:rPr>
            </w:pPr>
            <w:r w:rsidRPr="005A0E8A">
              <w:rPr>
                <w:rFonts w:asciiTheme="minorHAnsi" w:hAnsiTheme="minorHAnsi" w:cs="Times New Roman"/>
              </w:rPr>
              <w:t>High</w:t>
            </w:r>
          </w:p>
        </w:tc>
        <w:tc>
          <w:tcPr>
            <w:tcW w:w="1652" w:type="dxa"/>
          </w:tcPr>
          <w:p w14:paraId="4971C231" w14:textId="77777777" w:rsidR="005A0E8A" w:rsidRPr="005A0E8A" w:rsidRDefault="005A0E8A" w:rsidP="005A0E8A">
            <w:pPr>
              <w:pStyle w:val="NoSpacing"/>
              <w:rPr>
                <w:rFonts w:asciiTheme="minorHAnsi" w:hAnsiTheme="minorHAnsi" w:cs="Times New Roman"/>
              </w:rPr>
            </w:pPr>
            <w:r w:rsidRPr="005A0E8A">
              <w:rPr>
                <w:rFonts w:asciiTheme="minorHAnsi" w:hAnsiTheme="minorHAnsi" w:cs="Times New Roman"/>
              </w:rPr>
              <w:t>Low</w:t>
            </w:r>
          </w:p>
        </w:tc>
      </w:tr>
      <w:tr w:rsidR="005A0E8A" w:rsidRPr="005A0E8A" w14:paraId="53C76F26" w14:textId="77777777" w:rsidTr="005A0E8A">
        <w:trPr>
          <w:trHeight w:val="341"/>
          <w:jc w:val="center"/>
        </w:trPr>
        <w:tc>
          <w:tcPr>
            <w:tcW w:w="1998" w:type="dxa"/>
          </w:tcPr>
          <w:p w14:paraId="53415BC9" w14:textId="77777777" w:rsidR="005A0E8A" w:rsidRPr="005A0E8A" w:rsidRDefault="005A0E8A" w:rsidP="005A0E8A">
            <w:pPr>
              <w:pStyle w:val="NoSpacing"/>
              <w:rPr>
                <w:rFonts w:asciiTheme="minorHAnsi" w:hAnsiTheme="minorHAnsi" w:cs="Times New Roman"/>
                <w:b/>
              </w:rPr>
            </w:pPr>
            <w:r w:rsidRPr="005A0E8A">
              <w:rPr>
                <w:rFonts w:asciiTheme="minorHAnsi" w:hAnsiTheme="minorHAnsi" w:cs="Times New Roman"/>
                <w:b/>
              </w:rPr>
              <w:t>Lead organization</w:t>
            </w:r>
          </w:p>
        </w:tc>
        <w:tc>
          <w:tcPr>
            <w:tcW w:w="1681" w:type="dxa"/>
          </w:tcPr>
          <w:p w14:paraId="0D6B1C8B" w14:textId="77777777" w:rsidR="005A0E8A" w:rsidRPr="005A0E8A" w:rsidRDefault="005A0E8A" w:rsidP="005A0E8A">
            <w:pPr>
              <w:pStyle w:val="NoSpacing"/>
              <w:rPr>
                <w:rFonts w:asciiTheme="minorHAnsi" w:hAnsiTheme="minorHAnsi" w:cs="Times New Roman"/>
              </w:rPr>
            </w:pPr>
            <w:r w:rsidRPr="005A0E8A">
              <w:rPr>
                <w:rFonts w:asciiTheme="minorHAnsi" w:hAnsiTheme="minorHAnsi" w:cs="Times New Roman"/>
              </w:rPr>
              <w:t>Low density, highly centralized</w:t>
            </w:r>
          </w:p>
        </w:tc>
        <w:tc>
          <w:tcPr>
            <w:tcW w:w="1559" w:type="dxa"/>
          </w:tcPr>
          <w:p w14:paraId="6132B0E6" w14:textId="77777777" w:rsidR="005A0E8A" w:rsidRPr="005A0E8A" w:rsidRDefault="005A0E8A" w:rsidP="005A0E8A">
            <w:pPr>
              <w:pStyle w:val="NoSpacing"/>
              <w:rPr>
                <w:rFonts w:asciiTheme="minorHAnsi" w:hAnsiTheme="minorHAnsi" w:cs="Times New Roman"/>
              </w:rPr>
            </w:pPr>
            <w:r w:rsidRPr="005A0E8A">
              <w:rPr>
                <w:rFonts w:asciiTheme="minorHAnsi" w:hAnsiTheme="minorHAnsi" w:cs="Times New Roman"/>
              </w:rPr>
              <w:t>Moderate number</w:t>
            </w:r>
          </w:p>
        </w:tc>
        <w:tc>
          <w:tcPr>
            <w:tcW w:w="1318" w:type="dxa"/>
          </w:tcPr>
          <w:p w14:paraId="70B94E6E" w14:textId="77777777" w:rsidR="005A0E8A" w:rsidRPr="005A0E8A" w:rsidRDefault="005A0E8A" w:rsidP="005A0E8A">
            <w:pPr>
              <w:pStyle w:val="NoSpacing"/>
              <w:rPr>
                <w:rFonts w:asciiTheme="minorHAnsi" w:hAnsiTheme="minorHAnsi" w:cs="Times New Roman"/>
              </w:rPr>
            </w:pPr>
            <w:r w:rsidRPr="005A0E8A">
              <w:rPr>
                <w:rFonts w:asciiTheme="minorHAnsi" w:hAnsiTheme="minorHAnsi" w:cs="Times New Roman"/>
              </w:rPr>
              <w:t>Moderately low</w:t>
            </w:r>
          </w:p>
        </w:tc>
        <w:tc>
          <w:tcPr>
            <w:tcW w:w="1652" w:type="dxa"/>
          </w:tcPr>
          <w:p w14:paraId="1002BADD" w14:textId="77777777" w:rsidR="005A0E8A" w:rsidRPr="005A0E8A" w:rsidRDefault="005A0E8A" w:rsidP="005A0E8A">
            <w:pPr>
              <w:pStyle w:val="NoSpacing"/>
              <w:rPr>
                <w:rFonts w:asciiTheme="minorHAnsi" w:hAnsiTheme="minorHAnsi" w:cs="Times New Roman"/>
              </w:rPr>
            </w:pPr>
            <w:r w:rsidRPr="005A0E8A">
              <w:rPr>
                <w:rFonts w:asciiTheme="minorHAnsi" w:hAnsiTheme="minorHAnsi" w:cs="Times New Roman"/>
              </w:rPr>
              <w:t>Moderate</w:t>
            </w:r>
          </w:p>
        </w:tc>
      </w:tr>
      <w:tr w:rsidR="005A0E8A" w:rsidRPr="005A0E8A" w14:paraId="27FB4DC5" w14:textId="77777777" w:rsidTr="005A0E8A">
        <w:trPr>
          <w:jc w:val="center"/>
        </w:trPr>
        <w:tc>
          <w:tcPr>
            <w:tcW w:w="1998" w:type="dxa"/>
          </w:tcPr>
          <w:p w14:paraId="24FFEDDB" w14:textId="77777777" w:rsidR="005A0E8A" w:rsidRPr="005A0E8A" w:rsidRDefault="005A0E8A" w:rsidP="005A0E8A">
            <w:pPr>
              <w:pStyle w:val="NoSpacing"/>
              <w:rPr>
                <w:rFonts w:asciiTheme="minorHAnsi" w:hAnsiTheme="minorHAnsi" w:cs="Times New Roman"/>
                <w:b/>
              </w:rPr>
            </w:pPr>
            <w:r w:rsidRPr="005A0E8A">
              <w:rPr>
                <w:rFonts w:asciiTheme="minorHAnsi" w:hAnsiTheme="minorHAnsi" w:cs="Times New Roman"/>
                <w:b/>
              </w:rPr>
              <w:t>Network Adminis</w:t>
            </w:r>
            <w:r w:rsidRPr="005A0E8A">
              <w:rPr>
                <w:rFonts w:asciiTheme="minorHAnsi" w:hAnsiTheme="minorHAnsi" w:cs="Times New Roman"/>
                <w:b/>
              </w:rPr>
              <w:softHyphen/>
              <w:t>trative Organization</w:t>
            </w:r>
          </w:p>
        </w:tc>
        <w:tc>
          <w:tcPr>
            <w:tcW w:w="1681" w:type="dxa"/>
          </w:tcPr>
          <w:p w14:paraId="0954B75D" w14:textId="77777777" w:rsidR="005A0E8A" w:rsidRPr="005A0E8A" w:rsidRDefault="005A0E8A" w:rsidP="005A0E8A">
            <w:pPr>
              <w:pStyle w:val="NoSpacing"/>
              <w:rPr>
                <w:rFonts w:asciiTheme="minorHAnsi" w:hAnsiTheme="minorHAnsi" w:cs="Times New Roman"/>
                <w:lang w:val="en-US"/>
              </w:rPr>
            </w:pPr>
            <w:r w:rsidRPr="005A0E8A">
              <w:rPr>
                <w:rFonts w:asciiTheme="minorHAnsi" w:hAnsiTheme="minorHAnsi" w:cs="Times New Roman"/>
                <w:lang w:val="en-US"/>
              </w:rPr>
              <w:t>Moderate density, monitored by members</w:t>
            </w:r>
          </w:p>
        </w:tc>
        <w:tc>
          <w:tcPr>
            <w:tcW w:w="1559" w:type="dxa"/>
          </w:tcPr>
          <w:p w14:paraId="120B253B" w14:textId="77777777" w:rsidR="005A0E8A" w:rsidRPr="005A0E8A" w:rsidRDefault="005A0E8A" w:rsidP="005A0E8A">
            <w:pPr>
              <w:pStyle w:val="NoSpacing"/>
              <w:rPr>
                <w:rFonts w:asciiTheme="minorHAnsi" w:hAnsiTheme="minorHAnsi" w:cs="Times New Roman"/>
              </w:rPr>
            </w:pPr>
            <w:r w:rsidRPr="005A0E8A">
              <w:rPr>
                <w:rFonts w:asciiTheme="minorHAnsi" w:hAnsiTheme="minorHAnsi" w:cs="Times New Roman"/>
              </w:rPr>
              <w:t>Moderate to many</w:t>
            </w:r>
          </w:p>
        </w:tc>
        <w:tc>
          <w:tcPr>
            <w:tcW w:w="1318" w:type="dxa"/>
          </w:tcPr>
          <w:p w14:paraId="50A015FC" w14:textId="77777777" w:rsidR="005A0E8A" w:rsidRPr="005A0E8A" w:rsidRDefault="005A0E8A" w:rsidP="005A0E8A">
            <w:pPr>
              <w:pStyle w:val="NoSpacing"/>
              <w:rPr>
                <w:rFonts w:asciiTheme="minorHAnsi" w:hAnsiTheme="minorHAnsi" w:cs="Times New Roman"/>
              </w:rPr>
            </w:pPr>
            <w:r w:rsidRPr="005A0E8A">
              <w:rPr>
                <w:rFonts w:asciiTheme="minorHAnsi" w:hAnsiTheme="minorHAnsi" w:cs="Times New Roman"/>
              </w:rPr>
              <w:t>Moderately high</w:t>
            </w:r>
          </w:p>
        </w:tc>
        <w:tc>
          <w:tcPr>
            <w:tcW w:w="1652" w:type="dxa"/>
          </w:tcPr>
          <w:p w14:paraId="28783E50" w14:textId="77777777" w:rsidR="005A0E8A" w:rsidRPr="005A0E8A" w:rsidRDefault="005A0E8A" w:rsidP="005A0E8A">
            <w:pPr>
              <w:pStyle w:val="NoSpacing"/>
              <w:rPr>
                <w:rFonts w:asciiTheme="minorHAnsi" w:hAnsiTheme="minorHAnsi" w:cs="Times New Roman"/>
              </w:rPr>
            </w:pPr>
            <w:r w:rsidRPr="005A0E8A">
              <w:rPr>
                <w:rFonts w:asciiTheme="minorHAnsi" w:hAnsiTheme="minorHAnsi" w:cs="Times New Roman"/>
              </w:rPr>
              <w:t>High</w:t>
            </w:r>
          </w:p>
        </w:tc>
      </w:tr>
      <w:tr w:rsidR="005A0E8A" w:rsidRPr="005A0E8A" w14:paraId="1D907B55" w14:textId="77777777" w:rsidTr="005A0E8A">
        <w:trPr>
          <w:trHeight w:val="323"/>
          <w:jc w:val="center"/>
        </w:trPr>
        <w:tc>
          <w:tcPr>
            <w:tcW w:w="8208" w:type="dxa"/>
            <w:gridSpan w:val="5"/>
          </w:tcPr>
          <w:p w14:paraId="6EE335B6" w14:textId="77777777" w:rsidR="005A0E8A" w:rsidRPr="005A0E8A" w:rsidRDefault="005A0E8A" w:rsidP="005A0E8A">
            <w:pPr>
              <w:pStyle w:val="NoSpacing"/>
              <w:rPr>
                <w:rFonts w:asciiTheme="minorHAnsi" w:hAnsiTheme="minorHAnsi" w:cs="Times New Roman"/>
                <w:i/>
              </w:rPr>
            </w:pPr>
            <w:r w:rsidRPr="005A0E8A">
              <w:rPr>
                <w:rFonts w:asciiTheme="minorHAnsi" w:hAnsiTheme="minorHAnsi" w:cs="Times New Roman"/>
                <w:i/>
              </w:rPr>
              <w:t>Source: Provan &amp; Kenis (2007)</w:t>
            </w:r>
          </w:p>
        </w:tc>
      </w:tr>
    </w:tbl>
    <w:p w14:paraId="4AD83B3A" w14:textId="77777777" w:rsidR="005A0E8A" w:rsidRPr="005A0E8A" w:rsidRDefault="005A0E8A" w:rsidP="005A0E8A">
      <w:pPr>
        <w:pStyle w:val="gloconormalindented"/>
        <w:rPr>
          <w:rFonts w:asciiTheme="minorHAnsi" w:hAnsiTheme="minorHAnsi"/>
          <w:sz w:val="22"/>
          <w:szCs w:val="22"/>
        </w:rPr>
      </w:pPr>
    </w:p>
    <w:p w14:paraId="6465079F" w14:textId="77777777" w:rsidR="005A0E8A" w:rsidRPr="005A0E8A" w:rsidRDefault="005A0E8A" w:rsidP="005A0E8A"/>
    <w:p w14:paraId="12E239A7" w14:textId="77777777" w:rsidR="00EC7C59" w:rsidRPr="00DF2166" w:rsidRDefault="00EC7C59" w:rsidP="00EC7C59">
      <w:pPr>
        <w:autoSpaceDE w:val="0"/>
        <w:autoSpaceDN w:val="0"/>
        <w:adjustRightInd w:val="0"/>
        <w:spacing w:after="0" w:line="240" w:lineRule="auto"/>
        <w:rPr>
          <w:rFonts w:cs="Calibri"/>
          <w:b/>
          <w:color w:val="333333"/>
          <w:sz w:val="24"/>
          <w:szCs w:val="24"/>
        </w:rPr>
      </w:pPr>
      <w:r w:rsidRPr="00DF2166">
        <w:rPr>
          <w:b/>
          <w:sz w:val="24"/>
          <w:szCs w:val="24"/>
          <w:highlight w:val="yellow"/>
        </w:rPr>
        <w:lastRenderedPageBreak/>
        <w:t>Course Outline</w:t>
      </w:r>
    </w:p>
    <w:p w14:paraId="0BCA7BCF" w14:textId="77777777" w:rsidR="00EC7C59" w:rsidRPr="00DB2848" w:rsidRDefault="00EC7C59" w:rsidP="00EC7C59">
      <w:pPr>
        <w:rPr>
          <w:color w:val="595959"/>
          <w:lang w:val="en"/>
        </w:rPr>
      </w:pPr>
    </w:p>
    <w:p w14:paraId="71FC7A41" w14:textId="77777777" w:rsidR="00EC7C59" w:rsidRPr="00CE51B5" w:rsidRDefault="00EC7C59" w:rsidP="00EC7C59">
      <w:pPr>
        <w:pStyle w:val="Title"/>
        <w:pBdr>
          <w:top w:val="single" w:sz="18" w:space="1" w:color="EAEAEA"/>
          <w:bottom w:val="single" w:sz="18" w:space="0" w:color="EAEAEA"/>
        </w:pBdr>
        <w:shd w:val="clear" w:color="auto" w:fill="E6E6E6"/>
        <w:spacing w:before="240"/>
        <w:rPr>
          <w:rFonts w:asciiTheme="minorHAnsi" w:hAnsiTheme="minorHAnsi" w:cs="Arial"/>
          <w:i w:val="0"/>
          <w:color w:val="1F497D"/>
          <w:sz w:val="28"/>
          <w:szCs w:val="28"/>
        </w:rPr>
      </w:pPr>
      <w:r w:rsidRPr="00CE51B5">
        <w:rPr>
          <w:rFonts w:asciiTheme="minorHAnsi" w:hAnsiTheme="minorHAnsi" w:cs="Arial"/>
          <w:b/>
          <w:i w:val="0"/>
          <w:color w:val="1F497D"/>
          <w:sz w:val="28"/>
          <w:szCs w:val="28"/>
        </w:rPr>
        <w:t xml:space="preserve">Day </w:t>
      </w:r>
      <w:r>
        <w:rPr>
          <w:rFonts w:asciiTheme="minorHAnsi" w:hAnsiTheme="minorHAnsi" w:cs="Arial"/>
          <w:b/>
          <w:i w:val="0"/>
          <w:color w:val="1F497D"/>
          <w:sz w:val="28"/>
          <w:szCs w:val="28"/>
        </w:rPr>
        <w:t>Two</w:t>
      </w:r>
    </w:p>
    <w:p w14:paraId="7DEB0971" w14:textId="77777777" w:rsidR="00EC7C59" w:rsidRPr="00DB2848" w:rsidRDefault="00EC7C59" w:rsidP="00EC7C59">
      <w:pPr>
        <w:pStyle w:val="Title"/>
        <w:jc w:val="both"/>
        <w:rPr>
          <w:rFonts w:asciiTheme="minorHAnsi" w:hAnsiTheme="minorHAnsi" w:cs="Arial"/>
          <w:b/>
          <w:i w:val="0"/>
          <w:sz w:val="20"/>
        </w:rPr>
      </w:pPr>
    </w:p>
    <w:p w14:paraId="3CD641BE" w14:textId="77777777" w:rsidR="00EC7C59" w:rsidRPr="00DB2848" w:rsidRDefault="00EC7C59" w:rsidP="00EC7C59">
      <w:pPr>
        <w:pStyle w:val="Title"/>
        <w:jc w:val="left"/>
        <w:rPr>
          <w:rFonts w:asciiTheme="minorHAnsi" w:hAnsiTheme="minorHAnsi" w:cs="Arial"/>
          <w:b/>
          <w:i w:val="0"/>
          <w:sz w:val="22"/>
          <w:szCs w:val="22"/>
        </w:rPr>
      </w:pPr>
      <w:r w:rsidRPr="00DB2848">
        <w:rPr>
          <w:rFonts w:asciiTheme="minorHAnsi" w:hAnsiTheme="minorHAnsi" w:cs="Arial"/>
          <w:b/>
          <w:i w:val="0"/>
          <w:sz w:val="22"/>
          <w:szCs w:val="22"/>
        </w:rPr>
        <w:t>8:00 – 8:30</w:t>
      </w:r>
      <w:r w:rsidR="00A474D3">
        <w:rPr>
          <w:rFonts w:asciiTheme="minorHAnsi" w:hAnsiTheme="minorHAnsi" w:cs="Arial"/>
          <w:b/>
          <w:i w:val="0"/>
          <w:sz w:val="22"/>
          <w:szCs w:val="22"/>
        </w:rPr>
        <w:t xml:space="preserve"> a.m.</w:t>
      </w:r>
      <w:r w:rsidR="00A474D3">
        <w:rPr>
          <w:rFonts w:asciiTheme="minorHAnsi" w:hAnsiTheme="minorHAnsi" w:cs="Arial"/>
          <w:b/>
          <w:i w:val="0"/>
          <w:sz w:val="22"/>
          <w:szCs w:val="22"/>
        </w:rPr>
        <w:tab/>
      </w:r>
      <w:r w:rsidR="00A474D3">
        <w:rPr>
          <w:rFonts w:asciiTheme="minorHAnsi" w:hAnsiTheme="minorHAnsi" w:cs="Arial"/>
          <w:b/>
          <w:i w:val="0"/>
          <w:sz w:val="22"/>
          <w:szCs w:val="22"/>
        </w:rPr>
        <w:tab/>
      </w:r>
      <w:r w:rsidRPr="00DB2848">
        <w:rPr>
          <w:rFonts w:asciiTheme="minorHAnsi" w:hAnsiTheme="minorHAnsi" w:cs="Arial"/>
          <w:b/>
          <w:i w:val="0"/>
          <w:sz w:val="22"/>
          <w:szCs w:val="22"/>
        </w:rPr>
        <w:t xml:space="preserve">Breakfast </w:t>
      </w:r>
    </w:p>
    <w:p w14:paraId="02A4DC16" w14:textId="77777777" w:rsidR="00EC7C59" w:rsidRPr="00DB2848" w:rsidRDefault="00EC7C59" w:rsidP="00EC7C59">
      <w:pPr>
        <w:pStyle w:val="Title"/>
        <w:jc w:val="left"/>
        <w:rPr>
          <w:rFonts w:asciiTheme="minorHAnsi" w:hAnsiTheme="minorHAnsi" w:cs="Arial"/>
          <w:b/>
          <w:i w:val="0"/>
          <w:sz w:val="22"/>
          <w:szCs w:val="22"/>
        </w:rPr>
      </w:pPr>
    </w:p>
    <w:p w14:paraId="099BE51A" w14:textId="77777777" w:rsidR="00EC7C59" w:rsidRPr="00DB2848" w:rsidRDefault="00EC7C59" w:rsidP="00EC7C59">
      <w:pPr>
        <w:pStyle w:val="Title"/>
        <w:jc w:val="left"/>
        <w:rPr>
          <w:rFonts w:asciiTheme="minorHAnsi" w:hAnsiTheme="minorHAnsi" w:cs="Arial"/>
          <w:b/>
          <w:i w:val="0"/>
          <w:sz w:val="22"/>
          <w:szCs w:val="22"/>
        </w:rPr>
      </w:pPr>
      <w:r w:rsidRPr="00DB2848">
        <w:rPr>
          <w:rFonts w:asciiTheme="minorHAnsi" w:hAnsiTheme="minorHAnsi" w:cs="Arial"/>
          <w:b/>
          <w:i w:val="0"/>
          <w:sz w:val="22"/>
          <w:szCs w:val="22"/>
        </w:rPr>
        <w:t>8:30 – 9:00 a.m.</w:t>
      </w:r>
      <w:r w:rsidRPr="00DB2848">
        <w:rPr>
          <w:rFonts w:asciiTheme="minorHAnsi" w:hAnsiTheme="minorHAnsi" w:cs="Arial"/>
          <w:b/>
          <w:i w:val="0"/>
          <w:sz w:val="22"/>
          <w:szCs w:val="22"/>
        </w:rPr>
        <w:tab/>
      </w:r>
      <w:r w:rsidRPr="00DB2848">
        <w:rPr>
          <w:rFonts w:asciiTheme="minorHAnsi" w:hAnsiTheme="minorHAnsi" w:cs="Arial"/>
          <w:b/>
          <w:i w:val="0"/>
          <w:sz w:val="22"/>
          <w:szCs w:val="22"/>
        </w:rPr>
        <w:tab/>
        <w:t xml:space="preserve">Welcome and Introductions </w:t>
      </w:r>
    </w:p>
    <w:p w14:paraId="3CB0D743" w14:textId="77777777" w:rsidR="00EC7C59" w:rsidRPr="00DB2848" w:rsidRDefault="00EC7C59" w:rsidP="00EC7C59">
      <w:pPr>
        <w:pStyle w:val="Title"/>
        <w:ind w:left="3160"/>
        <w:jc w:val="left"/>
        <w:rPr>
          <w:rFonts w:asciiTheme="minorHAnsi" w:hAnsiTheme="minorHAnsi" w:cs="Arial"/>
          <w:i w:val="0"/>
          <w:sz w:val="22"/>
          <w:szCs w:val="22"/>
        </w:rPr>
      </w:pPr>
    </w:p>
    <w:p w14:paraId="673EF461" w14:textId="77777777" w:rsidR="00EC7C59" w:rsidRPr="00DB2848" w:rsidRDefault="00EC7C59" w:rsidP="00EC7C59">
      <w:pPr>
        <w:pStyle w:val="CM9"/>
        <w:ind w:left="2880" w:hanging="2880"/>
        <w:rPr>
          <w:rFonts w:asciiTheme="minorHAnsi" w:hAnsiTheme="minorHAnsi" w:cs="Arial"/>
          <w:b/>
          <w:sz w:val="22"/>
          <w:szCs w:val="22"/>
        </w:rPr>
      </w:pPr>
      <w:r w:rsidRPr="00DB2848">
        <w:rPr>
          <w:rFonts w:asciiTheme="minorHAnsi" w:hAnsiTheme="minorHAnsi" w:cs="Arial"/>
          <w:b/>
          <w:sz w:val="22"/>
          <w:szCs w:val="22"/>
        </w:rPr>
        <w:t xml:space="preserve">9:00 – </w:t>
      </w:r>
      <w:r>
        <w:rPr>
          <w:rFonts w:asciiTheme="minorHAnsi" w:hAnsiTheme="minorHAnsi" w:cs="Arial"/>
          <w:b/>
          <w:sz w:val="22"/>
          <w:szCs w:val="22"/>
        </w:rPr>
        <w:t>9:45</w:t>
      </w:r>
      <w:r w:rsidRPr="00DB2848">
        <w:rPr>
          <w:rFonts w:asciiTheme="minorHAnsi" w:hAnsiTheme="minorHAnsi" w:cs="Arial"/>
          <w:b/>
          <w:sz w:val="22"/>
          <w:szCs w:val="22"/>
        </w:rPr>
        <w:t xml:space="preserve"> a.m.</w:t>
      </w:r>
      <w:r w:rsidRPr="00DB2848">
        <w:rPr>
          <w:rFonts w:asciiTheme="minorHAnsi" w:hAnsiTheme="minorHAnsi" w:cs="Arial"/>
          <w:b/>
          <w:sz w:val="22"/>
          <w:szCs w:val="22"/>
        </w:rPr>
        <w:tab/>
      </w:r>
      <w:r>
        <w:rPr>
          <w:rFonts w:asciiTheme="minorHAnsi" w:hAnsiTheme="minorHAnsi" w:cs="Arial"/>
          <w:b/>
          <w:sz w:val="22"/>
          <w:szCs w:val="22"/>
        </w:rPr>
        <w:t>Understandin</w:t>
      </w:r>
      <w:r w:rsidR="00A474D3">
        <w:rPr>
          <w:rFonts w:asciiTheme="minorHAnsi" w:hAnsiTheme="minorHAnsi" w:cs="Arial"/>
          <w:b/>
          <w:sz w:val="22"/>
          <w:szCs w:val="22"/>
        </w:rPr>
        <w:t>g Governance</w:t>
      </w:r>
    </w:p>
    <w:p w14:paraId="75320FFE" w14:textId="77777777" w:rsidR="00EC7C59" w:rsidRPr="00DB2848" w:rsidRDefault="00EC7C59" w:rsidP="00EC7C59">
      <w:pPr>
        <w:ind w:left="2880"/>
      </w:pPr>
      <w:r w:rsidRPr="00DB2848">
        <w:t>The aim of this session is to</w:t>
      </w:r>
      <w:r>
        <w:t xml:space="preserve"> better understand and</w:t>
      </w:r>
      <w:r w:rsidRPr="00DB2848">
        <w:t xml:space="preserve"> introduce s</w:t>
      </w:r>
      <w:r w:rsidR="00A474D3">
        <w:t>tudents to governance as a</w:t>
      </w:r>
      <w:r>
        <w:t xml:space="preserve"> basic conceptual framework and how</w:t>
      </w:r>
      <w:r w:rsidR="00A474D3">
        <w:t xml:space="preserve"> the field has evolved over the past five decades</w:t>
      </w:r>
      <w:r>
        <w:t xml:space="preserve">. </w:t>
      </w:r>
      <w:r w:rsidRPr="00DB2848">
        <w:t xml:space="preserve">It seeks to examine the influence of </w:t>
      </w:r>
      <w:r w:rsidR="00A474D3">
        <w:t>forces from above (globalization) and forces from below (for example, ethnic-sectarian violence) in</w:t>
      </w:r>
      <w:r w:rsidRPr="00DB2848">
        <w:t xml:space="preserve"> changing</w:t>
      </w:r>
      <w:r w:rsidR="00A474D3">
        <w:t xml:space="preserve"> the</w:t>
      </w:r>
      <w:r w:rsidRPr="00DB2848">
        <w:t xml:space="preserve"> geopolitical environment </w:t>
      </w:r>
      <w:r w:rsidR="00A474D3">
        <w:t>for governance at global, national, and sub-national levels.</w:t>
      </w:r>
      <w:r w:rsidRPr="00DB2848">
        <w:t xml:space="preserve"> </w:t>
      </w:r>
    </w:p>
    <w:p w14:paraId="1C9C6C8D" w14:textId="77777777" w:rsidR="00EC7C59" w:rsidRDefault="00EC7C59" w:rsidP="00EC7C59">
      <w:pPr>
        <w:pStyle w:val="ListParagraph"/>
        <w:numPr>
          <w:ilvl w:val="0"/>
          <w:numId w:val="3"/>
        </w:numPr>
      </w:pPr>
      <w:r>
        <w:t>Overview of the course;</w:t>
      </w:r>
    </w:p>
    <w:p w14:paraId="37FD18A4" w14:textId="77777777" w:rsidR="00EC7C59" w:rsidRDefault="00EC7C59" w:rsidP="00EC7C59">
      <w:pPr>
        <w:pStyle w:val="ListParagraph"/>
        <w:numPr>
          <w:ilvl w:val="0"/>
          <w:numId w:val="3"/>
        </w:numPr>
      </w:pPr>
      <w:r w:rsidRPr="00DB2848">
        <w:t>Brief history of the field: provide a basic conceptual framework</w:t>
      </w:r>
      <w:r w:rsidR="00A474D3">
        <w:t xml:space="preserve"> of governance</w:t>
      </w:r>
      <w:r w:rsidRPr="00DB2848">
        <w:t>;</w:t>
      </w:r>
    </w:p>
    <w:p w14:paraId="03A726FF" w14:textId="77777777" w:rsidR="00EC7C59" w:rsidRDefault="00A474D3" w:rsidP="00EC7C59">
      <w:pPr>
        <w:pStyle w:val="ListParagraph"/>
        <w:numPr>
          <w:ilvl w:val="0"/>
          <w:numId w:val="3"/>
        </w:numPr>
      </w:pPr>
      <w:r>
        <w:t>Defining Governance</w:t>
      </w:r>
    </w:p>
    <w:p w14:paraId="3E8FA8D4" w14:textId="77777777" w:rsidR="00A474D3" w:rsidRDefault="00A474D3" w:rsidP="00A474D3">
      <w:pPr>
        <w:pStyle w:val="ListParagraph"/>
        <w:numPr>
          <w:ilvl w:val="1"/>
          <w:numId w:val="3"/>
        </w:numPr>
      </w:pPr>
      <w:r>
        <w:t>Contest Definitions</w:t>
      </w:r>
    </w:p>
    <w:p w14:paraId="284C9C97" w14:textId="77777777" w:rsidR="00EC7C59" w:rsidRDefault="00A474D3" w:rsidP="00A474D3">
      <w:pPr>
        <w:pStyle w:val="ListParagraph"/>
        <w:numPr>
          <w:ilvl w:val="1"/>
          <w:numId w:val="3"/>
        </w:numPr>
      </w:pPr>
      <w:r>
        <w:t>Core Features and Related Concepts</w:t>
      </w:r>
    </w:p>
    <w:p w14:paraId="1E2022F3" w14:textId="77777777" w:rsidR="00EC7C59" w:rsidRDefault="00A474D3" w:rsidP="00EC7C59">
      <w:pPr>
        <w:pStyle w:val="ListParagraph"/>
        <w:numPr>
          <w:ilvl w:val="1"/>
          <w:numId w:val="3"/>
        </w:numPr>
      </w:pPr>
      <w:r>
        <w:t>Global Governance</w:t>
      </w:r>
    </w:p>
    <w:p w14:paraId="51E992CD" w14:textId="77777777" w:rsidR="00EC7C59" w:rsidRDefault="00EC7C59" w:rsidP="00EC7C59">
      <w:pPr>
        <w:pStyle w:val="ListParagraph"/>
        <w:numPr>
          <w:ilvl w:val="1"/>
          <w:numId w:val="3"/>
        </w:numPr>
      </w:pPr>
      <w:r>
        <w:t xml:space="preserve">National </w:t>
      </w:r>
      <w:r w:rsidR="00A474D3">
        <w:t>Governance</w:t>
      </w:r>
    </w:p>
    <w:p w14:paraId="08B1AA1A" w14:textId="77777777" w:rsidR="00EC7C59" w:rsidRDefault="00A474D3" w:rsidP="00EC7C59">
      <w:pPr>
        <w:pStyle w:val="ListParagraph"/>
        <w:numPr>
          <w:ilvl w:val="1"/>
          <w:numId w:val="3"/>
        </w:numPr>
      </w:pPr>
      <w:r>
        <w:t>Sub-National Governance</w:t>
      </w:r>
    </w:p>
    <w:p w14:paraId="22D762F1" w14:textId="77777777" w:rsidR="00EC7C59" w:rsidRDefault="00EC7C59" w:rsidP="00EC7C59">
      <w:pPr>
        <w:pStyle w:val="ListParagraph"/>
        <w:numPr>
          <w:ilvl w:val="0"/>
          <w:numId w:val="3"/>
        </w:numPr>
      </w:pPr>
      <w:r>
        <w:t>The evolution of the field:</w:t>
      </w:r>
    </w:p>
    <w:p w14:paraId="3BFB7392" w14:textId="77777777" w:rsidR="00EC7C59" w:rsidRDefault="00A474D3" w:rsidP="00EC7C59">
      <w:pPr>
        <w:pStyle w:val="ListParagraph"/>
        <w:numPr>
          <w:ilvl w:val="1"/>
          <w:numId w:val="3"/>
        </w:numPr>
      </w:pPr>
      <w:r>
        <w:t>Governance and the safeguarding of Peace and Security</w:t>
      </w:r>
    </w:p>
    <w:p w14:paraId="388D6E79" w14:textId="77777777" w:rsidR="00A474D3" w:rsidRDefault="00A474D3" w:rsidP="00EC7C59">
      <w:pPr>
        <w:pStyle w:val="ListParagraph"/>
        <w:numPr>
          <w:ilvl w:val="1"/>
          <w:numId w:val="3"/>
        </w:numPr>
      </w:pPr>
      <w:r>
        <w:t>Governance and the Environment</w:t>
      </w:r>
    </w:p>
    <w:p w14:paraId="24D3E7E8" w14:textId="77777777" w:rsidR="00A474D3" w:rsidRDefault="00A474D3" w:rsidP="00EC7C59">
      <w:pPr>
        <w:pStyle w:val="ListParagraph"/>
        <w:numPr>
          <w:ilvl w:val="1"/>
          <w:numId w:val="3"/>
        </w:numPr>
      </w:pPr>
      <w:r>
        <w:t>Governance and Development</w:t>
      </w:r>
    </w:p>
    <w:p w14:paraId="707481D9" w14:textId="77777777" w:rsidR="00A474D3" w:rsidRDefault="00A474D3" w:rsidP="00EC7C59">
      <w:pPr>
        <w:pStyle w:val="ListParagraph"/>
        <w:numPr>
          <w:ilvl w:val="1"/>
          <w:numId w:val="3"/>
        </w:numPr>
      </w:pPr>
      <w:r>
        <w:t>Governance and Human Rights</w:t>
      </w:r>
    </w:p>
    <w:p w14:paraId="40A6687A" w14:textId="77777777" w:rsidR="00A474D3" w:rsidRDefault="00A474D3" w:rsidP="00A474D3">
      <w:pPr>
        <w:pStyle w:val="ListParagraph"/>
        <w:ind w:left="3960"/>
      </w:pPr>
    </w:p>
    <w:p w14:paraId="4B02F9E5" w14:textId="6DDF3689" w:rsidR="00A474D3" w:rsidRDefault="00A474D3" w:rsidP="00A474D3">
      <w:pPr>
        <w:pStyle w:val="CM9"/>
        <w:ind w:left="2880" w:hanging="2880"/>
        <w:rPr>
          <w:rFonts w:asciiTheme="minorHAnsi" w:hAnsiTheme="minorHAnsi" w:cs="Arial"/>
          <w:b/>
          <w:sz w:val="22"/>
          <w:szCs w:val="22"/>
        </w:rPr>
      </w:pPr>
      <w:r>
        <w:rPr>
          <w:rFonts w:asciiTheme="minorHAnsi" w:hAnsiTheme="minorHAnsi" w:cs="Arial"/>
          <w:b/>
          <w:sz w:val="22"/>
          <w:szCs w:val="22"/>
        </w:rPr>
        <w:t>9:45</w:t>
      </w:r>
      <w:r w:rsidRPr="00DB2848">
        <w:rPr>
          <w:rFonts w:asciiTheme="minorHAnsi" w:hAnsiTheme="minorHAnsi" w:cs="Arial"/>
          <w:b/>
          <w:sz w:val="22"/>
          <w:szCs w:val="22"/>
        </w:rPr>
        <w:t xml:space="preserve"> – 10:</w:t>
      </w:r>
      <w:r w:rsidR="00BA2D25">
        <w:rPr>
          <w:rFonts w:asciiTheme="minorHAnsi" w:hAnsiTheme="minorHAnsi" w:cs="Arial"/>
          <w:b/>
          <w:sz w:val="22"/>
          <w:szCs w:val="22"/>
        </w:rPr>
        <w:t>45</w:t>
      </w:r>
      <w:r w:rsidRPr="00DB2848">
        <w:rPr>
          <w:rFonts w:asciiTheme="minorHAnsi" w:hAnsiTheme="minorHAnsi" w:cs="Arial"/>
          <w:b/>
          <w:sz w:val="22"/>
          <w:szCs w:val="22"/>
        </w:rPr>
        <w:t xml:space="preserve"> a.m.</w:t>
      </w:r>
      <w:r w:rsidRPr="00DB2848">
        <w:rPr>
          <w:rFonts w:asciiTheme="minorHAnsi" w:hAnsiTheme="minorHAnsi" w:cs="Arial"/>
          <w:b/>
          <w:sz w:val="22"/>
          <w:szCs w:val="22"/>
        </w:rPr>
        <w:tab/>
      </w:r>
      <w:r>
        <w:rPr>
          <w:rFonts w:asciiTheme="minorHAnsi" w:hAnsiTheme="minorHAnsi" w:cs="Arial"/>
          <w:b/>
          <w:sz w:val="22"/>
          <w:szCs w:val="22"/>
        </w:rPr>
        <w:t>Gover</w:t>
      </w:r>
      <w:r w:rsidR="004E07C8">
        <w:rPr>
          <w:rFonts w:asciiTheme="minorHAnsi" w:hAnsiTheme="minorHAnsi" w:cs="Arial"/>
          <w:b/>
          <w:sz w:val="22"/>
          <w:szCs w:val="22"/>
        </w:rPr>
        <w:t>nance at the National Level: A resurgent</w:t>
      </w:r>
      <w:r>
        <w:rPr>
          <w:rFonts w:asciiTheme="minorHAnsi" w:hAnsiTheme="minorHAnsi" w:cs="Arial"/>
          <w:b/>
          <w:sz w:val="22"/>
          <w:szCs w:val="22"/>
        </w:rPr>
        <w:t xml:space="preserve"> Westphalian State System</w:t>
      </w:r>
      <w:r w:rsidR="004E07C8">
        <w:rPr>
          <w:rFonts w:asciiTheme="minorHAnsi" w:hAnsiTheme="minorHAnsi" w:cs="Arial"/>
          <w:b/>
          <w:sz w:val="22"/>
          <w:szCs w:val="22"/>
        </w:rPr>
        <w:t>?</w:t>
      </w:r>
    </w:p>
    <w:p w14:paraId="4C399D68" w14:textId="77777777" w:rsidR="00A474D3" w:rsidRPr="00DB2848" w:rsidRDefault="00A474D3" w:rsidP="00A474D3">
      <w:pPr>
        <w:pStyle w:val="CM9"/>
        <w:ind w:left="2880" w:hanging="2880"/>
        <w:rPr>
          <w:rFonts w:asciiTheme="minorHAnsi" w:hAnsiTheme="minorHAnsi"/>
          <w:iCs/>
          <w:sz w:val="22"/>
          <w:szCs w:val="22"/>
        </w:rPr>
      </w:pPr>
      <w:r>
        <w:rPr>
          <w:rFonts w:asciiTheme="minorHAnsi" w:hAnsiTheme="minorHAnsi" w:cs="Arial"/>
          <w:b/>
          <w:sz w:val="22"/>
          <w:szCs w:val="22"/>
        </w:rPr>
        <w:tab/>
      </w:r>
      <w:r w:rsidRPr="00DB2848">
        <w:rPr>
          <w:rFonts w:asciiTheme="minorHAnsi" w:hAnsiTheme="minorHAnsi" w:cs="Arial"/>
          <w:sz w:val="22"/>
          <w:szCs w:val="22"/>
        </w:rPr>
        <w:t xml:space="preserve">This sessions aims to provide a better understanding of </w:t>
      </w:r>
      <w:r>
        <w:rPr>
          <w:rFonts w:asciiTheme="minorHAnsi" w:hAnsiTheme="minorHAnsi" w:cs="Arial"/>
          <w:sz w:val="22"/>
          <w:szCs w:val="22"/>
        </w:rPr>
        <w:t>how governance has functioned at the level-level for several hundred years</w:t>
      </w:r>
      <w:r w:rsidRPr="00DB2848">
        <w:rPr>
          <w:rFonts w:asciiTheme="minorHAnsi" w:hAnsiTheme="minorHAnsi" w:cs="Arial"/>
          <w:sz w:val="22"/>
          <w:szCs w:val="22"/>
        </w:rPr>
        <w:t>. The session also aims to introduce students to the roles and responsibilities of</w:t>
      </w:r>
      <w:r>
        <w:rPr>
          <w:rFonts w:asciiTheme="minorHAnsi" w:hAnsiTheme="minorHAnsi" w:cs="Arial"/>
          <w:sz w:val="22"/>
          <w:szCs w:val="22"/>
        </w:rPr>
        <w:t xml:space="preserve"> major actors involved in national-level governance.</w:t>
      </w:r>
      <w:r w:rsidRPr="00DB2848">
        <w:rPr>
          <w:rFonts w:asciiTheme="minorHAnsi" w:hAnsiTheme="minorHAnsi" w:cs="Arial"/>
          <w:sz w:val="22"/>
          <w:szCs w:val="22"/>
        </w:rPr>
        <w:t xml:space="preserve"> </w:t>
      </w:r>
    </w:p>
    <w:p w14:paraId="5958891A" w14:textId="77777777" w:rsidR="00A474D3" w:rsidRDefault="00A474D3" w:rsidP="00A474D3">
      <w:pPr>
        <w:pStyle w:val="ListParagraph"/>
        <w:numPr>
          <w:ilvl w:val="0"/>
          <w:numId w:val="4"/>
        </w:numPr>
      </w:pPr>
      <w:r>
        <w:t>Political Institutions</w:t>
      </w:r>
    </w:p>
    <w:p w14:paraId="3490A0FC" w14:textId="77777777" w:rsidR="00A474D3" w:rsidRDefault="00A474D3" w:rsidP="00A474D3">
      <w:pPr>
        <w:pStyle w:val="ListParagraph"/>
        <w:numPr>
          <w:ilvl w:val="0"/>
          <w:numId w:val="4"/>
        </w:numPr>
      </w:pPr>
      <w:r>
        <w:t>Bureaucratic Institutions</w:t>
      </w:r>
    </w:p>
    <w:p w14:paraId="2B7CA4A9" w14:textId="77777777" w:rsidR="00A474D3" w:rsidRDefault="00A474D3" w:rsidP="00A474D3">
      <w:pPr>
        <w:pStyle w:val="ListParagraph"/>
        <w:numPr>
          <w:ilvl w:val="0"/>
          <w:numId w:val="4"/>
        </w:numPr>
      </w:pPr>
      <w:r>
        <w:t>Judicial Institutions</w:t>
      </w:r>
    </w:p>
    <w:p w14:paraId="67C5BB50" w14:textId="77777777" w:rsidR="00BA2D25" w:rsidRDefault="00BA2D25" w:rsidP="00A474D3">
      <w:pPr>
        <w:pStyle w:val="ListParagraph"/>
        <w:numPr>
          <w:ilvl w:val="0"/>
          <w:numId w:val="4"/>
        </w:numPr>
      </w:pPr>
      <w:r>
        <w:t>Security Sector Institutions</w:t>
      </w:r>
    </w:p>
    <w:p w14:paraId="27AFD6B0" w14:textId="77777777" w:rsidR="00BA2D25" w:rsidRDefault="00BA2D25" w:rsidP="00A474D3">
      <w:pPr>
        <w:pStyle w:val="ListParagraph"/>
        <w:numPr>
          <w:ilvl w:val="0"/>
          <w:numId w:val="4"/>
        </w:numPr>
      </w:pPr>
      <w:r>
        <w:t>Business Community</w:t>
      </w:r>
    </w:p>
    <w:p w14:paraId="1FCBE3A0" w14:textId="77777777" w:rsidR="00BA2D25" w:rsidRDefault="00BA2D25" w:rsidP="00A474D3">
      <w:pPr>
        <w:pStyle w:val="ListParagraph"/>
        <w:numPr>
          <w:ilvl w:val="0"/>
          <w:numId w:val="4"/>
        </w:numPr>
      </w:pPr>
      <w:r>
        <w:t>Civil Society</w:t>
      </w:r>
    </w:p>
    <w:p w14:paraId="6BE821C0" w14:textId="77777777" w:rsidR="00BA2D25" w:rsidRDefault="00BA2D25" w:rsidP="00A474D3">
      <w:pPr>
        <w:pStyle w:val="ListParagraph"/>
        <w:numPr>
          <w:ilvl w:val="0"/>
          <w:numId w:val="4"/>
        </w:numPr>
      </w:pPr>
      <w:r>
        <w:lastRenderedPageBreak/>
        <w:t>Media</w:t>
      </w:r>
    </w:p>
    <w:p w14:paraId="1172E222" w14:textId="757F363F" w:rsidR="005778B8" w:rsidRDefault="005778B8" w:rsidP="00A474D3">
      <w:pPr>
        <w:pStyle w:val="ListParagraph"/>
        <w:numPr>
          <w:ilvl w:val="0"/>
          <w:numId w:val="4"/>
        </w:numPr>
      </w:pPr>
      <w:r>
        <w:t>Governing in Fragile and Conflict-Affected Community compared to Governing in “Normal” States</w:t>
      </w:r>
    </w:p>
    <w:p w14:paraId="7AF431D8" w14:textId="770D4B01" w:rsidR="005778B8" w:rsidRDefault="005778B8" w:rsidP="00A474D3">
      <w:pPr>
        <w:pStyle w:val="ListParagraph"/>
        <w:numPr>
          <w:ilvl w:val="0"/>
          <w:numId w:val="4"/>
        </w:numPr>
      </w:pPr>
      <w:r>
        <w:t>Why the Military should care about Governance and why a Professional Security Sector is integral to Effective Governance</w:t>
      </w:r>
    </w:p>
    <w:p w14:paraId="2C510C8B" w14:textId="4B118A51" w:rsidR="005778B8" w:rsidRDefault="005778B8" w:rsidP="00A474D3">
      <w:pPr>
        <w:pStyle w:val="ListParagraph"/>
        <w:numPr>
          <w:ilvl w:val="0"/>
          <w:numId w:val="4"/>
        </w:numPr>
      </w:pPr>
      <w:r>
        <w:t>The New Frontier of National Governance: Hybridity and Innovative Pubic-Private Partnerships</w:t>
      </w:r>
    </w:p>
    <w:p w14:paraId="4363BE88" w14:textId="77777777" w:rsidR="00BA2D25" w:rsidRPr="00DB2848" w:rsidRDefault="00BA2D25" w:rsidP="00BA2D25">
      <w:pPr>
        <w:pStyle w:val="CM9"/>
        <w:ind w:left="2880" w:hanging="2880"/>
        <w:rPr>
          <w:rFonts w:asciiTheme="minorHAnsi" w:hAnsiTheme="minorHAnsi"/>
          <w:iCs/>
          <w:sz w:val="22"/>
          <w:szCs w:val="22"/>
        </w:rPr>
      </w:pPr>
      <w:r>
        <w:rPr>
          <w:rFonts w:asciiTheme="minorHAnsi" w:hAnsiTheme="minorHAnsi" w:cs="Arial"/>
          <w:b/>
          <w:sz w:val="22"/>
          <w:szCs w:val="22"/>
        </w:rPr>
        <w:t>10:45– 11:00</w:t>
      </w:r>
      <w:r w:rsidRPr="00DB2848">
        <w:rPr>
          <w:rFonts w:asciiTheme="minorHAnsi" w:hAnsiTheme="minorHAnsi" w:cs="Arial"/>
          <w:b/>
          <w:sz w:val="22"/>
          <w:szCs w:val="22"/>
        </w:rPr>
        <w:t xml:space="preserve"> a.m.</w:t>
      </w:r>
      <w:r w:rsidRPr="00DB2848">
        <w:rPr>
          <w:rFonts w:asciiTheme="minorHAnsi" w:hAnsiTheme="minorHAnsi" w:cs="Arial"/>
          <w:b/>
          <w:sz w:val="22"/>
          <w:szCs w:val="22"/>
        </w:rPr>
        <w:tab/>
        <w:t>Break</w:t>
      </w:r>
    </w:p>
    <w:p w14:paraId="649143F1" w14:textId="77777777" w:rsidR="00BA2D25" w:rsidRPr="00DB2848" w:rsidRDefault="00BA2D25" w:rsidP="00BA2D25">
      <w:pPr>
        <w:rPr>
          <w:rFonts w:cs="Arial"/>
          <w:b/>
          <w:i/>
        </w:rPr>
      </w:pPr>
      <w:r w:rsidRPr="00DB2848">
        <w:tab/>
      </w:r>
    </w:p>
    <w:p w14:paraId="33E85AE7" w14:textId="36708AD7" w:rsidR="00BA2D25" w:rsidRPr="00DB2848" w:rsidRDefault="00BA2D25" w:rsidP="004E07C8">
      <w:pPr>
        <w:pStyle w:val="Title"/>
        <w:ind w:left="2880" w:hanging="2880"/>
        <w:jc w:val="left"/>
        <w:rPr>
          <w:rFonts w:asciiTheme="minorHAnsi" w:hAnsiTheme="minorHAnsi"/>
          <w:b/>
          <w:i w:val="0"/>
          <w:sz w:val="22"/>
          <w:szCs w:val="22"/>
        </w:rPr>
      </w:pPr>
      <w:r>
        <w:rPr>
          <w:rFonts w:asciiTheme="minorHAnsi" w:hAnsiTheme="minorHAnsi" w:cs="Arial"/>
          <w:b/>
          <w:i w:val="0"/>
          <w:sz w:val="22"/>
          <w:szCs w:val="22"/>
        </w:rPr>
        <w:t>11:00 a.m. – 12:00</w:t>
      </w:r>
      <w:r w:rsidRPr="00EF37C8">
        <w:rPr>
          <w:rFonts w:asciiTheme="minorHAnsi" w:hAnsiTheme="minorHAnsi" w:cs="Arial"/>
          <w:b/>
          <w:i w:val="0"/>
          <w:sz w:val="22"/>
          <w:szCs w:val="22"/>
        </w:rPr>
        <w:t xml:space="preserve"> p.m.</w:t>
      </w:r>
      <w:r>
        <w:rPr>
          <w:rFonts w:asciiTheme="minorHAnsi" w:hAnsiTheme="minorHAnsi" w:cs="Arial"/>
          <w:b/>
          <w:sz w:val="22"/>
          <w:szCs w:val="22"/>
        </w:rPr>
        <w:tab/>
      </w:r>
      <w:r>
        <w:rPr>
          <w:rFonts w:asciiTheme="minorHAnsi" w:hAnsiTheme="minorHAnsi"/>
          <w:b/>
          <w:i w:val="0"/>
          <w:sz w:val="22"/>
          <w:szCs w:val="22"/>
        </w:rPr>
        <w:t>Governance at the Sub-National Level</w:t>
      </w:r>
      <w:r w:rsidR="004E07C8">
        <w:rPr>
          <w:rFonts w:asciiTheme="minorHAnsi" w:hAnsiTheme="minorHAnsi"/>
          <w:b/>
          <w:i w:val="0"/>
          <w:sz w:val="22"/>
          <w:szCs w:val="22"/>
        </w:rPr>
        <w:t>: Where people engage governance directly</w:t>
      </w:r>
    </w:p>
    <w:p w14:paraId="73F42E66" w14:textId="74AA6ED7" w:rsidR="00BA2D25" w:rsidRDefault="00BA2D25" w:rsidP="00BA2D25">
      <w:pPr>
        <w:pStyle w:val="Title"/>
        <w:ind w:left="2880" w:hanging="2880"/>
        <w:jc w:val="left"/>
        <w:rPr>
          <w:rFonts w:asciiTheme="minorHAnsi" w:hAnsiTheme="minorHAnsi"/>
          <w:i w:val="0"/>
          <w:sz w:val="22"/>
          <w:szCs w:val="22"/>
        </w:rPr>
      </w:pPr>
      <w:r w:rsidRPr="00DB2848">
        <w:rPr>
          <w:rFonts w:asciiTheme="minorHAnsi" w:hAnsiTheme="minorHAnsi" w:cs="Arial"/>
          <w:sz w:val="22"/>
          <w:szCs w:val="22"/>
        </w:rPr>
        <w:tab/>
      </w:r>
      <w:r>
        <w:rPr>
          <w:rFonts w:asciiTheme="minorHAnsi" w:hAnsiTheme="minorHAnsi"/>
          <w:i w:val="0"/>
          <w:sz w:val="22"/>
          <w:szCs w:val="22"/>
        </w:rPr>
        <w:t xml:space="preserve">This session seeks to examine new challenges </w:t>
      </w:r>
      <w:r w:rsidR="00092676">
        <w:rPr>
          <w:rFonts w:asciiTheme="minorHAnsi" w:hAnsiTheme="minorHAnsi"/>
          <w:i w:val="0"/>
          <w:sz w:val="22"/>
          <w:szCs w:val="22"/>
        </w:rPr>
        <w:t>facing governance at the level closest to citizens: provincial, municipal, and community-level</w:t>
      </w:r>
      <w:r>
        <w:rPr>
          <w:rFonts w:asciiTheme="minorHAnsi" w:hAnsiTheme="minorHAnsi"/>
          <w:i w:val="0"/>
          <w:sz w:val="22"/>
          <w:szCs w:val="22"/>
        </w:rPr>
        <w:t xml:space="preserve">.  The students </w:t>
      </w:r>
      <w:r w:rsidR="00092676">
        <w:rPr>
          <w:rFonts w:asciiTheme="minorHAnsi" w:hAnsiTheme="minorHAnsi"/>
          <w:i w:val="0"/>
          <w:sz w:val="22"/>
          <w:szCs w:val="22"/>
        </w:rPr>
        <w:t xml:space="preserve">will </w:t>
      </w:r>
      <w:r>
        <w:rPr>
          <w:rFonts w:asciiTheme="minorHAnsi" w:hAnsiTheme="minorHAnsi"/>
          <w:i w:val="0"/>
          <w:sz w:val="22"/>
          <w:szCs w:val="22"/>
        </w:rPr>
        <w:t xml:space="preserve">learn </w:t>
      </w:r>
      <w:r w:rsidR="00092676">
        <w:rPr>
          <w:rFonts w:asciiTheme="minorHAnsi" w:hAnsiTheme="minorHAnsi"/>
          <w:i w:val="0"/>
          <w:sz w:val="22"/>
          <w:szCs w:val="22"/>
        </w:rPr>
        <w:t>about a range of trends, risks, and opportunities facing sub-national governance actors from the state, private sector, and civil society, including:</w:t>
      </w:r>
      <w:r>
        <w:rPr>
          <w:rFonts w:asciiTheme="minorHAnsi" w:hAnsiTheme="minorHAnsi"/>
          <w:i w:val="0"/>
          <w:sz w:val="22"/>
          <w:szCs w:val="22"/>
        </w:rPr>
        <w:t xml:space="preserve"> </w:t>
      </w:r>
    </w:p>
    <w:p w14:paraId="79A50121" w14:textId="58CCE106" w:rsidR="00BA2D25" w:rsidRDefault="00092676" w:rsidP="00BA2D25">
      <w:pPr>
        <w:pStyle w:val="ListParagraph"/>
        <w:numPr>
          <w:ilvl w:val="0"/>
          <w:numId w:val="4"/>
        </w:numPr>
      </w:pPr>
      <w:r>
        <w:t>Migration and refugees</w:t>
      </w:r>
    </w:p>
    <w:p w14:paraId="4A29356A" w14:textId="0E36D061" w:rsidR="00BA2D25" w:rsidRDefault="00092676" w:rsidP="00BA2D25">
      <w:pPr>
        <w:pStyle w:val="ListParagraph"/>
        <w:numPr>
          <w:ilvl w:val="0"/>
          <w:numId w:val="4"/>
        </w:numPr>
      </w:pPr>
      <w:r>
        <w:t>Climate mitigation and adaptation</w:t>
      </w:r>
    </w:p>
    <w:p w14:paraId="43621AB1" w14:textId="612897A8" w:rsidR="00092676" w:rsidRDefault="00092676" w:rsidP="00BA2D25">
      <w:pPr>
        <w:pStyle w:val="ListParagraph"/>
        <w:numPr>
          <w:ilvl w:val="0"/>
          <w:numId w:val="4"/>
        </w:numPr>
      </w:pPr>
      <w:r>
        <w:t>Narcotics trafficking and other criminal activities</w:t>
      </w:r>
    </w:p>
    <w:p w14:paraId="29F3090A" w14:textId="6AB96492" w:rsidR="00BA2D25" w:rsidRDefault="00092676" w:rsidP="00BA2D25">
      <w:pPr>
        <w:pStyle w:val="ListParagraph"/>
        <w:numPr>
          <w:ilvl w:val="0"/>
          <w:numId w:val="4"/>
        </w:numPr>
      </w:pPr>
      <w:r>
        <w:t>Conflict management and resolution</w:t>
      </w:r>
    </w:p>
    <w:p w14:paraId="6BAE7CD4" w14:textId="6396EDC7" w:rsidR="00BA2D25" w:rsidRDefault="00092676" w:rsidP="00BA2D25">
      <w:pPr>
        <w:pStyle w:val="ListParagraph"/>
        <w:numPr>
          <w:ilvl w:val="0"/>
          <w:numId w:val="4"/>
        </w:numPr>
      </w:pPr>
      <w:r>
        <w:t>Socio-economic development</w:t>
      </w:r>
    </w:p>
    <w:p w14:paraId="5403680A" w14:textId="4D5105F4" w:rsidR="005778B8" w:rsidRDefault="005778B8" w:rsidP="00BA2D25">
      <w:pPr>
        <w:pStyle w:val="ListParagraph"/>
        <w:numPr>
          <w:ilvl w:val="0"/>
          <w:numId w:val="4"/>
        </w:numPr>
      </w:pPr>
      <w:r>
        <w:t>Why Sub-National Governance matters for Stability and Effective Peace &amp; Stability Operations</w:t>
      </w:r>
    </w:p>
    <w:p w14:paraId="78BBA43A" w14:textId="37DB9CE0" w:rsidR="00BA2D25" w:rsidRPr="00DB2848" w:rsidRDefault="00BA2D25" w:rsidP="00BA2D25">
      <w:pPr>
        <w:pStyle w:val="CM9"/>
        <w:ind w:left="2880" w:hanging="2880"/>
      </w:pPr>
    </w:p>
    <w:p w14:paraId="51983C81" w14:textId="168B1B5F" w:rsidR="00BA2D25" w:rsidRPr="00DB2848" w:rsidRDefault="00BA2D25" w:rsidP="00BA2D25">
      <w:pPr>
        <w:tabs>
          <w:tab w:val="left" w:pos="720"/>
          <w:tab w:val="left" w:pos="1440"/>
          <w:tab w:val="left" w:pos="2160"/>
          <w:tab w:val="left" w:pos="2880"/>
          <w:tab w:val="left" w:pos="3600"/>
          <w:tab w:val="left" w:pos="4320"/>
          <w:tab w:val="left" w:pos="5040"/>
          <w:tab w:val="left" w:pos="5760"/>
          <w:tab w:val="left" w:pos="6473"/>
        </w:tabs>
        <w:rPr>
          <w:rFonts w:cs="Arial"/>
          <w:b/>
          <w:i/>
        </w:rPr>
      </w:pPr>
      <w:r w:rsidRPr="00DB2848">
        <w:rPr>
          <w:rFonts w:cs="Arial"/>
          <w:b/>
        </w:rPr>
        <w:t>12:</w:t>
      </w:r>
      <w:r w:rsidR="004E07C8">
        <w:rPr>
          <w:rFonts w:cs="Arial"/>
          <w:b/>
        </w:rPr>
        <w:t>00 p.m.</w:t>
      </w:r>
      <w:r w:rsidRPr="00DB2848">
        <w:rPr>
          <w:rFonts w:cs="Arial"/>
          <w:b/>
        </w:rPr>
        <w:t xml:space="preserve"> – </w:t>
      </w:r>
      <w:r>
        <w:rPr>
          <w:rFonts w:cs="Arial"/>
          <w:b/>
        </w:rPr>
        <w:t>1:</w:t>
      </w:r>
      <w:r w:rsidR="004E07C8">
        <w:rPr>
          <w:rFonts w:cs="Arial"/>
          <w:b/>
        </w:rPr>
        <w:t>00</w:t>
      </w:r>
      <w:r w:rsidRPr="00DB2848">
        <w:rPr>
          <w:rFonts w:cs="Arial"/>
          <w:b/>
          <w:i/>
        </w:rPr>
        <w:t xml:space="preserve"> </w:t>
      </w:r>
      <w:r w:rsidRPr="00DB2848">
        <w:rPr>
          <w:rFonts w:cs="Arial"/>
          <w:b/>
        </w:rPr>
        <w:t>p.m.</w:t>
      </w:r>
      <w:r w:rsidRPr="00DB2848">
        <w:rPr>
          <w:rFonts w:cs="Arial"/>
          <w:b/>
          <w:i/>
        </w:rPr>
        <w:tab/>
      </w:r>
      <w:r w:rsidRPr="00DB2848">
        <w:rPr>
          <w:rFonts w:cs="Arial"/>
          <w:b/>
          <w:i/>
        </w:rPr>
        <w:tab/>
      </w:r>
      <w:r w:rsidRPr="00DB2848">
        <w:rPr>
          <w:rFonts w:cs="Arial"/>
          <w:b/>
        </w:rPr>
        <w:t>Lunch</w:t>
      </w:r>
      <w:r>
        <w:rPr>
          <w:rFonts w:cs="Arial"/>
          <w:b/>
        </w:rPr>
        <w:t xml:space="preserve"> </w:t>
      </w:r>
    </w:p>
    <w:p w14:paraId="58560F62" w14:textId="77777777" w:rsidR="00BA2D25" w:rsidRPr="00DB2848" w:rsidRDefault="00BA2D25" w:rsidP="00BA2D25">
      <w:pPr>
        <w:pStyle w:val="Title"/>
        <w:jc w:val="left"/>
        <w:rPr>
          <w:rFonts w:asciiTheme="minorHAnsi" w:hAnsiTheme="minorHAnsi" w:cs="Arial"/>
          <w:b/>
          <w:i w:val="0"/>
          <w:sz w:val="22"/>
          <w:szCs w:val="22"/>
        </w:rPr>
      </w:pPr>
    </w:p>
    <w:p w14:paraId="7898F95E" w14:textId="3BDC676B" w:rsidR="00BA2D25" w:rsidRPr="004E07C8" w:rsidRDefault="00BA2D25" w:rsidP="00BA2D25">
      <w:pPr>
        <w:pStyle w:val="Title"/>
        <w:ind w:left="2880" w:hanging="2880"/>
        <w:jc w:val="left"/>
        <w:rPr>
          <w:rFonts w:asciiTheme="minorHAnsi" w:hAnsiTheme="minorHAnsi" w:cs="Arial"/>
          <w:b/>
          <w:i w:val="0"/>
          <w:sz w:val="22"/>
          <w:szCs w:val="22"/>
        </w:rPr>
      </w:pPr>
      <w:r>
        <w:rPr>
          <w:rFonts w:asciiTheme="minorHAnsi" w:hAnsiTheme="minorHAnsi" w:cs="Arial"/>
          <w:b/>
          <w:i w:val="0"/>
          <w:sz w:val="22"/>
          <w:szCs w:val="22"/>
        </w:rPr>
        <w:t>1:15</w:t>
      </w:r>
      <w:r w:rsidR="004E07C8">
        <w:rPr>
          <w:rFonts w:asciiTheme="minorHAnsi" w:hAnsiTheme="minorHAnsi" w:cs="Arial"/>
          <w:b/>
          <w:i w:val="0"/>
          <w:sz w:val="22"/>
          <w:szCs w:val="22"/>
        </w:rPr>
        <w:t xml:space="preserve"> – 2:15 p.m.</w:t>
      </w:r>
      <w:r w:rsidR="004E07C8">
        <w:rPr>
          <w:rFonts w:asciiTheme="minorHAnsi" w:hAnsiTheme="minorHAnsi" w:cs="Arial"/>
          <w:b/>
          <w:i w:val="0"/>
          <w:sz w:val="22"/>
          <w:szCs w:val="22"/>
        </w:rPr>
        <w:tab/>
        <w:t>Governance</w:t>
      </w:r>
      <w:r w:rsidRPr="00773580">
        <w:rPr>
          <w:rFonts w:asciiTheme="minorHAnsi" w:hAnsiTheme="minorHAnsi" w:cs="Arial"/>
          <w:b/>
          <w:sz w:val="22"/>
          <w:szCs w:val="22"/>
        </w:rPr>
        <w:t xml:space="preserve"> </w:t>
      </w:r>
      <w:r w:rsidR="004E07C8">
        <w:rPr>
          <w:rFonts w:asciiTheme="minorHAnsi" w:hAnsiTheme="minorHAnsi" w:cs="Arial"/>
          <w:b/>
          <w:i w:val="0"/>
          <w:sz w:val="22"/>
          <w:szCs w:val="22"/>
        </w:rPr>
        <w:t>at the Global Level: Problem-solving across borders and regions</w:t>
      </w:r>
    </w:p>
    <w:p w14:paraId="1DAC0E34" w14:textId="32A9CDA3" w:rsidR="004E07C8" w:rsidRDefault="00BA2D25" w:rsidP="00BA2D25">
      <w:pPr>
        <w:ind w:left="2880"/>
      </w:pPr>
      <w:r w:rsidRPr="00773580">
        <w:t xml:space="preserve">This segment </w:t>
      </w:r>
      <w:r w:rsidR="004E07C8">
        <w:t>explains the chief traditional (states and international organizations) and non-traditional actors (regional organizations, cities, the business community, and civil society groups and social movements) contributing to global governance problem-solving today. Major impediments to the effective functioning of global governance will be examined, as well as success stories. Key case studies will include:</w:t>
      </w:r>
    </w:p>
    <w:p w14:paraId="5C5A3927" w14:textId="2D4768A6" w:rsidR="00BA2D25" w:rsidRDefault="004E07C8" w:rsidP="00BA2D25">
      <w:pPr>
        <w:numPr>
          <w:ilvl w:val="0"/>
          <w:numId w:val="4"/>
        </w:numPr>
        <w:contextualSpacing/>
      </w:pPr>
      <w:r>
        <w:t>Global governance institutional responses to violent conflict and state fragility.</w:t>
      </w:r>
    </w:p>
    <w:p w14:paraId="27866586" w14:textId="6FF41929" w:rsidR="004E07C8" w:rsidRDefault="004E07C8" w:rsidP="00BA2D25">
      <w:pPr>
        <w:numPr>
          <w:ilvl w:val="0"/>
          <w:numId w:val="4"/>
        </w:numPr>
        <w:contextualSpacing/>
      </w:pPr>
      <w:r>
        <w:t>The Post-2015 Development Agenda (Sustainable Development Goals)</w:t>
      </w:r>
    </w:p>
    <w:p w14:paraId="02762040" w14:textId="6D9A0F76" w:rsidR="004E07C8" w:rsidRPr="00773580" w:rsidRDefault="004E07C8" w:rsidP="00BA2D25">
      <w:pPr>
        <w:numPr>
          <w:ilvl w:val="0"/>
          <w:numId w:val="4"/>
        </w:numPr>
        <w:contextualSpacing/>
      </w:pPr>
      <w:r>
        <w:t>Combatting corruption and illicit financial flows worldwide.</w:t>
      </w:r>
    </w:p>
    <w:p w14:paraId="097E2927" w14:textId="466071CA" w:rsidR="00BA2D25" w:rsidRPr="004E07C8" w:rsidRDefault="004E07C8" w:rsidP="00BA2D25">
      <w:pPr>
        <w:numPr>
          <w:ilvl w:val="0"/>
          <w:numId w:val="4"/>
        </w:numPr>
        <w:contextualSpacing/>
      </w:pPr>
      <w:r>
        <w:t>Human rights, cultural relativism, and global governance.</w:t>
      </w:r>
    </w:p>
    <w:p w14:paraId="47FD8121" w14:textId="77777777" w:rsidR="00BA2D25" w:rsidRDefault="00BA2D25" w:rsidP="00BA2D25">
      <w:pPr>
        <w:pStyle w:val="Title"/>
        <w:jc w:val="left"/>
        <w:rPr>
          <w:rFonts w:asciiTheme="minorHAnsi" w:hAnsiTheme="minorHAnsi" w:cs="Arial"/>
          <w:b/>
          <w:i w:val="0"/>
          <w:sz w:val="22"/>
          <w:szCs w:val="22"/>
        </w:rPr>
      </w:pPr>
    </w:p>
    <w:p w14:paraId="1D137DE0" w14:textId="39DB0686" w:rsidR="004E07C8" w:rsidRPr="001C3846" w:rsidRDefault="004E07C8" w:rsidP="001C3846">
      <w:pPr>
        <w:pStyle w:val="Title"/>
        <w:ind w:left="2880" w:hanging="2880"/>
        <w:jc w:val="left"/>
        <w:rPr>
          <w:rFonts w:asciiTheme="minorHAnsi" w:hAnsiTheme="minorHAnsi" w:cs="Arial"/>
          <w:i w:val="0"/>
          <w:sz w:val="22"/>
          <w:szCs w:val="22"/>
        </w:rPr>
      </w:pPr>
      <w:r>
        <w:rPr>
          <w:rFonts w:asciiTheme="minorHAnsi" w:hAnsiTheme="minorHAnsi" w:cs="Arial"/>
          <w:b/>
          <w:i w:val="0"/>
          <w:sz w:val="22"/>
          <w:szCs w:val="22"/>
        </w:rPr>
        <w:lastRenderedPageBreak/>
        <w:t>2:15 – 3:</w:t>
      </w:r>
      <w:r w:rsidR="001C3846">
        <w:rPr>
          <w:rFonts w:asciiTheme="minorHAnsi" w:hAnsiTheme="minorHAnsi" w:cs="Arial"/>
          <w:b/>
          <w:i w:val="0"/>
          <w:sz w:val="22"/>
          <w:szCs w:val="22"/>
        </w:rPr>
        <w:t>00 pm</w:t>
      </w:r>
      <w:r w:rsidR="001C3846">
        <w:rPr>
          <w:rFonts w:asciiTheme="minorHAnsi" w:hAnsiTheme="minorHAnsi" w:cs="Arial"/>
          <w:b/>
          <w:i w:val="0"/>
          <w:sz w:val="22"/>
          <w:szCs w:val="22"/>
        </w:rPr>
        <w:tab/>
        <w:t>Special Presentation of the Findings and Recommendations of the former U.S. Secretary of State Dr. Madeleine Albright and former Nigerian Foreign Minister Dr. Ibrahim Gambar</w:t>
      </w:r>
      <w:r w:rsidR="0077562E">
        <w:rPr>
          <w:rFonts w:asciiTheme="minorHAnsi" w:hAnsiTheme="minorHAnsi" w:cs="Arial"/>
          <w:b/>
          <w:i w:val="0"/>
          <w:sz w:val="22"/>
          <w:szCs w:val="22"/>
        </w:rPr>
        <w:t xml:space="preserve"> co-chaired</w:t>
      </w:r>
      <w:r w:rsidR="001C3846">
        <w:rPr>
          <w:rFonts w:asciiTheme="minorHAnsi" w:hAnsiTheme="minorHAnsi" w:cs="Arial"/>
          <w:b/>
          <w:i w:val="0"/>
          <w:sz w:val="22"/>
          <w:szCs w:val="22"/>
        </w:rPr>
        <w:t xml:space="preserve"> </w:t>
      </w:r>
      <w:r w:rsidR="001C3846" w:rsidRPr="001C3846">
        <w:rPr>
          <w:rFonts w:asciiTheme="minorHAnsi" w:hAnsiTheme="minorHAnsi" w:cs="Arial"/>
          <w:b/>
          <w:sz w:val="22"/>
          <w:szCs w:val="22"/>
        </w:rPr>
        <w:t>Commission on Global Security, Justice &amp; Governance</w:t>
      </w:r>
      <w:r w:rsidR="001C3846">
        <w:rPr>
          <w:rFonts w:asciiTheme="minorHAnsi" w:hAnsiTheme="minorHAnsi" w:cs="Arial"/>
          <w:b/>
          <w:sz w:val="22"/>
          <w:szCs w:val="22"/>
        </w:rPr>
        <w:t xml:space="preserve"> </w:t>
      </w:r>
      <w:r w:rsidR="001C3846">
        <w:rPr>
          <w:rFonts w:asciiTheme="minorHAnsi" w:hAnsiTheme="minorHAnsi" w:cs="Arial"/>
          <w:i w:val="0"/>
          <w:sz w:val="22"/>
          <w:szCs w:val="22"/>
        </w:rPr>
        <w:t xml:space="preserve">(visit: </w:t>
      </w:r>
      <w:hyperlink r:id="rId7" w:history="1">
        <w:r w:rsidR="001C3846" w:rsidRPr="00282991">
          <w:rPr>
            <w:rStyle w:val="Hyperlink"/>
            <w:rFonts w:asciiTheme="minorHAnsi" w:hAnsiTheme="minorHAnsi" w:cs="Arial"/>
            <w:i w:val="0"/>
            <w:sz w:val="22"/>
            <w:szCs w:val="22"/>
          </w:rPr>
          <w:t>http://www.globalsecurityjusticegovernance.org/</w:t>
        </w:r>
      </w:hyperlink>
      <w:r w:rsidR="001C3846">
        <w:rPr>
          <w:rFonts w:asciiTheme="minorHAnsi" w:hAnsiTheme="minorHAnsi" w:cs="Arial"/>
          <w:i w:val="0"/>
          <w:sz w:val="22"/>
          <w:szCs w:val="22"/>
        </w:rPr>
        <w:t xml:space="preserve"> )</w:t>
      </w:r>
    </w:p>
    <w:p w14:paraId="5975FBF0" w14:textId="77777777" w:rsidR="001C3846" w:rsidRPr="00DB2848" w:rsidRDefault="001C3846" w:rsidP="00BA2D25">
      <w:pPr>
        <w:pStyle w:val="Title"/>
        <w:jc w:val="left"/>
        <w:rPr>
          <w:rFonts w:asciiTheme="minorHAnsi" w:hAnsiTheme="minorHAnsi" w:cs="Arial"/>
          <w:b/>
          <w:i w:val="0"/>
          <w:sz w:val="22"/>
          <w:szCs w:val="22"/>
        </w:rPr>
      </w:pPr>
    </w:p>
    <w:p w14:paraId="0099CF60" w14:textId="356DAB2E" w:rsidR="00BA2D25" w:rsidRDefault="001C3846" w:rsidP="001C3846">
      <w:pPr>
        <w:pStyle w:val="CM9"/>
        <w:ind w:left="2880" w:hanging="2880"/>
        <w:rPr>
          <w:rFonts w:asciiTheme="minorHAnsi" w:hAnsiTheme="minorHAnsi" w:cs="Arial"/>
          <w:b/>
          <w:sz w:val="22"/>
          <w:szCs w:val="22"/>
        </w:rPr>
      </w:pPr>
      <w:r>
        <w:rPr>
          <w:rFonts w:asciiTheme="minorHAnsi" w:hAnsiTheme="minorHAnsi" w:cs="Arial"/>
          <w:b/>
          <w:sz w:val="22"/>
          <w:szCs w:val="22"/>
        </w:rPr>
        <w:t xml:space="preserve">3:00 </w:t>
      </w:r>
      <w:r w:rsidR="00BA2D25" w:rsidRPr="00DB2848">
        <w:rPr>
          <w:rFonts w:asciiTheme="minorHAnsi" w:hAnsiTheme="minorHAnsi" w:cs="Arial"/>
          <w:b/>
          <w:sz w:val="22"/>
          <w:szCs w:val="22"/>
        </w:rPr>
        <w:t>– 3:</w:t>
      </w:r>
      <w:r w:rsidR="00BA2D25">
        <w:rPr>
          <w:rFonts w:asciiTheme="minorHAnsi" w:hAnsiTheme="minorHAnsi" w:cs="Arial"/>
          <w:b/>
          <w:sz w:val="22"/>
          <w:szCs w:val="22"/>
        </w:rPr>
        <w:t>15</w:t>
      </w:r>
      <w:r w:rsidR="00BA2D25" w:rsidRPr="00DB2848">
        <w:rPr>
          <w:rFonts w:asciiTheme="minorHAnsi" w:hAnsiTheme="minorHAnsi" w:cs="Arial"/>
          <w:b/>
          <w:sz w:val="22"/>
          <w:szCs w:val="22"/>
        </w:rPr>
        <w:t xml:space="preserve"> p.m.</w:t>
      </w:r>
      <w:r w:rsidR="00BA2D25" w:rsidRPr="00DB2848">
        <w:rPr>
          <w:rFonts w:asciiTheme="minorHAnsi" w:hAnsiTheme="minorHAnsi" w:cs="Arial"/>
          <w:b/>
          <w:sz w:val="22"/>
          <w:szCs w:val="22"/>
        </w:rPr>
        <w:tab/>
        <w:t>Break</w:t>
      </w:r>
    </w:p>
    <w:p w14:paraId="4B4CD7A1" w14:textId="77777777" w:rsidR="001C3846" w:rsidRPr="001C3846" w:rsidRDefault="001C3846" w:rsidP="001C3846"/>
    <w:p w14:paraId="27B5436F" w14:textId="342169A4" w:rsidR="00BA2D25" w:rsidRDefault="00BA2D25" w:rsidP="001C3846">
      <w:pPr>
        <w:ind w:left="2880" w:hanging="2880"/>
        <w:rPr>
          <w:b/>
        </w:rPr>
      </w:pPr>
      <w:r w:rsidRPr="00773580">
        <w:rPr>
          <w:rFonts w:cs="Arial"/>
          <w:b/>
        </w:rPr>
        <w:t xml:space="preserve">3:15 – </w:t>
      </w:r>
      <w:r w:rsidR="001C3846">
        <w:rPr>
          <w:rFonts w:cs="Arial"/>
          <w:b/>
        </w:rPr>
        <w:t>4:15</w:t>
      </w:r>
      <w:r w:rsidRPr="00773580">
        <w:rPr>
          <w:rFonts w:cs="Arial"/>
          <w:b/>
        </w:rPr>
        <w:t xml:space="preserve"> p.m.</w:t>
      </w:r>
      <w:r w:rsidR="001C3846">
        <w:rPr>
          <w:rFonts w:cs="Arial"/>
        </w:rPr>
        <w:tab/>
      </w:r>
      <w:r w:rsidR="001C3846">
        <w:rPr>
          <w:b/>
        </w:rPr>
        <w:t>Three Break-Out Groups formed to delve deep on select global governance reform challenges, risks, and opportunities on:</w:t>
      </w:r>
    </w:p>
    <w:p w14:paraId="6FE8BD95" w14:textId="2C717D86" w:rsidR="00BA2D25" w:rsidRDefault="001C3846" w:rsidP="00BA2D25">
      <w:pPr>
        <w:pStyle w:val="ListParagraph"/>
        <w:numPr>
          <w:ilvl w:val="0"/>
          <w:numId w:val="4"/>
        </w:numPr>
      </w:pPr>
      <w:r>
        <w:t>Coping with Violent Conflict and State Fragility</w:t>
      </w:r>
    </w:p>
    <w:p w14:paraId="18E955B9" w14:textId="69A6E159" w:rsidR="001C3846" w:rsidRDefault="001C3846" w:rsidP="00BA2D25">
      <w:pPr>
        <w:pStyle w:val="ListParagraph"/>
        <w:numPr>
          <w:ilvl w:val="0"/>
          <w:numId w:val="4"/>
        </w:numPr>
      </w:pPr>
      <w:r>
        <w:t>Climate Governance: Global Systems, Local Livelihoods</w:t>
      </w:r>
    </w:p>
    <w:p w14:paraId="422002E7" w14:textId="22E6C399" w:rsidR="001C3846" w:rsidRDefault="001C3846" w:rsidP="00BA2D25">
      <w:pPr>
        <w:pStyle w:val="ListParagraph"/>
        <w:numPr>
          <w:ilvl w:val="0"/>
          <w:numId w:val="4"/>
        </w:numPr>
      </w:pPr>
      <w:r>
        <w:t>Governing the Hyperconnected Global Economy</w:t>
      </w:r>
    </w:p>
    <w:p w14:paraId="09EA8134" w14:textId="1878ADB0" w:rsidR="001C3846" w:rsidRPr="00DB2848" w:rsidRDefault="001C3846" w:rsidP="005778B8">
      <w:pPr>
        <w:ind w:left="2880" w:hanging="2880"/>
      </w:pPr>
      <w:r w:rsidRPr="005778B8">
        <w:rPr>
          <w:b/>
        </w:rPr>
        <w:t>4:15 –</w:t>
      </w:r>
      <w:r w:rsidR="005778B8" w:rsidRPr="005778B8">
        <w:rPr>
          <w:b/>
        </w:rPr>
        <w:t xml:space="preserve"> 4:50 p.m.</w:t>
      </w:r>
      <w:r w:rsidR="005778B8" w:rsidRPr="005778B8">
        <w:rPr>
          <w:b/>
        </w:rPr>
        <w:tab/>
        <w:t>Three Break-Out Groups report back to the full class and participate in a moderated discussion that will aim to synthesize key global governance characteristics and challenges across efforts to solve problems and create opportunities in the three thematic areas of state fragility, climate governance, and the volatile global economy.</w:t>
      </w:r>
    </w:p>
    <w:p w14:paraId="4EBDF4AD" w14:textId="77777777" w:rsidR="00BA2D25" w:rsidRPr="00DB2848" w:rsidRDefault="00BA2D25" w:rsidP="00BA2D25">
      <w:pPr>
        <w:pStyle w:val="Title"/>
        <w:jc w:val="left"/>
        <w:rPr>
          <w:rFonts w:asciiTheme="minorHAnsi" w:hAnsiTheme="minorHAnsi"/>
          <w:b/>
          <w:i w:val="0"/>
          <w:sz w:val="22"/>
          <w:szCs w:val="22"/>
        </w:rPr>
      </w:pPr>
      <w:r>
        <w:rPr>
          <w:rFonts w:asciiTheme="minorHAnsi" w:hAnsiTheme="minorHAnsi" w:cs="Arial"/>
          <w:b/>
          <w:i w:val="0"/>
          <w:color w:val="000000"/>
          <w:sz w:val="22"/>
          <w:szCs w:val="22"/>
        </w:rPr>
        <w:t>4:50</w:t>
      </w:r>
      <w:r w:rsidRPr="00AA12CF">
        <w:rPr>
          <w:rFonts w:asciiTheme="minorHAnsi" w:hAnsiTheme="minorHAnsi" w:cs="Arial"/>
          <w:b/>
          <w:i w:val="0"/>
          <w:color w:val="000000"/>
          <w:sz w:val="22"/>
          <w:szCs w:val="22"/>
        </w:rPr>
        <w:t xml:space="preserve"> – 5:00 p.m.</w:t>
      </w:r>
      <w:r>
        <w:rPr>
          <w:rFonts w:cs="Arial"/>
          <w:b/>
          <w:color w:val="000000"/>
        </w:rPr>
        <w:tab/>
      </w:r>
      <w:r>
        <w:rPr>
          <w:rFonts w:cs="Arial"/>
          <w:b/>
          <w:color w:val="000000"/>
        </w:rPr>
        <w:tab/>
      </w:r>
      <w:r>
        <w:rPr>
          <w:rFonts w:asciiTheme="minorHAnsi" w:hAnsiTheme="minorHAnsi" w:cs="Arial"/>
          <w:b/>
          <w:i w:val="0"/>
          <w:color w:val="000000"/>
          <w:sz w:val="22"/>
          <w:szCs w:val="22"/>
        </w:rPr>
        <w:t>Review and Reflection</w:t>
      </w:r>
      <w:r w:rsidRPr="00DB2848">
        <w:rPr>
          <w:rFonts w:asciiTheme="minorHAnsi" w:hAnsiTheme="minorHAnsi"/>
          <w:b/>
          <w:i w:val="0"/>
          <w:sz w:val="22"/>
          <w:szCs w:val="22"/>
        </w:rPr>
        <w:t xml:space="preserve"> </w:t>
      </w:r>
    </w:p>
    <w:p w14:paraId="57AFDF2D" w14:textId="35C10845" w:rsidR="00BA2D25" w:rsidRDefault="00BA2D25" w:rsidP="005778B8">
      <w:pPr>
        <w:pStyle w:val="Title"/>
        <w:ind w:left="2880" w:hanging="2880"/>
        <w:jc w:val="left"/>
        <w:rPr>
          <w:rFonts w:asciiTheme="minorHAnsi" w:hAnsiTheme="minorHAnsi"/>
          <w:i w:val="0"/>
          <w:sz w:val="22"/>
          <w:szCs w:val="22"/>
        </w:rPr>
      </w:pPr>
      <w:r w:rsidRPr="00DB2848">
        <w:rPr>
          <w:rFonts w:asciiTheme="minorHAnsi" w:hAnsiTheme="minorHAnsi" w:cs="Arial"/>
          <w:sz w:val="22"/>
          <w:szCs w:val="22"/>
        </w:rPr>
        <w:tab/>
      </w:r>
      <w:r>
        <w:rPr>
          <w:rFonts w:asciiTheme="minorHAnsi" w:hAnsiTheme="minorHAnsi"/>
          <w:i w:val="0"/>
          <w:sz w:val="22"/>
          <w:szCs w:val="22"/>
        </w:rPr>
        <w:t>This session seeks to review and di</w:t>
      </w:r>
      <w:r w:rsidR="005778B8">
        <w:rPr>
          <w:rFonts w:asciiTheme="minorHAnsi" w:hAnsiTheme="minorHAnsi"/>
          <w:i w:val="0"/>
          <w:sz w:val="22"/>
          <w:szCs w:val="22"/>
        </w:rPr>
        <w:t>scuss the main themes of Day Two</w:t>
      </w:r>
      <w:r>
        <w:rPr>
          <w:rFonts w:asciiTheme="minorHAnsi" w:hAnsiTheme="minorHAnsi"/>
          <w:i w:val="0"/>
          <w:sz w:val="22"/>
          <w:szCs w:val="22"/>
        </w:rPr>
        <w:t xml:space="preserve">. </w:t>
      </w:r>
    </w:p>
    <w:p w14:paraId="49670D37" w14:textId="77777777" w:rsidR="005778B8" w:rsidRPr="005778B8" w:rsidRDefault="005778B8" w:rsidP="005778B8">
      <w:pPr>
        <w:pStyle w:val="Title"/>
        <w:ind w:left="2880" w:hanging="2880"/>
        <w:jc w:val="left"/>
        <w:rPr>
          <w:rFonts w:asciiTheme="minorHAnsi" w:hAnsiTheme="minorHAnsi"/>
          <w:i w:val="0"/>
          <w:sz w:val="22"/>
          <w:szCs w:val="22"/>
        </w:rPr>
      </w:pPr>
    </w:p>
    <w:p w14:paraId="11119BCA" w14:textId="77777777" w:rsidR="00BA2D25" w:rsidRPr="00DB2848" w:rsidRDefault="00BA2D25" w:rsidP="00BA2D25">
      <w:pPr>
        <w:rPr>
          <w:rFonts w:cs="Arial"/>
          <w:b/>
          <w:color w:val="000000"/>
        </w:rPr>
      </w:pPr>
      <w:r>
        <w:rPr>
          <w:rFonts w:cs="Arial"/>
          <w:b/>
          <w:color w:val="000000"/>
        </w:rPr>
        <w:t>5</w:t>
      </w:r>
      <w:r w:rsidRPr="00DB2848">
        <w:rPr>
          <w:rFonts w:cs="Arial"/>
          <w:b/>
          <w:color w:val="000000"/>
        </w:rPr>
        <w:t>:</w:t>
      </w:r>
      <w:r>
        <w:rPr>
          <w:rFonts w:cs="Arial"/>
          <w:b/>
          <w:color w:val="000000"/>
        </w:rPr>
        <w:t>00 p.m.</w:t>
      </w:r>
      <w:r>
        <w:rPr>
          <w:rFonts w:cs="Arial"/>
          <w:b/>
          <w:color w:val="000000"/>
        </w:rPr>
        <w:tab/>
      </w:r>
      <w:r>
        <w:rPr>
          <w:rFonts w:cs="Arial"/>
          <w:b/>
          <w:color w:val="000000"/>
        </w:rPr>
        <w:tab/>
      </w:r>
      <w:r>
        <w:rPr>
          <w:rFonts w:cs="Arial"/>
          <w:b/>
          <w:color w:val="000000"/>
        </w:rPr>
        <w:tab/>
        <w:t xml:space="preserve">Adjournment </w:t>
      </w:r>
    </w:p>
    <w:p w14:paraId="1E6B09CB" w14:textId="77777777" w:rsidR="0017453C" w:rsidRDefault="0017453C" w:rsidP="00EC7C59">
      <w:pPr>
        <w:rPr>
          <w:b/>
          <w:sz w:val="36"/>
          <w:szCs w:val="36"/>
        </w:rPr>
      </w:pPr>
    </w:p>
    <w:p w14:paraId="6500E25F" w14:textId="77777777" w:rsidR="00DF2166" w:rsidRDefault="00DF2166"/>
    <w:sectPr w:rsidR="00DF2166">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B1A64" w14:textId="77777777" w:rsidR="007E2C70" w:rsidRDefault="007E2C70" w:rsidP="005A0E8A">
      <w:pPr>
        <w:spacing w:after="0" w:line="240" w:lineRule="auto"/>
      </w:pPr>
      <w:r>
        <w:separator/>
      </w:r>
    </w:p>
  </w:endnote>
  <w:endnote w:type="continuationSeparator" w:id="0">
    <w:p w14:paraId="4EF408D6" w14:textId="77777777" w:rsidR="007E2C70" w:rsidRDefault="007E2C70" w:rsidP="005A0E8A">
      <w:pPr>
        <w:spacing w:after="0" w:line="240" w:lineRule="auto"/>
      </w:pPr>
      <w:r>
        <w:continuationSeparator/>
      </w:r>
    </w:p>
  </w:endnote>
  <w:endnote w:id="1">
    <w:p w14:paraId="742F9458" w14:textId="77777777" w:rsidR="006431E7" w:rsidRPr="00773D15" w:rsidRDefault="006431E7" w:rsidP="005A0E8A">
      <w:pPr>
        <w:pStyle w:val="glocofootnotetext"/>
      </w:pPr>
      <w:r w:rsidRPr="0004478E">
        <w:rPr>
          <w:rStyle w:val="EndnoteReference"/>
        </w:rPr>
        <w:endnoteRef/>
      </w:r>
      <w:r w:rsidRPr="00A43821">
        <w:t xml:space="preserve"> Commission on Global Governance, </w:t>
      </w:r>
      <w:r w:rsidRPr="00C63586">
        <w:rPr>
          <w:i/>
        </w:rPr>
        <w:t>Our Global Neighborhood</w:t>
      </w:r>
      <w:r w:rsidRPr="00773D15">
        <w:t xml:space="preserve"> (Oxford Univ. Press, 1995), 2.</w:t>
      </w:r>
    </w:p>
  </w:endnote>
  <w:endnote w:id="2">
    <w:p w14:paraId="605AEE2D" w14:textId="77777777" w:rsidR="006431E7" w:rsidRPr="009871C4" w:rsidRDefault="006431E7" w:rsidP="005A0E8A">
      <w:pPr>
        <w:pStyle w:val="glocofootnotetext"/>
      </w:pPr>
      <w:r w:rsidRPr="009871C4">
        <w:rPr>
          <w:rStyle w:val="EndnoteReference"/>
        </w:rPr>
        <w:endnoteRef/>
      </w:r>
      <w:r w:rsidRPr="009871C4">
        <w:t xml:space="preserve"> Arnold Wolfers, </w:t>
      </w:r>
      <w:r w:rsidRPr="009871C4">
        <w:rPr>
          <w:i/>
        </w:rPr>
        <w:t>Discord and Collaboration: Essays on International Politics</w:t>
      </w:r>
      <w:r w:rsidRPr="009871C4">
        <w:t xml:space="preserve"> (Johns Hopkins University Press, 1962).</w:t>
      </w:r>
      <w:bookmarkStart w:id="0" w:name="_GoBack"/>
      <w:bookmarkEnd w:id="0"/>
    </w:p>
  </w:endnote>
  <w:endnote w:id="3">
    <w:p w14:paraId="1B701814" w14:textId="77777777" w:rsidR="006431E7" w:rsidRPr="009871C4" w:rsidRDefault="006431E7" w:rsidP="005A0E8A">
      <w:pPr>
        <w:pStyle w:val="glocofootnotetext"/>
      </w:pPr>
      <w:r w:rsidRPr="00D57707">
        <w:rPr>
          <w:rStyle w:val="EndnoteReference"/>
        </w:rPr>
        <w:endnoteRef/>
      </w:r>
      <w:r w:rsidRPr="00EB3158">
        <w:t xml:space="preserve"> James Rosenau, “Toward an Ontology for Global Governance,” in </w:t>
      </w:r>
      <w:r w:rsidRPr="009871C4">
        <w:rPr>
          <w:i/>
        </w:rPr>
        <w:t>Approaches to Global Governance Theory</w:t>
      </w:r>
      <w:r w:rsidRPr="009871C4">
        <w:t>, eds. Martin Hewson and Timothy J. Sinclair (SUNY Press, 1999), 296.</w:t>
      </w:r>
    </w:p>
  </w:endnote>
  <w:endnote w:id="4">
    <w:p w14:paraId="3658880A" w14:textId="77777777" w:rsidR="006431E7" w:rsidRPr="009871C4" w:rsidRDefault="006431E7" w:rsidP="005A0E8A">
      <w:pPr>
        <w:pStyle w:val="glocofootnotetext"/>
      </w:pPr>
      <w:r w:rsidRPr="009871C4">
        <w:rPr>
          <w:rStyle w:val="EndnoteReference"/>
        </w:rPr>
        <w:endnoteRef/>
      </w:r>
      <w:r w:rsidRPr="009871C4">
        <w:t xml:space="preserve"> David Lake, </w:t>
      </w:r>
      <w:r w:rsidRPr="009871C4">
        <w:rPr>
          <w:i/>
        </w:rPr>
        <w:t>Hierarchy in International Relations</w:t>
      </w:r>
      <w:r w:rsidRPr="009871C4">
        <w:t xml:space="preserve"> (Cornell University Press, 2011), 20–22.</w:t>
      </w:r>
    </w:p>
  </w:endnote>
  <w:endnote w:id="5">
    <w:p w14:paraId="7D67BA20" w14:textId="77777777" w:rsidR="006431E7" w:rsidRPr="009871C4" w:rsidRDefault="006431E7" w:rsidP="005A0E8A">
      <w:pPr>
        <w:pStyle w:val="glocofootnotetext"/>
      </w:pPr>
      <w:r w:rsidRPr="009871C4">
        <w:rPr>
          <w:rStyle w:val="EndnoteReference"/>
        </w:rPr>
        <w:endnoteRef/>
      </w:r>
      <w:r w:rsidRPr="009871C4">
        <w:t xml:space="preserve"> David Lake, “Rightful Rules: Authority, Order, and the Foundations of Global Governance,” </w:t>
      </w:r>
      <w:r w:rsidRPr="009871C4">
        <w:rPr>
          <w:i/>
        </w:rPr>
        <w:t xml:space="preserve">International Studies Quarterly </w:t>
      </w:r>
      <w:r w:rsidRPr="009871C4">
        <w:t>54 (2010): 590.</w:t>
      </w:r>
    </w:p>
  </w:endnote>
  <w:endnote w:id="6">
    <w:p w14:paraId="0F5C5D4E" w14:textId="77777777" w:rsidR="006431E7" w:rsidRDefault="006431E7" w:rsidP="005A0E8A">
      <w:pPr>
        <w:pStyle w:val="glocofootnotetext"/>
      </w:pPr>
      <w:r>
        <w:rPr>
          <w:rStyle w:val="EndnoteReference"/>
        </w:rPr>
        <w:endnoteRef/>
      </w:r>
      <w:r>
        <w:t xml:space="preserve"> Daniel Bodansky, </w:t>
      </w:r>
      <w:r w:rsidRPr="002F13AD">
        <w:t>“What’s in a Concept? Global Public Goods, International Law, and Legitimacy,” European Journal of International Law 23 (2012): 65</w:t>
      </w:r>
      <w:r>
        <w:t>2</w:t>
      </w:r>
      <w:r w:rsidRPr="002F13AD">
        <w:t>.</w:t>
      </w:r>
    </w:p>
  </w:endnote>
  <w:endnote w:id="7">
    <w:p w14:paraId="65744097" w14:textId="77777777" w:rsidR="006431E7" w:rsidRDefault="006431E7" w:rsidP="005A0E8A">
      <w:pPr>
        <w:pStyle w:val="glocofootnotetext"/>
      </w:pPr>
      <w:r>
        <w:rPr>
          <w:rStyle w:val="EndnoteReference"/>
        </w:rPr>
        <w:endnoteRef/>
      </w:r>
      <w:r>
        <w:t xml:space="preserve"> </w:t>
      </w:r>
      <w:r w:rsidRPr="008B3FB3">
        <w:t xml:space="preserve">Scott Barrett, </w:t>
      </w:r>
      <w:r>
        <w:t>“</w:t>
      </w:r>
      <w:r w:rsidRPr="008B3FB3">
        <w:t>Why Cooperate? The Incentive to Supply Global Public Goods (Oxford: Oxford University Press, 2007)</w:t>
      </w:r>
      <w:r>
        <w:t>, 64.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E0E35" w14:textId="77777777" w:rsidR="006431E7" w:rsidRDefault="006431E7" w:rsidP="005A0E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53A5AE" w14:textId="77777777" w:rsidR="006431E7" w:rsidRDefault="006431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908EC" w14:textId="77777777" w:rsidR="006431E7" w:rsidRDefault="006431E7" w:rsidP="005A0E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969DE">
      <w:rPr>
        <w:rStyle w:val="PageNumber"/>
        <w:noProof/>
      </w:rPr>
      <w:t>1</w:t>
    </w:r>
    <w:r>
      <w:rPr>
        <w:rStyle w:val="PageNumber"/>
      </w:rPr>
      <w:fldChar w:fldCharType="end"/>
    </w:r>
  </w:p>
  <w:p w14:paraId="20C82C77" w14:textId="77777777" w:rsidR="006431E7" w:rsidRDefault="006431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A503B" w14:textId="77777777" w:rsidR="007E2C70" w:rsidRDefault="007E2C70" w:rsidP="005A0E8A">
      <w:pPr>
        <w:spacing w:after="0" w:line="240" w:lineRule="auto"/>
      </w:pPr>
      <w:r>
        <w:separator/>
      </w:r>
    </w:p>
  </w:footnote>
  <w:footnote w:type="continuationSeparator" w:id="0">
    <w:p w14:paraId="3F30B9C1" w14:textId="77777777" w:rsidR="007E2C70" w:rsidRDefault="007E2C70" w:rsidP="005A0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05433"/>
    <w:multiLevelType w:val="hybridMultilevel"/>
    <w:tmpl w:val="E48444C0"/>
    <w:lvl w:ilvl="0" w:tplc="04090001">
      <w:start w:val="1"/>
      <w:numFmt w:val="bullet"/>
      <w:lvlText w:val=""/>
      <w:lvlJc w:val="left"/>
      <w:pPr>
        <w:tabs>
          <w:tab w:val="num" w:pos="3600"/>
        </w:tabs>
        <w:ind w:left="3600" w:hanging="360"/>
      </w:pPr>
      <w:rPr>
        <w:rFonts w:ascii="Symbol" w:hAnsi="Symbol" w:hint="default"/>
        <w:i w:val="0"/>
        <w:sz w:val="20"/>
        <w:szCs w:val="20"/>
      </w:rPr>
    </w:lvl>
    <w:lvl w:ilvl="1" w:tplc="04090003">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 w15:restartNumberingAfterBreak="0">
    <w:nsid w:val="3E904FBD"/>
    <w:multiLevelType w:val="hybridMultilevel"/>
    <w:tmpl w:val="8FD0AF1C"/>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56DE536A"/>
    <w:multiLevelType w:val="hybridMultilevel"/>
    <w:tmpl w:val="C348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67AA2"/>
    <w:multiLevelType w:val="hybridMultilevel"/>
    <w:tmpl w:val="6FA45CD8"/>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166"/>
    <w:rsid w:val="00092676"/>
    <w:rsid w:val="0017453C"/>
    <w:rsid w:val="001C3846"/>
    <w:rsid w:val="00377130"/>
    <w:rsid w:val="004E07C8"/>
    <w:rsid w:val="005778B8"/>
    <w:rsid w:val="005A0E8A"/>
    <w:rsid w:val="006431E7"/>
    <w:rsid w:val="0077562E"/>
    <w:rsid w:val="007E2C70"/>
    <w:rsid w:val="008530AD"/>
    <w:rsid w:val="00A474D3"/>
    <w:rsid w:val="00AB0652"/>
    <w:rsid w:val="00B969DE"/>
    <w:rsid w:val="00BA2D25"/>
    <w:rsid w:val="00C86BDB"/>
    <w:rsid w:val="00DF2166"/>
    <w:rsid w:val="00EC7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975132"/>
  <w15:docId w15:val="{4C692421-0391-452E-9BB2-4FC1E29E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166"/>
  </w:style>
  <w:style w:type="paragraph" w:styleId="Heading3">
    <w:name w:val="heading 3"/>
    <w:basedOn w:val="Normal"/>
    <w:next w:val="Normal"/>
    <w:link w:val="Heading3Char"/>
    <w:uiPriority w:val="9"/>
    <w:semiHidden/>
    <w:unhideWhenUsed/>
    <w:qFormat/>
    <w:rsid w:val="005A0E8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166"/>
    <w:pPr>
      <w:ind w:left="720"/>
      <w:contextualSpacing/>
    </w:pPr>
  </w:style>
  <w:style w:type="character" w:styleId="Hyperlink">
    <w:name w:val="Hyperlink"/>
    <w:basedOn w:val="DefaultParagraphFont"/>
    <w:uiPriority w:val="99"/>
    <w:unhideWhenUsed/>
    <w:rsid w:val="00DF2166"/>
    <w:rPr>
      <w:strike w:val="0"/>
      <w:dstrike w:val="0"/>
      <w:color w:val="123965"/>
      <w:u w:val="none"/>
      <w:effect w:val="none"/>
    </w:rPr>
  </w:style>
  <w:style w:type="paragraph" w:styleId="Title">
    <w:name w:val="Title"/>
    <w:basedOn w:val="Normal"/>
    <w:link w:val="TitleChar"/>
    <w:qFormat/>
    <w:rsid w:val="00DF2166"/>
    <w:pPr>
      <w:spacing w:after="0" w:line="240" w:lineRule="auto"/>
      <w:jc w:val="center"/>
    </w:pPr>
    <w:rPr>
      <w:rFonts w:ascii="Times New Roman" w:eastAsia="Times New Roman" w:hAnsi="Times New Roman" w:cs="Times New Roman"/>
      <w:i/>
      <w:sz w:val="24"/>
      <w:szCs w:val="20"/>
      <w:lang w:eastAsia="zh-CN"/>
    </w:rPr>
  </w:style>
  <w:style w:type="character" w:customStyle="1" w:styleId="TitleChar">
    <w:name w:val="Title Char"/>
    <w:basedOn w:val="DefaultParagraphFont"/>
    <w:link w:val="Title"/>
    <w:rsid w:val="00DF2166"/>
    <w:rPr>
      <w:rFonts w:ascii="Times New Roman" w:eastAsia="Times New Roman" w:hAnsi="Times New Roman" w:cs="Times New Roman"/>
      <w:i/>
      <w:sz w:val="24"/>
      <w:szCs w:val="20"/>
      <w:lang w:eastAsia="zh-CN"/>
    </w:rPr>
  </w:style>
  <w:style w:type="paragraph" w:styleId="PlainText">
    <w:name w:val="Plain Text"/>
    <w:basedOn w:val="Normal"/>
    <w:link w:val="PlainTextChar"/>
    <w:uiPriority w:val="99"/>
    <w:unhideWhenUsed/>
    <w:rsid w:val="00DF2166"/>
    <w:pPr>
      <w:spacing w:after="0" w:line="240" w:lineRule="auto"/>
    </w:pPr>
    <w:rPr>
      <w:rFonts w:ascii="Calibri" w:eastAsia="Calibri" w:hAnsi="Calibri" w:cs="Times New Roman"/>
      <w:sz w:val="24"/>
      <w:szCs w:val="21"/>
    </w:rPr>
  </w:style>
  <w:style w:type="character" w:customStyle="1" w:styleId="PlainTextChar">
    <w:name w:val="Plain Text Char"/>
    <w:basedOn w:val="DefaultParagraphFont"/>
    <w:link w:val="PlainText"/>
    <w:uiPriority w:val="99"/>
    <w:rsid w:val="00DF2166"/>
    <w:rPr>
      <w:rFonts w:ascii="Calibri" w:eastAsia="Calibri" w:hAnsi="Calibri" w:cs="Times New Roman"/>
      <w:sz w:val="24"/>
      <w:szCs w:val="21"/>
    </w:rPr>
  </w:style>
  <w:style w:type="paragraph" w:customStyle="1" w:styleId="CM9">
    <w:name w:val="CM9"/>
    <w:basedOn w:val="Normal"/>
    <w:next w:val="Normal"/>
    <w:uiPriority w:val="99"/>
    <w:rsid w:val="00DF2166"/>
    <w:pPr>
      <w:widowControl w:val="0"/>
      <w:autoSpaceDE w:val="0"/>
      <w:autoSpaceDN w:val="0"/>
      <w:adjustRightInd w:val="0"/>
      <w:spacing w:after="0" w:line="240" w:lineRule="auto"/>
    </w:pPr>
    <w:rPr>
      <w:rFonts w:ascii="Calibri" w:eastAsia="Times New Roman" w:hAnsi="Calibri" w:cs="Times New Roman"/>
      <w:sz w:val="24"/>
      <w:szCs w:val="24"/>
    </w:rPr>
  </w:style>
  <w:style w:type="character" w:styleId="EndnoteReference">
    <w:name w:val="endnote reference"/>
    <w:uiPriority w:val="99"/>
    <w:rsid w:val="005A0E8A"/>
    <w:rPr>
      <w:vertAlign w:val="superscript"/>
    </w:rPr>
  </w:style>
  <w:style w:type="paragraph" w:styleId="NoSpacing">
    <w:name w:val="No Spacing"/>
    <w:uiPriority w:val="1"/>
    <w:qFormat/>
    <w:rsid w:val="005A0E8A"/>
    <w:pPr>
      <w:spacing w:after="0" w:line="240" w:lineRule="auto"/>
    </w:pPr>
    <w:rPr>
      <w:rFonts w:ascii="Times New Roman" w:hAnsi="Times New Roman"/>
      <w:lang w:val="en-GB"/>
    </w:rPr>
  </w:style>
  <w:style w:type="paragraph" w:customStyle="1" w:styleId="gloconormal">
    <w:name w:val="gloco normal"/>
    <w:basedOn w:val="Normal"/>
    <w:link w:val="gloconormalChar"/>
    <w:qFormat/>
    <w:rsid w:val="005A0E8A"/>
    <w:pPr>
      <w:spacing w:after="0" w:line="240" w:lineRule="auto"/>
    </w:pPr>
    <w:rPr>
      <w:rFonts w:ascii="Times New Roman" w:eastAsiaTheme="minorEastAsia" w:hAnsi="Times New Roman"/>
      <w:sz w:val="24"/>
      <w:szCs w:val="24"/>
    </w:rPr>
  </w:style>
  <w:style w:type="character" w:customStyle="1" w:styleId="gloconormalChar">
    <w:name w:val="gloco normal Char"/>
    <w:basedOn w:val="DefaultParagraphFont"/>
    <w:link w:val="gloconormal"/>
    <w:rsid w:val="005A0E8A"/>
    <w:rPr>
      <w:rFonts w:ascii="Times New Roman" w:eastAsiaTheme="minorEastAsia" w:hAnsi="Times New Roman"/>
      <w:sz w:val="24"/>
      <w:szCs w:val="24"/>
    </w:rPr>
  </w:style>
  <w:style w:type="paragraph" w:customStyle="1" w:styleId="glocoheading3">
    <w:name w:val="gloco heading 3"/>
    <w:basedOn w:val="Heading3"/>
    <w:link w:val="glocoheading3Char"/>
    <w:qFormat/>
    <w:rsid w:val="005A0E8A"/>
    <w:pPr>
      <w:spacing w:before="0" w:line="240" w:lineRule="auto"/>
    </w:pPr>
    <w:rPr>
      <w:rFonts w:ascii="Calibri" w:hAnsi="Calibri"/>
      <w:b w:val="0"/>
      <w:i/>
      <w:color w:val="000000" w:themeColor="text1"/>
      <w:sz w:val="24"/>
      <w:szCs w:val="24"/>
    </w:rPr>
  </w:style>
  <w:style w:type="character" w:customStyle="1" w:styleId="glocoheading3Char">
    <w:name w:val="gloco heading 3 Char"/>
    <w:basedOn w:val="DefaultParagraphFont"/>
    <w:link w:val="glocoheading3"/>
    <w:rsid w:val="005A0E8A"/>
    <w:rPr>
      <w:rFonts w:ascii="Calibri" w:eastAsiaTheme="majorEastAsia" w:hAnsi="Calibri" w:cstheme="majorBidi"/>
      <w:bCs/>
      <w:i/>
      <w:color w:val="000000" w:themeColor="text1"/>
      <w:sz w:val="24"/>
      <w:szCs w:val="24"/>
    </w:rPr>
  </w:style>
  <w:style w:type="paragraph" w:customStyle="1" w:styleId="gloconormalindented">
    <w:name w:val="gloco normal indented"/>
    <w:basedOn w:val="Normal"/>
    <w:link w:val="gloconormalindentedChar"/>
    <w:qFormat/>
    <w:rsid w:val="005A0E8A"/>
    <w:pPr>
      <w:spacing w:after="0" w:line="240" w:lineRule="auto"/>
      <w:ind w:left="360"/>
    </w:pPr>
    <w:rPr>
      <w:rFonts w:ascii="Times New Roman" w:eastAsiaTheme="minorEastAsia" w:hAnsi="Times New Roman" w:cs="Times New Roman"/>
      <w:sz w:val="24"/>
      <w:szCs w:val="24"/>
    </w:rPr>
  </w:style>
  <w:style w:type="character" w:customStyle="1" w:styleId="gloconormalindentedChar">
    <w:name w:val="gloco normal indented Char"/>
    <w:basedOn w:val="DefaultParagraphFont"/>
    <w:link w:val="gloconormalindented"/>
    <w:rsid w:val="005A0E8A"/>
    <w:rPr>
      <w:rFonts w:ascii="Times New Roman" w:eastAsiaTheme="minorEastAsia" w:hAnsi="Times New Roman" w:cs="Times New Roman"/>
      <w:sz w:val="24"/>
      <w:szCs w:val="24"/>
    </w:rPr>
  </w:style>
  <w:style w:type="paragraph" w:customStyle="1" w:styleId="glocofootnotereference">
    <w:name w:val="gloco footnote reference"/>
    <w:basedOn w:val="Normal"/>
    <w:link w:val="glocofootnotereferenceChar"/>
    <w:qFormat/>
    <w:rsid w:val="005A0E8A"/>
    <w:pPr>
      <w:spacing w:after="0" w:line="240" w:lineRule="auto"/>
    </w:pPr>
    <w:rPr>
      <w:rFonts w:ascii="Times New Roman" w:eastAsiaTheme="minorEastAsia" w:hAnsi="Times New Roman"/>
      <w:sz w:val="18"/>
      <w:szCs w:val="24"/>
      <w:vertAlign w:val="superscript"/>
    </w:rPr>
  </w:style>
  <w:style w:type="character" w:customStyle="1" w:styleId="glocofootnotereferenceChar">
    <w:name w:val="gloco footnote reference Char"/>
    <w:basedOn w:val="DefaultParagraphFont"/>
    <w:link w:val="glocofootnotereference"/>
    <w:rsid w:val="005A0E8A"/>
    <w:rPr>
      <w:rFonts w:ascii="Times New Roman" w:eastAsiaTheme="minorEastAsia" w:hAnsi="Times New Roman"/>
      <w:sz w:val="18"/>
      <w:szCs w:val="24"/>
      <w:vertAlign w:val="superscript"/>
    </w:rPr>
  </w:style>
  <w:style w:type="paragraph" w:customStyle="1" w:styleId="glocofootnotetext">
    <w:name w:val="gloco footnote text"/>
    <w:basedOn w:val="Normal"/>
    <w:link w:val="glocofootnotetextChar"/>
    <w:qFormat/>
    <w:rsid w:val="005A0E8A"/>
    <w:pPr>
      <w:spacing w:after="0" w:line="240" w:lineRule="auto"/>
      <w:ind w:left="144" w:hanging="144"/>
    </w:pPr>
    <w:rPr>
      <w:rFonts w:ascii="Times New Roman" w:eastAsiaTheme="minorEastAsia" w:hAnsi="Times New Roman"/>
      <w:sz w:val="20"/>
      <w:szCs w:val="24"/>
    </w:rPr>
  </w:style>
  <w:style w:type="character" w:customStyle="1" w:styleId="glocofootnotetextChar">
    <w:name w:val="gloco footnote text Char"/>
    <w:basedOn w:val="DefaultParagraphFont"/>
    <w:link w:val="glocofootnotetext"/>
    <w:rsid w:val="005A0E8A"/>
    <w:rPr>
      <w:rFonts w:ascii="Times New Roman" w:eastAsiaTheme="minorEastAsia" w:hAnsi="Times New Roman"/>
      <w:sz w:val="20"/>
      <w:szCs w:val="24"/>
    </w:rPr>
  </w:style>
  <w:style w:type="table" w:styleId="TableGrid">
    <w:name w:val="Table Grid"/>
    <w:basedOn w:val="TableNormal"/>
    <w:uiPriority w:val="59"/>
    <w:rsid w:val="005A0E8A"/>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A0E8A"/>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5A0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5A0E8A"/>
  </w:style>
  <w:style w:type="character" w:styleId="PageNumber">
    <w:name w:val="page number"/>
    <w:basedOn w:val="DefaultParagraphFont"/>
    <w:uiPriority w:val="99"/>
    <w:semiHidden/>
    <w:unhideWhenUsed/>
    <w:rsid w:val="005A0E8A"/>
  </w:style>
  <w:style w:type="character" w:customStyle="1" w:styleId="aqj">
    <w:name w:val="aqj"/>
    <w:basedOn w:val="DefaultParagraphFont"/>
    <w:rsid w:val="00EC7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82936707">
          <w:marLeft w:val="0"/>
          <w:marRight w:val="0"/>
          <w:marTop w:val="0"/>
          <w:marBottom w:val="0"/>
          <w:divBdr>
            <w:top w:val="none" w:sz="0" w:space="0" w:color="auto"/>
            <w:left w:val="none" w:sz="0" w:space="0" w:color="auto"/>
            <w:bottom w:val="none" w:sz="0" w:space="0" w:color="auto"/>
            <w:right w:val="none" w:sz="0" w:space="0" w:color="auto"/>
          </w:divBdr>
        </w:div>
        <w:div w:id="753285422">
          <w:marLeft w:val="0"/>
          <w:marRight w:val="0"/>
          <w:marTop w:val="0"/>
          <w:marBottom w:val="0"/>
          <w:divBdr>
            <w:top w:val="none" w:sz="0" w:space="0" w:color="auto"/>
            <w:left w:val="none" w:sz="0" w:space="0" w:color="auto"/>
            <w:bottom w:val="none" w:sz="0" w:space="0" w:color="auto"/>
            <w:right w:val="none" w:sz="0" w:space="0" w:color="auto"/>
          </w:divBdr>
        </w:div>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globalsecurityjusticegovernanc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Farhadi, Adib</dc:creator>
  <cp:keywords/>
  <dc:description/>
  <cp:lastModifiedBy>Farhadi, Adib</cp:lastModifiedBy>
  <cp:revision>2</cp:revision>
  <dcterms:created xsi:type="dcterms:W3CDTF">2015-11-25T01:44:00Z</dcterms:created>
  <dcterms:modified xsi:type="dcterms:W3CDTF">2015-11-25T01:44:00Z</dcterms:modified>
</cp:coreProperties>
</file>