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SSW-695-A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brief one page description that: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provides a team name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Stove &amp; Oven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We’ll be meeting online via Google Hangouts on Mondays 7:30pm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provides a brief description of the project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This project is a continuation of last semester’s Recipe Planner web application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This semester we plan to investigate the possibility of: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Add additional new functionality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Landing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More pages?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Recipe Management Controls (To be able to pull from other sources, other than Spoonacular API)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Refactoring the application logic for scalability or user experience (faster)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(i.e. search algorithms / graph vs. dumping out entire list)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Test application performance using some type of tool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Add additional authentication mechanisms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Already have Google Auth, or others?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Implement Local Authentication with the existing Google Auth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Harden and Secure the Application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Testing Controls to manage changes from Staging Heroku to Production Heroku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Operational Requirements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External Monitoring System?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Productionize (Scaling to handle user load)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Separate Databases for Different Environments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Scale Web Application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Scale Database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Separation of User Database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Separation of Recipe Database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APM to manage application performance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lists the team members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Robert Chin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Yinghui Cai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Tanvi Hanamshet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Sadie Stokes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Abhijit Amin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provides a URL to the GitHub location where the project will be maintained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https://github.com/rasodu/Prep_Your_Meal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sodu/Prep_Your_M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