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Kitewing Board Meeting, Q3 2026: Deck Outline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Meeting date: September 18, 2026. Prepared by Noor Haddad and Tobias Mbeki. Board: Noor Haddad, Felix Arrowood, Carmen Delacroix (Northbay Ventures), independent seat vacant.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Slide 1. Headline numbers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ARR $4.1M at end of August, up from $3.2M at end of Q1.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Net revenue retention 118%.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Gross margin 74%.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Cash $7.3M; monthly net burn $410k; runway 17 months.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Slide 2. Pricing change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Growth tier moves from $299 to $349 per location per month for new customers from October 1, 2026 (decided in #pricing-decisions on September 9). Existing customers grandfathered through March 31, 2027.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Slide 3. Pantry 2.0 launch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Supplier price alerts and auto-reorder ship November 4, 2026. Launch plan owned by Rafa Oyelaran.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Slide 4. Risks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Security and compliance: no owner since July. Three enterprise deals (Saltgrass Hospitality, Juniper Row Group, Marrow and Vine) are waiting on security questionnaires.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August 14 ordering outage cost 6 hours of order submission; postmortem done.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Slide 5. Asks and commitments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Board asked for a named security owner by the Q4 meeting.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Tobias to present a 2027 operating plan at the December 10, 2026 board meeting.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Approve hiring plan: 6 roles in Q4 (3 engineering, 2 sales, 1 security lead).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