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Kitewing Information Security Policy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Version 1.3. Effective March 1, 2026.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Policy owner: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Review cadence: annually, or after any security incident.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Scope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policy applies to all Kitewing employees, contractors and systems that store or process customer data, including restaurant inventory data, supplier price lists and customer staff contact details.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Access control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All employees use Okta SSO with hardware-key or push MFA. SMS MFA is not allowed.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Production database access requires an approved request in the #prod-access channel and expires after 8 hours.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Access reviews are run quarterly. The last completed access review was for Q1 2026.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Devices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Laptops are managed with Kandji, disk encryption is required, and screens lock after 5 minutes. Lost devices must be reported within 4 hours.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Data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Customer data is stored in AWS us-west-2 only. Backups are kept for 35 days. Customer data is deleted within 60 days after contract termination.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Incidents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Suspected security incidents are reported in #security-incidents and to the on-call engineer. Customers affected by a confirmed breach are notified within 72 hours.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Vendors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Vendors that process customer data need a security review before contract signature. The vendor list is kept by Ops.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Training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Security awareness training is required at onboarding and annually.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