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CachePilot — Master Specification</w:t>
      </w:r>
    </w:p>
    <w:p>
      <w:pPr>
        <w:jc w:val="center"/>
      </w:pPr>
      <w:r>
        <w:rPr>
          <w:i/>
        </w:rPr>
        <w:t>Semantic Caching &amp; Cost-Aware Model Routing for RAG</w:t>
      </w:r>
    </w:p>
    <w:p>
      <w:r>
        <w:t>Version 1.0 | 27 October 2026 | Engineering specification for an independently buildable portfolio project</w:t>
      </w:r>
    </w:p>
    <w:p>
      <w:r>
        <w:t>Document control: Treat this document as the project-specific source of truth. If implementation choices change, update the relevant decision record and tests.</w:t>
      </w:r>
    </w:p>
    <w:p>
      <w:pPr>
        <w:pStyle w:val="Heading1"/>
      </w:pPr>
      <w:r>
        <w:t>Product overview</w:t>
      </w:r>
    </w:p>
    <w:p>
      <w:r>
        <w:t>RAG applications can spend too much on repeated questions and route trivial requests to expensive models. They also need evidence that savings do not silently reduce answer quality.</w:t>
      </w:r>
    </w:p>
    <w:p>
      <w:pPr>
        <w:pStyle w:val="Heading1"/>
      </w:pPr>
      <w:r>
        <w:t>Objectives and non-goals</w:t>
      </w:r>
    </w:p>
    <w:p>
      <w:pPr>
        <w:pStyle w:val="ListBullet"/>
      </w:pPr>
      <w:r>
        <w:t>Build an observable RAG gateway that combines embedding-similarity caching, policy-driven model routing, grounded answer generation, per-request cost and latency accounting, and an evaluation harness.</w:t>
      </w:r>
    </w:p>
    <w:p>
      <w:pPr>
        <w:pStyle w:val="ListBullet"/>
      </w:pPr>
      <w:r>
        <w:t>Deliver a runnable local development environment with deterministic setup instructions and sample data.</w:t>
      </w:r>
    </w:p>
    <w:p>
      <w:pPr>
        <w:pStyle w:val="ListBullet"/>
      </w:pPr>
      <w:r>
        <w:t>Provide API contracts, automated tests, security controls, operational telemetry, and reproducible evaluation evidence.</w:t>
      </w:r>
    </w:p>
    <w:p>
      <w:pPr>
        <w:pStyle w:val="ListBullet"/>
      </w:pPr>
      <w:r>
        <w:t>Keep external services behind adapters so providers can be replaced without rewriting business logic.</w:t>
      </w:r>
    </w:p>
    <w:p>
      <w:pPr>
        <w:pStyle w:val="ListBullet"/>
      </w:pPr>
      <w:r>
        <w:t>Non-goal: claiming production certification, guaranteed savings/accuracy, or enterprise compliance without measured evidence.</w:t>
      </w:r>
    </w:p>
    <w:p>
      <w:pPr>
        <w:pStyle w:val="Heading1"/>
      </w:pPr>
      <w:r>
        <w:t>Architecture and technology</w:t>
      </w:r>
    </w:p>
    <w:p>
      <w:pPr>
        <w:pStyle w:val="ListBullet"/>
      </w:pPr>
      <w:r>
        <w:t>Frontend: React + TypeScript + Vite + Tailwind CSS; typed API client; accessible loading, empty, error, and permission-denied states.</w:t>
      </w:r>
    </w:p>
    <w:p>
      <w:pPr>
        <w:pStyle w:val="ListBullet"/>
      </w:pPr>
      <w:r>
        <w:t>Backend: Python + FastAPI + Pydantic; layered modules for API, services, repositories, domain models, adapters, and configuration.</w:t>
      </w:r>
    </w:p>
    <w:p>
      <w:pPr>
        <w:pStyle w:val="ListBullet"/>
      </w:pPr>
      <w:r>
        <w:t>Persistence: PostgreSQL with migrations; pgvector for embeddings; Redis where caching/queues are needed.</w:t>
      </w:r>
    </w:p>
    <w:p>
      <w:pPr>
        <w:pStyle w:val="ListBullet"/>
      </w:pPr>
      <w:r>
        <w:t>LLM/embedding providers: interfaces plus at least one configurable implementation and a deterministic mock provider for tests.</w:t>
      </w:r>
    </w:p>
    <w:p>
      <w:pPr>
        <w:pStyle w:val="ListBullet"/>
      </w:pPr>
      <w:r>
        <w:t>Deployment: Docker Compose for local services; health checks; .env.example containing names and safe placeholders only.</w:t>
      </w:r>
    </w:p>
    <w:p>
      <w:pPr>
        <w:pStyle w:val="ListBullet"/>
      </w:pPr>
      <w:r>
        <w:t>Testing: Pytest for unit/integration tests; frontend component tests; API contract tests; end-to-end smoke tests.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Request API: Accept query, tenant/user context, conversation context when enabled, requested response mode, and correlation ID. Validate payloads and apply rate limits.</w:t>
      </w:r>
    </w:p>
    <w:p>
      <w:pPr>
        <w:pStyle w:val="ListBullet"/>
      </w:pPr>
      <w:r>
        <w:t>Policy and cache safety: Normalize query text; construct a cache key that includes tenant, authorization scope, embedding/model version, corpus version, prompt version, and relevant generation settings. Never share cached answers across incompatible security scopes.</w:t>
      </w:r>
    </w:p>
    <w:p>
      <w:pPr>
        <w:pStyle w:val="ListBullet"/>
      </w:pPr>
      <w:r>
        <w:t>Semantic cache: Create query embeddings; retrieve candidate cached questions; use a configurable similarity threshold and optional exact-match fallback. Return a cache hit only when scope and freshness checks pass. Support TTL, invalidation, and cache bypass.</w:t>
      </w:r>
    </w:p>
    <w:p>
      <w:pPr>
        <w:pStyle w:val="ListBullet"/>
      </w:pPr>
      <w:r>
        <w:t>Cost-aware router: Classify request complexity using configurable rules and/or a lightweight model. Select small/large model based on complexity, context size, required reasoning, confidence, latency target, and budget policy. Provide deterministic fallback when a provider fails.</w:t>
      </w:r>
    </w:p>
    <w:p>
      <w:pPr>
        <w:pStyle w:val="ListBullet"/>
      </w:pPr>
      <w:r>
        <w:t>RAG pipeline: Retrieve relevant chunks, assemble bounded context, generate cited answers, and return source references. Keep retrieval and generation separately measurable.</w:t>
      </w:r>
    </w:p>
    <w:p>
      <w:pPr>
        <w:pStyle w:val="ListBullet"/>
      </w:pPr>
      <w:r>
        <w:t>Usage ledger and dashboard: Record model/provider, token usage when available, estimated cost, cache status, retrieval/generation latency, total latency, route reason, quality signals, and errors. Label estimates separately from provider-reported billing.</w:t>
      </w:r>
    </w:p>
    <w:p>
      <w:pPr>
        <w:pStyle w:val="ListBullet"/>
      </w:pPr>
      <w:r>
        <w:t>Evaluation and operations: Run a fixed benchmark of representative questions, compare cache/routing variants against a baseline, track quality regressions, and support configuration changes without code edits.</w:t>
      </w:r>
    </w:p>
    <w:p>
      <w:pPr>
        <w:pStyle w:val="Heading1"/>
      </w:pPr>
      <w:r>
        <w:t>Data model</w:t>
      </w:r>
    </w:p>
    <w:p>
      <w:r>
        <w:t>tenants, users, documents, chunks, cache_entries, requests, model_usage, routing_policies, evaluation_runs, evaluation_results. Include tenant_id and version fields where applicable; add indexes for tenant/scope, timestamps, cache expiry, and request correlation IDs.</w:t>
      </w:r>
    </w:p>
    <w:p>
      <w:pPr>
        <w:pStyle w:val="Heading1"/>
      </w:pPr>
      <w:r>
        <w:t>API contract baseline</w:t>
      </w:r>
    </w:p>
    <w:p>
      <w:pPr>
        <w:pStyle w:val="ListBullet"/>
      </w:pPr>
      <w:r>
        <w:t>GET /health/live — process liveness; GET /health/ready — dependency readiness.</w:t>
      </w:r>
    </w:p>
    <w:p>
      <w:pPr>
        <w:pStyle w:val="ListBullet"/>
      </w:pPr>
      <w:r>
        <w:t>POST /api/v1/documents — ingest a document or submit an ingestion job.</w:t>
      </w:r>
    </w:p>
    <w:p>
      <w:pPr>
        <w:pStyle w:val="ListBullet"/>
      </w:pPr>
      <w:r>
        <w:t>GET /api/v1/documents — list only documents visible to the authenticated user/scope.</w:t>
      </w:r>
    </w:p>
    <w:p>
      <w:pPr>
        <w:pStyle w:val="ListBullet"/>
      </w:pPr>
      <w:r>
        <w:t>POST /api/v1/query — run retrieval and answer generation; return answer, citations/evidence, trace ID, and safe diagnostic metadata.</w:t>
      </w:r>
    </w:p>
    <w:p>
      <w:pPr>
        <w:pStyle w:val="ListBullet"/>
      </w:pPr>
      <w:r>
        <w:t>GET /api/v1/metrics/summary — return dashboard aggregates for authorized users.</w:t>
      </w:r>
    </w:p>
    <w:p>
      <w:pPr>
        <w:pStyle w:val="ListBullet"/>
      </w:pPr>
      <w:r>
        <w:t>GET /api/v1/requests/{request_id} — fetch permitted request diagnostics without exposing secrets or unauthorized content.</w:t>
      </w:r>
    </w:p>
    <w:p>
      <w:pPr>
        <w:pStyle w:val="ListBullet"/>
      </w:pPr>
      <w:r>
        <w:t>Use Pydantic request/response schemas, pagination, consistent error envelopes, request IDs, and explicit API versioning.</w:t>
      </w:r>
    </w:p>
    <w:p>
      <w:pPr>
        <w:pStyle w:val="Heading1"/>
      </w:pPr>
      <w:r>
        <w:t>Security, privacy, and reliability</w:t>
      </w:r>
    </w:p>
    <w:p>
      <w:pPr>
        <w:pStyle w:val="ListBullet"/>
      </w:pPr>
      <w:r>
        <w:t>Validate all inputs; enforce authentication and authorization on every protected route; apply rate limits and request-size limits.</w:t>
      </w:r>
    </w:p>
    <w:p>
      <w:pPr>
        <w:pStyle w:val="ListBullet"/>
      </w:pPr>
      <w:r>
        <w:t>Use least privilege for database/service accounts; parameterized queries; safe CORS; secure headers; no secrets in source control or logs.</w:t>
      </w:r>
    </w:p>
    <w:p>
      <w:pPr>
        <w:pStyle w:val="ListBullet"/>
      </w:pPr>
      <w:r>
        <w:t>Define retention and deletion behavior for documents, embeddings, cache entries, graph facts, and telemetry.</w:t>
      </w:r>
    </w:p>
    <w:p>
      <w:pPr>
        <w:pStyle w:val="ListBullet"/>
      </w:pPr>
      <w:r>
        <w:t>Treat documents and retrieved text as untrusted data; defend against prompt injection and instructions embedded in source material.</w:t>
      </w:r>
    </w:p>
    <w:p>
      <w:pPr>
        <w:pStyle w:val="ListBullet"/>
      </w:pPr>
      <w:r>
        <w:t>Use timeouts, bounded retries with backoff, circuit breakers or provider fallback where appropriate, and graceful degradation.</w:t>
      </w:r>
    </w:p>
    <w:p>
      <w:pPr>
        <w:pStyle w:val="ListBullet"/>
      </w:pPr>
      <w:r>
        <w:t>Log identifiers and operational metadata rather than raw sensitive content by default.</w:t>
      </w:r>
    </w:p>
    <w:p>
      <w:pPr>
        <w:pStyle w:val="Heading1"/>
      </w:pPr>
      <w:r>
        <w:t>Observability and evaluation</w:t>
      </w:r>
    </w:p>
    <w:p>
      <w:pPr>
        <w:pStyle w:val="ListBullet"/>
      </w:pPr>
      <w:r>
        <w:t>Emit structured logs with correlation/request ID and component-level timings.</w:t>
      </w:r>
    </w:p>
    <w:p>
      <w:pPr>
        <w:pStyle w:val="ListBullet"/>
      </w:pPr>
      <w:r>
        <w:t>Measure request volume, errors, retrieval latency, generation latency, total p50/p95 latency, token usage when available, and estimated cost.</w:t>
      </w:r>
    </w:p>
    <w:p>
      <w:pPr>
        <w:pStyle w:val="ListBullet"/>
      </w:pPr>
      <w:r>
        <w:t>Maintain a versioned evaluation dataset with expected answer/evidence and documented scoring rules.</w:t>
      </w:r>
    </w:p>
    <w:p>
      <w:pPr>
        <w:pStyle w:val="ListBullet"/>
      </w:pPr>
      <w:r>
        <w:t>Report quality together with performance/cost; do not present latency or cost improvements without a comparable baseline.</w:t>
      </w:r>
    </w:p>
    <w:p>
      <w:pPr>
        <w:pStyle w:val="ListBullet"/>
      </w:pPr>
      <w:r>
        <w:t>Store model, prompt, embedding, corpus/index, and policy versions with each evaluation/request trace.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Exact and semantic cache hits return valid responses only within the same cache/security scope.</w:t>
      </w:r>
    </w:p>
    <w:p>
      <w:pPr>
        <w:pStyle w:val="ListBullet"/>
      </w:pPr>
      <w:r>
        <w:t>Cache invalidation and TTL work; changing corpus, prompt, embedding model, or relevant generation settings prevents stale reuse.</w:t>
      </w:r>
    </w:p>
    <w:p>
      <w:pPr>
        <w:pStyle w:val="ListBullet"/>
      </w:pPr>
      <w:r>
        <w:t>Router selects models according to documented rules and records a human-readable routing reason.</w:t>
      </w:r>
    </w:p>
    <w:p>
      <w:pPr>
        <w:pStyle w:val="ListBullet"/>
      </w:pPr>
      <w:r>
        <w:t>Every request has a correlation ID and records latency, route, cache status, token usage when available, estimated cost, and error outcome.</w:t>
      </w:r>
    </w:p>
    <w:p>
      <w:pPr>
        <w:pStyle w:val="ListBullet"/>
      </w:pPr>
      <w:r>
        <w:t>Dashboard displays request volume, cache hit rate, estimated cost, p50/p95 latency, model distribution, failures, and quality evaluation results.</w:t>
      </w:r>
    </w:p>
    <w:p>
      <w:pPr>
        <w:pStyle w:val="ListBullet"/>
      </w:pPr>
      <w:r>
        <w:t>Benchmark compares baseline and optimized configurations with the same dataset and reports quality alongside cost and latency.</w:t>
      </w:r>
    </w:p>
    <w:p>
      <w:pPr>
        <w:pStyle w:val="ListBullet"/>
      </w:pPr>
      <w:r>
        <w:t>Automated tests cover cache isolation, routing rules, provider failures, invalidation, and API validation.</w:t>
      </w:r>
    </w:p>
    <w:p>
      <w:pPr>
        <w:pStyle w:val="Heading1"/>
      </w:pPr>
      <w:r>
        <w:t>Risks and mitigations</w:t>
      </w:r>
    </w:p>
    <w:p>
      <w:pPr>
        <w:pStyle w:val="ListBullet"/>
      </w:pPr>
      <w:r>
        <w:t>Similarity thresholds can return a semantically related but incorrect answer; require evaluation and conservative defaults.</w:t>
      </w:r>
    </w:p>
    <w:p>
      <w:pPr>
        <w:pStyle w:val="ListBullet"/>
      </w:pPr>
      <w:r>
        <w:t>Cached answers can become stale; version keys, TTL, and explicit invalidation are mandatory.</w:t>
      </w:r>
    </w:p>
    <w:p>
      <w:pPr>
        <w:pStyle w:val="ListBullet"/>
      </w:pPr>
      <w:r>
        <w:t>Cost figures may be estimates if providers do not expose authoritative billing; show assumptions and units.</w:t>
      </w:r>
    </w:p>
    <w:p>
      <w:pPr>
        <w:pStyle w:val="ListBullet"/>
      </w:pPr>
      <w:r>
        <w:t>Routing can lower quality; retain a high-quality fallback and evaluate by question category.</w:t>
      </w:r>
    </w:p>
    <w:p>
      <w:pPr>
        <w:pStyle w:val="Heading1"/>
      </w:pPr>
      <w:r>
        <w:t>Repository structure</w:t>
      </w:r>
    </w:p>
    <w:p>
      <w:r>
        <w:t>frontend/</w:t>
        <w:br/>
        <w:t>backend/app/{api,core,domain,services,repositories,adapters,schemas}/</w:t>
        <w:br/>
        <w:t>backend/tests/{unit,integration,security,evaluation}/</w:t>
        <w:br/>
        <w:t>migrations/</w:t>
        <w:br/>
        <w:t>infra/docker-compose.yml</w:t>
        <w:br/>
        <w:t>scripts/</w:t>
        <w:br/>
        <w:t>data/sample/</w:t>
        <w:br/>
        <w:t>docs/{architecture,api,threat-model,evaluation,runbook}/</w:t>
        <w:br/>
        <w:t>.env.example</w:t>
        <w:br/>
        <w:t>README.md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 new developer can follow README instructions to start the app from a clean checkout.</w:t>
      </w:r>
    </w:p>
    <w:p>
      <w:pPr>
        <w:pStyle w:val="ListBullet"/>
      </w:pPr>
      <w:r>
        <w:t>Database migrations and seed data run reproducibly.</w:t>
      </w:r>
    </w:p>
    <w:p>
      <w:pPr>
        <w:pStyle w:val="ListBullet"/>
      </w:pPr>
      <w:r>
        <w:t>Unit, integration, security-critical, and frontend build tests pass.</w:t>
      </w:r>
    </w:p>
    <w:p>
      <w:pPr>
        <w:pStyle w:val="ListBullet"/>
      </w:pPr>
      <w:r>
        <w:t>No secrets are committed; .env.example contains only placeholders.</w:t>
      </w:r>
    </w:p>
    <w:p>
      <w:pPr>
        <w:pStyle w:val="ListBullet"/>
      </w:pPr>
      <w:r>
        <w:t>API docs, architecture notes, threat model, test results, known limitations, and demo instructions are present.</w:t>
      </w:r>
    </w:p>
    <w:p>
      <w:pPr>
        <w:pStyle w:val="ListBullet"/>
      </w:pPr>
      <w:r>
        <w:t>The final report distinguishes implemented features from planned work and measured results from estimates.</w:t>
      </w:r>
    </w:p>
    <w:p>
      <w:pPr>
        <w:pStyle w:val="Heading1"/>
      </w:pPr>
      <w:r>
        <w:t>Product-specific design decisions</w:t>
      </w:r>
    </w:p>
    <w:p>
      <w:pPr>
        <w:pStyle w:val="ListBullet"/>
      </w:pPr>
      <w:r>
        <w:t>Cache key must include tenant/security scope, normalized query, embedding model/version, corpus/index version, prompt version, and generation parameters that affect answer validity.</w:t>
      </w:r>
    </w:p>
    <w:p>
      <w:pPr>
        <w:pStyle w:val="ListBullet"/>
      </w:pPr>
      <w:r>
        <w:t>Semantic similarity is a candidate retrieval mechanism, not authorization. Always validate scope and freshness separately.</w:t>
      </w:r>
    </w:p>
    <w:p>
      <w:pPr>
        <w:pStyle w:val="ListBullet"/>
      </w:pPr>
      <w:r>
        <w:t>Use conservative default threshold and provide exact-match, semantic-hit, miss, bypass, and invalidation paths.</w:t>
      </w:r>
    </w:p>
    <w:p>
      <w:pPr>
        <w:pStyle w:val="ListBullet"/>
      </w:pPr>
      <w:r>
        <w:t>Routing policy is configurable and records a reason code. Model selection must not depend on hidden assumptions about provider pricing.</w:t>
      </w:r>
    </w:p>
    <w:p>
      <w:pPr>
        <w:pStyle w:val="ListBullet"/>
      </w:pPr>
      <w:r>
        <w:t>Cost estimates use versioned provider price configuration and token counts; mark estimates as estimates unless confirmed billing data is available.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