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GraphWeave — Master Specification</w:t>
      </w:r>
    </w:p>
    <w:p>
      <w:pPr>
        <w:jc w:val="center"/>
      </w:pPr>
      <w:r>
        <w:rPr>
          <w:i/>
        </w:rPr>
        <w:t>GraphRAG for Multi-Hop Questions</w:t>
      </w:r>
    </w:p>
    <w:p>
      <w:r>
        <w:t>Version 1.0 | 27 October 2026 | Engineering specification for an independently buildable portfolio project</w:t>
      </w:r>
    </w:p>
    <w:p>
      <w:r>
        <w:t>Document control: Treat this document as the project-specific source of truth. If implementation choices change, update the relevant decision record and tests.</w:t>
      </w:r>
    </w:p>
    <w:p>
      <w:pPr>
        <w:pStyle w:val="Heading1"/>
      </w:pPr>
      <w:r>
        <w:t>Product overview</w:t>
      </w:r>
    </w:p>
    <w:p>
      <w:r>
        <w:t>Vector-only RAG can miss answers whose evidence is distributed across documents and connected by entity relationships, such as who acquired a company that owns a product mentioned in another source.</w:t>
      </w:r>
    </w:p>
    <w:p>
      <w:pPr>
        <w:pStyle w:val="Heading1"/>
      </w:pPr>
      <w:r>
        <w:t>Objectives and non-goals</w:t>
      </w:r>
    </w:p>
    <w:p>
      <w:pPr>
        <w:pStyle w:val="ListBullet"/>
      </w:pPr>
      <w:r>
        <w:t>Build a GraphRAG system that extracts entities and typed relationships from source documents, maintains provenance, combines graph traversal with vector retrieval, and evaluates multi-hop answer quality against a vector-only baseline.</w:t>
      </w:r>
    </w:p>
    <w:p>
      <w:pPr>
        <w:pStyle w:val="ListBullet"/>
      </w:pPr>
      <w:r>
        <w:t>Deliver a runnable local development environment with deterministic setup instructions and sample data.</w:t>
      </w:r>
    </w:p>
    <w:p>
      <w:pPr>
        <w:pStyle w:val="ListBullet"/>
      </w:pPr>
      <w:r>
        <w:t>Provide API contracts, automated tests, security controls, operational telemetry, and reproducible evaluation evidence.</w:t>
      </w:r>
    </w:p>
    <w:p>
      <w:pPr>
        <w:pStyle w:val="ListBullet"/>
      </w:pPr>
      <w:r>
        <w:t>Keep external services behind adapters so providers can be replaced without rewriting business logic.</w:t>
      </w:r>
    </w:p>
    <w:p>
      <w:pPr>
        <w:pStyle w:val="ListBullet"/>
      </w:pPr>
      <w:r>
        <w:t>Non-goal: claiming production certification, guaranteed savings/accuracy, or enterprise compliance without measured evidence.</w:t>
      </w:r>
    </w:p>
    <w:p>
      <w:pPr>
        <w:pStyle w:val="Heading1"/>
      </w:pPr>
      <w:r>
        <w:t>Architecture and technology</w:t>
      </w:r>
    </w:p>
    <w:p>
      <w:pPr>
        <w:pStyle w:val="ListBullet"/>
      </w:pPr>
      <w:r>
        <w:t>Frontend: React + TypeScript + Vite + Tailwind CSS; typed API client; accessible loading, empty, error, and permission-denied states.</w:t>
      </w:r>
    </w:p>
    <w:p>
      <w:pPr>
        <w:pStyle w:val="ListBullet"/>
      </w:pPr>
      <w:r>
        <w:t>Backend: Python + FastAPI + Pydantic; layered modules for API, services, repositories, domain models, adapters, and configuration.</w:t>
      </w:r>
    </w:p>
    <w:p>
      <w:pPr>
        <w:pStyle w:val="ListBullet"/>
      </w:pPr>
      <w:r>
        <w:t>Persistence: PostgreSQL with migrations; pgvector for embeddings; Redis where caching/queues are needed.</w:t>
      </w:r>
    </w:p>
    <w:p>
      <w:pPr>
        <w:pStyle w:val="ListBullet"/>
      </w:pPr>
      <w:r>
        <w:t>LLM/embedding providers: interfaces plus at least one configurable implementation and a deterministic mock provider for tests.</w:t>
      </w:r>
    </w:p>
    <w:p>
      <w:pPr>
        <w:pStyle w:val="ListBullet"/>
      </w:pPr>
      <w:r>
        <w:t>Deployment: Docker Compose for local services; health checks; .env.example containing names and safe placeholders only.</w:t>
      </w:r>
    </w:p>
    <w:p>
      <w:pPr>
        <w:pStyle w:val="ListBullet"/>
      </w:pPr>
      <w:r>
        <w:t>Testing: Pytest for unit/integration tests; frontend component tests; API contract tests; end-to-end smoke tests.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Ingestion and provenance: Parse documents, preserve document/version/page/section provenance, chunk content, and maintain deterministic IDs so graph facts can be traced back to source evidence.</w:t>
      </w:r>
    </w:p>
    <w:p>
      <w:pPr>
        <w:pStyle w:val="ListBullet"/>
      </w:pPr>
      <w:r>
        <w:t>Entity and relation extraction: Use schema-constrained LLM extraction with validated entity types, relation types, confidence, source chunk IDs, and extraction model/version. Treat extracted facts as candidates, not unquestionable truth.</w:t>
      </w:r>
    </w:p>
    <w:p>
      <w:pPr>
        <w:pStyle w:val="ListBullet"/>
      </w:pPr>
      <w:r>
        <w:t>Entity resolution: Normalize names and aliases, merge only with explicit confidence rules, preserve aliases, and support review of ambiguous matches. Avoid merging people or organizations solely because names are similar.</w:t>
      </w:r>
    </w:p>
    <w:p>
      <w:pPr>
        <w:pStyle w:val="ListBullet"/>
      </w:pPr>
      <w:r>
        <w:t>Knowledge graph: Store entities and typed edges in Neo4j. Include tenant or corpus scope, source chunk references, timestamps, confidence, and extraction provenance on relationships.</w:t>
      </w:r>
    </w:p>
    <w:p>
      <w:pPr>
        <w:pStyle w:val="ListBullet"/>
      </w:pPr>
      <w:r>
        <w:t>Hybrid retrieval planner: Retrieve seed chunks/entities by vector similarity, expand graph neighborhoods with bounded depth/fan-out, optionally use relation/path queries, and fuse graph and vector evidence with deduplication.</w:t>
      </w:r>
    </w:p>
    <w:p>
      <w:pPr>
        <w:pStyle w:val="ListBullet"/>
      </w:pPr>
      <w:r>
        <w:t>Answer synthesis: Build a compact evidence bundle containing source snippets and relationship paths. Generate answers with citations and distinguish directly stated facts from inferred connections.</w:t>
      </w:r>
    </w:p>
    <w:p>
      <w:pPr>
        <w:pStyle w:val="ListBullet"/>
      </w:pPr>
      <w:r>
        <w:t>Graph inspection UI: Allow users to inspect entities, relationships, source provenance, and the paths used for an answer. Scope all graph queries to the authorized corpus/tenant.</w:t>
      </w:r>
    </w:p>
    <w:p>
      <w:pPr>
        <w:pStyle w:val="ListBullet"/>
      </w:pPr>
      <w:r>
        <w:t>Evaluation harness: Compare vector-only, graph-only, and hybrid retrieval on a curated multi-hop dataset. Measure answer correctness, evidence recall, citation precision, latency, and token cost.</w:t>
      </w:r>
    </w:p>
    <w:p>
      <w:pPr>
        <w:pStyle w:val="Heading1"/>
      </w:pPr>
      <w:r>
        <w:t>Data model</w:t>
      </w:r>
    </w:p>
    <w:p>
      <w:r>
        <w:t>Neo4j nodes: Entity, Document, Chunk; relationships: MENTIONS, RELATES_TO, ALIAS_OF, DERIVED_FROM (or equivalent typed relations). PostgreSQL: documents, chunks, ingestion_jobs, extraction_runs, entity_aliases, evaluation_questions, evaluation_runs, request_traces. Every graph fact must preserve source provenance and scope.</w:t>
      </w:r>
    </w:p>
    <w:p>
      <w:pPr>
        <w:pStyle w:val="Heading1"/>
      </w:pPr>
      <w:r>
        <w:t>API contract baseline</w:t>
      </w:r>
    </w:p>
    <w:p>
      <w:pPr>
        <w:pStyle w:val="ListBullet"/>
      </w:pPr>
      <w:r>
        <w:t>GET /health/live — process liveness; GET /health/ready — dependency readiness.</w:t>
      </w:r>
    </w:p>
    <w:p>
      <w:pPr>
        <w:pStyle w:val="ListBullet"/>
      </w:pPr>
      <w:r>
        <w:t>POST /api/v1/documents — ingest a document or submit an ingestion job.</w:t>
      </w:r>
    </w:p>
    <w:p>
      <w:pPr>
        <w:pStyle w:val="ListBullet"/>
      </w:pPr>
      <w:r>
        <w:t>GET /api/v1/documents — list only documents visible to the authenticated user/scope.</w:t>
      </w:r>
    </w:p>
    <w:p>
      <w:pPr>
        <w:pStyle w:val="ListBullet"/>
      </w:pPr>
      <w:r>
        <w:t>POST /api/v1/query — run retrieval and answer generation; return answer, citations/evidence, trace ID, and safe diagnostic metadata.</w:t>
      </w:r>
    </w:p>
    <w:p>
      <w:pPr>
        <w:pStyle w:val="ListBullet"/>
      </w:pPr>
      <w:r>
        <w:t>GET /api/v1/metrics/summary — return dashboard aggregates for authorized users.</w:t>
      </w:r>
    </w:p>
    <w:p>
      <w:pPr>
        <w:pStyle w:val="ListBullet"/>
      </w:pPr>
      <w:r>
        <w:t>GET /api/v1/requests/{request_id} — fetch permitted request diagnostics without exposing secrets or unauthorized content.</w:t>
      </w:r>
    </w:p>
    <w:p>
      <w:pPr>
        <w:pStyle w:val="ListBullet"/>
      </w:pPr>
      <w:r>
        <w:t>Use Pydantic request/response schemas, pagination, consistent error envelopes, request IDs, and explicit API versioning.</w:t>
      </w:r>
    </w:p>
    <w:p>
      <w:pPr>
        <w:pStyle w:val="Heading1"/>
      </w:pPr>
      <w:r>
        <w:t>Security, privacy, and reliability</w:t>
      </w:r>
    </w:p>
    <w:p>
      <w:pPr>
        <w:pStyle w:val="ListBullet"/>
      </w:pPr>
      <w:r>
        <w:t>Validate all inputs; enforce authentication and authorization on every protected route; apply rate limits and request-size limits.</w:t>
      </w:r>
    </w:p>
    <w:p>
      <w:pPr>
        <w:pStyle w:val="ListBullet"/>
      </w:pPr>
      <w:r>
        <w:t>Use least privilege for database/service accounts; parameterized queries; safe CORS; secure headers; no secrets in source control or logs.</w:t>
      </w:r>
    </w:p>
    <w:p>
      <w:pPr>
        <w:pStyle w:val="ListBullet"/>
      </w:pPr>
      <w:r>
        <w:t>Define retention and deletion behavior for documents, embeddings, cache entries, graph facts, and telemetry.</w:t>
      </w:r>
    </w:p>
    <w:p>
      <w:pPr>
        <w:pStyle w:val="ListBullet"/>
      </w:pPr>
      <w:r>
        <w:t>Treat documents and retrieved text as untrusted data; defend against prompt injection and instructions embedded in source material.</w:t>
      </w:r>
    </w:p>
    <w:p>
      <w:pPr>
        <w:pStyle w:val="ListBullet"/>
      </w:pPr>
      <w:r>
        <w:t>Use timeouts, bounded retries with backoff, circuit breakers or provider fallback where appropriate, and graceful degradation.</w:t>
      </w:r>
    </w:p>
    <w:p>
      <w:pPr>
        <w:pStyle w:val="ListBullet"/>
      </w:pPr>
      <w:r>
        <w:t>Log identifiers and operational metadata rather than raw sensitive content by default.</w:t>
      </w:r>
    </w:p>
    <w:p>
      <w:pPr>
        <w:pStyle w:val="Heading1"/>
      </w:pPr>
      <w:r>
        <w:t>Observability and evaluation</w:t>
      </w:r>
    </w:p>
    <w:p>
      <w:pPr>
        <w:pStyle w:val="ListBullet"/>
      </w:pPr>
      <w:r>
        <w:t>Emit structured logs with correlation/request ID and component-level timings.</w:t>
      </w:r>
    </w:p>
    <w:p>
      <w:pPr>
        <w:pStyle w:val="ListBullet"/>
      </w:pPr>
      <w:r>
        <w:t>Measure request volume, errors, retrieval latency, generation latency, total p50/p95 latency, token usage when available, and estimated cost.</w:t>
      </w:r>
    </w:p>
    <w:p>
      <w:pPr>
        <w:pStyle w:val="ListBullet"/>
      </w:pPr>
      <w:r>
        <w:t>Maintain a versioned evaluation dataset with expected answer/evidence and documented scoring rules.</w:t>
      </w:r>
    </w:p>
    <w:p>
      <w:pPr>
        <w:pStyle w:val="ListBullet"/>
      </w:pPr>
      <w:r>
        <w:t>Report quality together with performance/cost; do not present latency or cost improvements without a comparable baseline.</w:t>
      </w:r>
    </w:p>
    <w:p>
      <w:pPr>
        <w:pStyle w:val="ListBullet"/>
      </w:pPr>
      <w:r>
        <w:t>Store model, prompt, embedding, corpus/index, and policy versions with each evaluation/request trace.</w:t>
      </w:r>
    </w:p>
    <w:p>
      <w:pPr>
        <w:pStyle w:val="Heading1"/>
      </w:pPr>
      <w:r>
        <w:t>Acceptance criteria</w:t>
      </w:r>
    </w:p>
    <w:p>
      <w:pPr>
        <w:pStyle w:val="ListBullet"/>
      </w:pPr>
      <w:r>
        <w:t>Entity and relation extraction uses a documented schema and validates outputs before graph writes.</w:t>
      </w:r>
    </w:p>
    <w:p>
      <w:pPr>
        <w:pStyle w:val="ListBullet"/>
      </w:pPr>
      <w:r>
        <w:t>Every graph relationship used in an answer can be traced to source chunk(s) and document version(s).</w:t>
      </w:r>
    </w:p>
    <w:p>
      <w:pPr>
        <w:pStyle w:val="ListBullet"/>
      </w:pPr>
      <w:r>
        <w:t>Hybrid retrieval returns evidence from multiple connected documents for designated multi-hop questions.</w:t>
      </w:r>
    </w:p>
    <w:p>
      <w:pPr>
        <w:pStyle w:val="ListBullet"/>
      </w:pPr>
      <w:r>
        <w:t>Vector-only and hybrid baselines are evaluated on the same dataset and prompt/model settings.</w:t>
      </w:r>
    </w:p>
    <w:p>
      <w:pPr>
        <w:pStyle w:val="ListBullet"/>
      </w:pPr>
      <w:r>
        <w:t>Answer responses include citations and identify uncertainty or missing evidence instead of fabricating a path.</w:t>
      </w:r>
    </w:p>
    <w:p>
      <w:pPr>
        <w:pStyle w:val="ListBullet"/>
      </w:pPr>
      <w:r>
        <w:t>Graph traversal is bounded by depth, fan-out, timeout, and tenant/corpus scope.</w:t>
      </w:r>
    </w:p>
    <w:p>
      <w:pPr>
        <w:pStyle w:val="ListBullet"/>
      </w:pPr>
      <w:r>
        <w:t>Entity resolution preserves aliases and avoids unsafe automatic merges when confidence is low.</w:t>
      </w:r>
    </w:p>
    <w:p>
      <w:pPr>
        <w:pStyle w:val="ListBullet"/>
      </w:pPr>
      <w:r>
        <w:t>UI exposes graph paths and provenance while enforcing the same access policies as document retrieval.</w:t>
      </w:r>
    </w:p>
    <w:p>
      <w:pPr>
        <w:pStyle w:val="Heading1"/>
      </w:pPr>
      <w:r>
        <w:t>Risks and mitigations</w:t>
      </w:r>
    </w:p>
    <w:p>
      <w:pPr>
        <w:pStyle w:val="ListBullet"/>
      </w:pPr>
      <w:r>
        <w:t>LLM extraction can create false relationships; preserve provenance, confidence, validation, and evaluation.</w:t>
      </w:r>
    </w:p>
    <w:p>
      <w:pPr>
        <w:pStyle w:val="ListBullet"/>
      </w:pPr>
      <w:r>
        <w:t>Entity resolution can merge distinct entities; ambiguous matches should remain separate or require review.</w:t>
      </w:r>
    </w:p>
    <w:p>
      <w:pPr>
        <w:pStyle w:val="ListBullet"/>
      </w:pPr>
      <w:r>
        <w:t>Graph expansion can explode in size; enforce traversal depth, fan-out, timeouts, and query budgets.</w:t>
      </w:r>
    </w:p>
    <w:p>
      <w:pPr>
        <w:pStyle w:val="ListBullet"/>
      </w:pPr>
      <w:r>
        <w:t>Graph answers can sound certain despite weak paths; require evidence-backed citations and explicit uncertainty.</w:t>
      </w:r>
    </w:p>
    <w:p>
      <w:pPr>
        <w:pStyle w:val="Heading1"/>
      </w:pPr>
      <w:r>
        <w:t>Repository structure</w:t>
      </w:r>
    </w:p>
    <w:p>
      <w:r>
        <w:t>frontend/</w:t>
        <w:br/>
        <w:t>backend/app/{api,core,domain,services,repositories,adapters,schemas}/</w:t>
        <w:br/>
        <w:t>backend/tests/{unit,integration,security,evaluation}/</w:t>
        <w:br/>
        <w:t>migrations/</w:t>
        <w:br/>
        <w:t>infra/docker-compose.yml</w:t>
        <w:br/>
        <w:t>scripts/</w:t>
        <w:br/>
        <w:t>data/sample/</w:t>
        <w:br/>
        <w:t>docs/{architecture,api,threat-model,evaluation,runbook}/</w:t>
        <w:br/>
        <w:t>.env.example</w:t>
        <w:br/>
        <w:t>README.md</w:t>
      </w:r>
    </w:p>
    <w:p>
      <w:pPr>
        <w:pStyle w:val="Heading1"/>
      </w:pPr>
      <w:r>
        <w:t>Definition of done</w:t>
      </w:r>
    </w:p>
    <w:p>
      <w:pPr>
        <w:pStyle w:val="ListBullet"/>
      </w:pPr>
      <w:r>
        <w:t>A new developer can follow README instructions to start the app from a clean checkout.</w:t>
      </w:r>
    </w:p>
    <w:p>
      <w:pPr>
        <w:pStyle w:val="ListBullet"/>
      </w:pPr>
      <w:r>
        <w:t>Database migrations and seed data run reproducibly.</w:t>
      </w:r>
    </w:p>
    <w:p>
      <w:pPr>
        <w:pStyle w:val="ListBullet"/>
      </w:pPr>
      <w:r>
        <w:t>Unit, integration, security-critical, and frontend build tests pass.</w:t>
      </w:r>
    </w:p>
    <w:p>
      <w:pPr>
        <w:pStyle w:val="ListBullet"/>
      </w:pPr>
      <w:r>
        <w:t>No secrets are committed; .env.example contains only placeholders.</w:t>
      </w:r>
    </w:p>
    <w:p>
      <w:pPr>
        <w:pStyle w:val="ListBullet"/>
      </w:pPr>
      <w:r>
        <w:t>API docs, architecture notes, threat model, test results, known limitations, and demo instructions are present.</w:t>
      </w:r>
    </w:p>
    <w:p>
      <w:pPr>
        <w:pStyle w:val="ListBullet"/>
      </w:pPr>
      <w:r>
        <w:t>The final report distinguishes implemented features from planned work and measured results from estimates.</w:t>
      </w:r>
    </w:p>
    <w:p>
      <w:pPr>
        <w:pStyle w:val="Heading1"/>
      </w:pPr>
      <w:r>
        <w:t>Product-specific design decisions</w:t>
      </w:r>
    </w:p>
    <w:p>
      <w:pPr>
        <w:pStyle w:val="ListBullet"/>
      </w:pPr>
      <w:r>
        <w:t>Graph facts are candidate claims with provenance, not ground truth. Preserve source chunk IDs, document versions, extraction model/version, and confidence.</w:t>
      </w:r>
    </w:p>
    <w:p>
      <w:pPr>
        <w:pStyle w:val="ListBullet"/>
      </w:pPr>
      <w:r>
        <w:t>Graph traversals are bounded by maximum depth, fan-out, result count, and time budget; all traversals must obey corpus/tenant scope.</w:t>
      </w:r>
    </w:p>
    <w:p>
      <w:pPr>
        <w:pStyle w:val="ListBullet"/>
      </w:pPr>
      <w:r>
        <w:t>Use conservative entity resolution; preserve aliases and queue ambiguous matches for review rather than forcing merges.</w:t>
      </w:r>
    </w:p>
    <w:p>
      <w:pPr>
        <w:pStyle w:val="ListBullet"/>
      </w:pPr>
      <w:r>
        <w:t>Hybrid retrieval must return the evidence path and source snippets used to answer a multi-hop question.</w:t>
      </w:r>
    </w:p>
    <w:p>
      <w:pPr>
        <w:pStyle w:val="ListBullet"/>
      </w:pPr>
      <w:r>
        <w:t>Evaluation compares vector-only, graph-only, and hybrid retrieval using identical questions and controlled model/prompt settings.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