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B0B0B"/>
          <w:sz w:val="68"/>
        </w:rPr>
        <w:t>Job Aggregation Platform</w:t>
      </w:r>
    </w:p>
    <w:p>
      <w:pPr>
        <w:jc w:val="center"/>
      </w:pPr>
      <w:r>
        <w:rPr>
          <w:color w:val="2A78D6"/>
          <w:sz w:val="36"/>
        </w:rPr>
        <w:t>Final Project Report</w:t>
      </w:r>
    </w:p>
    <w:p/>
    <w:p/>
    <w:p>
      <w:pPr>
        <w:jc w:val="center"/>
      </w:pPr>
      <w:r>
        <w:rPr>
          <w:color w:val="52514E"/>
        </w:rPr>
        <w:t>————————————————————————</w:t>
      </w:r>
    </w:p>
    <w:p/>
    <w:p>
      <w:pPr>
        <w:jc w:val="center"/>
      </w:pPr>
      <w:r>
        <w:rPr>
          <w:color w:val="52514E"/>
          <w:sz w:val="22"/>
        </w:rPr>
        <w:t>Prepared for: Engineering &amp; Product Management</w:t>
      </w:r>
    </w:p>
    <w:p>
      <w:pPr>
        <w:jc w:val="center"/>
      </w:pPr>
      <w:r>
        <w:rPr>
          <w:color w:val="52514E"/>
          <w:sz w:val="22"/>
        </w:rPr>
        <w:t>Prepared by: Prerna Anand</w:t>
      </w:r>
    </w:p>
    <w:p>
      <w:pPr>
        <w:jc w:val="center"/>
      </w:pPr>
      <w:r>
        <w:rPr>
          <w:color w:val="52514E"/>
          <w:sz w:val="22"/>
        </w:rPr>
        <w:t>Date: July 6, 2026</w:t>
      </w:r>
    </w:p>
    <w:p>
      <w:pPr>
        <w:jc w:val="center"/>
      </w:pPr>
      <w:r>
        <w:rPr>
          <w:color w:val="52514E"/>
          <w:sz w:val="22"/>
        </w:rPr>
        <w:t>Dataset analyzed: jobs.json — 155,794 unique job records</w:t>
      </w:r>
    </w:p>
    <w:p>
      <w:pPr>
        <w:jc w:val="center"/>
      </w:pPr>
      <w:r>
        <w:rPr>
          <w:color w:val="52514E"/>
          <w:sz w:val="22"/>
        </w:rPr>
        <w:t>Source documents: research/api_analysis.md, reports/analytics_summary.md</w:t>
      </w:r>
    </w:p>
    <w:p>
      <w:r>
        <w:br w:type="page"/>
      </w:r>
    </w:p>
    <w:p>
      <w:r>
        <w:rPr>
          <w:b/>
          <w:color w:val="0B0B0B"/>
          <w:sz w:val="40"/>
        </w:rPr>
        <w:t>Table of Contents</w:t>
      </w:r>
    </w:p>
    <w:p/>
    <w:p>
      <w:pPr>
        <w:spacing w:after="80"/>
      </w:pPr>
      <w:r>
        <w:rPr>
          <w:color w:val="0B0B0B"/>
          <w:sz w:val="24"/>
        </w:rPr>
        <w:t>Cover Page</w:t>
      </w:r>
    </w:p>
    <w:p>
      <w:pPr>
        <w:spacing w:after="80"/>
      </w:pPr>
      <w:r>
        <w:rPr>
          <w:color w:val="0B0B0B"/>
          <w:sz w:val="24"/>
        </w:rPr>
        <w:t>2. Executive Summary</w:t>
      </w:r>
    </w:p>
    <w:p>
      <w:pPr>
        <w:spacing w:after="80"/>
      </w:pPr>
      <w:r>
        <w:rPr>
          <w:color w:val="0B0B0B"/>
          <w:sz w:val="24"/>
        </w:rPr>
        <w:t>3. Project Overview</w:t>
      </w:r>
    </w:p>
    <w:p>
      <w:pPr>
        <w:spacing w:after="80"/>
      </w:pPr>
      <w:r>
        <w:rPr>
          <w:color w:val="0B0B0B"/>
          <w:sz w:val="24"/>
        </w:rPr>
        <w:t>4. Dataset Overview</w:t>
      </w:r>
    </w:p>
    <w:p>
      <w:pPr>
        <w:spacing w:after="80"/>
      </w:pPr>
      <w:r>
        <w:rPr>
          <w:color w:val="0B0B0B"/>
          <w:sz w:val="24"/>
        </w:rPr>
        <w:t>5. Provider Analysis</w:t>
      </w:r>
    </w:p>
    <w:p>
      <w:pPr>
        <w:spacing w:after="80"/>
      </w:pPr>
      <w:r>
        <w:rPr>
          <w:color w:val="0B0B0B"/>
          <w:sz w:val="24"/>
        </w:rPr>
        <w:t>6. Regional Coverage</w:t>
      </w:r>
    </w:p>
    <w:p>
      <w:pPr>
        <w:spacing w:after="80"/>
      </w:pPr>
      <w:r>
        <w:rPr>
          <w:color w:val="0B0B0B"/>
          <w:sz w:val="24"/>
        </w:rPr>
        <w:t>7. Job Freshness</w:t>
      </w:r>
    </w:p>
    <w:p>
      <w:pPr>
        <w:spacing w:after="80"/>
      </w:pPr>
      <w:r>
        <w:rPr>
          <w:color w:val="0B0B0B"/>
          <w:sz w:val="24"/>
        </w:rPr>
        <w:t>8. Duplicate Analysis</w:t>
      </w:r>
    </w:p>
    <w:p>
      <w:pPr>
        <w:spacing w:after="80"/>
      </w:pPr>
      <w:r>
        <w:rPr>
          <w:color w:val="0B0B0B"/>
          <w:sz w:val="24"/>
        </w:rPr>
        <w:t>9. API Analysis</w:t>
      </w:r>
    </w:p>
    <w:p>
      <w:pPr>
        <w:spacing w:after="80"/>
      </w:pPr>
      <w:r>
        <w:rPr>
          <w:color w:val="0B0B0B"/>
          <w:sz w:val="24"/>
        </w:rPr>
        <w:t>10. India Research</w:t>
      </w:r>
    </w:p>
    <w:p>
      <w:pPr>
        <w:spacing w:after="80"/>
      </w:pPr>
      <w:r>
        <w:rPr>
          <w:color w:val="0B0B0B"/>
          <w:sz w:val="24"/>
        </w:rPr>
        <w:t>11. Additional Regional APIs</w:t>
      </w:r>
    </w:p>
    <w:p>
      <w:pPr>
        <w:spacing w:after="80"/>
      </w:pPr>
      <w:r>
        <w:rPr>
          <w:color w:val="0B0B0B"/>
          <w:sz w:val="24"/>
        </w:rPr>
        <w:t>12. API Filter Optimization</w:t>
      </w:r>
    </w:p>
    <w:p>
      <w:pPr>
        <w:spacing w:after="80"/>
      </w:pPr>
      <w:r>
        <w:rPr>
          <w:color w:val="0B0B0B"/>
          <w:sz w:val="24"/>
        </w:rPr>
        <w:t>13. Maximum Coverage from Existing Providers</w:t>
      </w:r>
    </w:p>
    <w:p>
      <w:pPr>
        <w:spacing w:after="80"/>
      </w:pPr>
      <w:r>
        <w:rPr>
          <w:color w:val="0B0B0B"/>
          <w:sz w:val="24"/>
        </w:rPr>
        <w:t>14. Engineering Recommendations</w:t>
      </w:r>
    </w:p>
    <w:p>
      <w:pPr>
        <w:spacing w:after="80"/>
      </w:pPr>
      <w:r>
        <w:rPr>
          <w:color w:val="0B0B0B"/>
          <w:sz w:val="24"/>
        </w:rPr>
        <w:t>15. Roadmap</w:t>
      </w:r>
    </w:p>
    <w:p>
      <w:pPr>
        <w:spacing w:after="80"/>
      </w:pPr>
      <w:r>
        <w:rPr>
          <w:color w:val="0B0B0B"/>
          <w:sz w:val="24"/>
        </w:rPr>
        <w:t>16. Future Improvements</w:t>
      </w:r>
    </w:p>
    <w:p>
      <w:pPr>
        <w:spacing w:after="80"/>
      </w:pPr>
      <w:r>
        <w:rPr>
          <w:color w:val="0B0B0B"/>
          <w:sz w:val="24"/>
        </w:rPr>
        <w:t>17. Recent Job Market Analysis (Last 30 Days)</w:t>
      </w:r>
    </w:p>
    <w:p>
      <w:pPr>
        <w:spacing w:after="80"/>
      </w:pPr>
      <w:r>
        <w:rPr>
          <w:color w:val="0B0B0B"/>
          <w:sz w:val="24"/>
        </w:rPr>
        <w:t>18. Conclusion</w:t>
      </w:r>
    </w:p>
    <w:p>
      <w:r>
        <w:br w:type="page"/>
      </w:r>
    </w:p>
    <w:p>
      <w:pPr>
        <w:pStyle w:val="Heading1"/>
        <w:spacing w:before="120" w:after="280"/>
      </w:pPr>
      <w:r>
        <w:rPr>
          <w:b/>
          <w:color w:val="2A78D6"/>
          <w:sz w:val="40"/>
        </w:rPr>
        <w:t>2. Executive Summary</w:t>
      </w:r>
    </w:p>
    <w:p>
      <w:pPr>
        <w:spacing w:after="160"/>
      </w:pPr>
      <w:r>
        <w:t>The Job Aggregation Platform aggregates 155,794 unique job postings from 20 registered data providers into a single normalized schema, deduplicated by URL, and served through a static frontend. Nineteen of the 20 providers are currently contributing data; one (TheirStack) is blocked by an account plan restriction unrelated to the codebase.</w:t>
      </w:r>
    </w:p>
    <w:p>
      <w:pPr>
        <w:spacing w:after="160"/>
      </w:pPr>
      <w:r>
        <w:t>Coverage is broad but concentrated. The United States accounts for 51% of all jobs, and a single provider — SmartRecruiters — supplies 41.8% of the entire dataset. A single employer, Domino's, alone accounts for 15.7% of every job in the platform, because its board lists each store-level opening as a separate posting across thousands of locations.</w:t>
      </w:r>
    </w:p>
    <w:p>
      <w:pPr>
        <w:spacing w:after="160"/>
      </w:pPr>
      <w:r>
        <w:t>Deduplication is functioning correctly: zero duplicate URLs remain in the dataset. A large volume of same-title, same-company postings initially appears duplicate-like, but inspection confirms these are legitimate multi-location roles (retail, logistics, delivery) rather than aggregation errors — a naive dedup rule would have destroyed tens of thousands of real job listings.</w:t>
      </w:r>
    </w:p>
    <w:p>
      <w:pPr>
        <w:spacing w:after="160"/>
      </w:pPr>
      <w:r>
        <w:t>Freshness is moderate but degrading. At collection time, 54.0% of jobs were posted within the prior 30 days; 46.0% are already stale, and 14.0% are over a year old. The pipeline has no scheduled refresh and no expiry mechanism, so this ratio will continue to worsen without intervention.</w:t>
      </w:r>
    </w:p>
    <w:p>
      <w:pPr>
        <w:spacing w:after="160"/>
      </w:pPr>
      <w:r>
        <w:t>The highest-value opportunities identified are: (1) extending the existing, already-keyed Adzuna integration to additional countries — unlocking Canada, the UK, continental Europe, and Latin America with no new integration work; (2) introducing a scheduled refresh and expiry cycle to fix freshness; (3) closing the Singapore/Southeast Asia and India coverage gaps via a no-auth government API and existing ATS infrastructure; and (4) turning on date and location filters already supported by several integrated APIs but currently unused. None of these require scraping, new commercial contracts, or code changes to the aggregation pipeline's core logic.</w:t>
      </w:r>
    </w:p>
    <w:p>
      <w:r>
        <w:br w:type="page"/>
      </w:r>
    </w:p>
    <w:p>
      <w:pPr>
        <w:pStyle w:val="Heading1"/>
        <w:spacing w:before="120" w:after="280"/>
      </w:pPr>
      <w:r>
        <w:rPr>
          <w:b/>
          <w:color w:val="2A78D6"/>
          <w:sz w:val="40"/>
        </w:rPr>
        <w:t>3. Project Overview</w:t>
      </w:r>
    </w:p>
    <w:p>
      <w:pPr>
        <w:spacing w:after="160"/>
      </w:pPr>
      <w:r>
        <w:t>The platform is a modular Python pipeline (jobs.py plus a sources/ package) that fetches job postings from every registered provider, normalizes each record into a common seven-field schema, deduplicates the combined list by URL, and writes the result to jobs.json. A lightweight static frontend (HTML/CSS/JavaScript) reads that file directly to render a searchable, filterable job board.</w:t>
      </w:r>
    </w:p>
    <w:p>
      <w:pPr>
        <w:spacing w:before="200" w:after="120"/>
      </w:pPr>
      <w:r>
        <w:rPr>
          <w:b/>
          <w:color w:val="0B0B0B"/>
          <w:sz w:val="26"/>
        </w:rPr>
        <w:t>Schema</w:t>
      </w:r>
    </w:p>
    <w:p>
      <w:pPr>
        <w:spacing w:after="160"/>
      </w:pPr>
      <w:r>
        <w:t>Every job record — regardless of source — is normalized to exactly seven fields: title, company, location, url, tags, remote, and posted (an ISO YYYY-MM-DD date string). This uniform shape is what allows 20 structurally different provider APIs to feed a single downstream pipeline and frontend.</w:t>
      </w:r>
    </w:p>
    <w:p>
      <w:pPr>
        <w:spacing w:before="200" w:after="120"/>
      </w:pPr>
      <w:r>
        <w:rPr>
          <w:b/>
          <w:color w:val="0B0B0B"/>
          <w:sz w:val="26"/>
        </w:rPr>
        <w:t>Provider architecture</w:t>
      </w:r>
    </w:p>
    <w:p>
      <w:pPr>
        <w:spacing w:after="160"/>
      </w:pPr>
      <w:r>
        <w:t>Providers were added in three phases: Phase 1 (6 no-authentication public APIs), Phase 2 (8 API-key-based providers, credentials loaded from a git-ignored .env file), and Phase 3 (6 company-based ATS integrations — Greenhouse, Lever, Ashby, SmartRecruiters, Workable, and Teamtailor — each fetching one job board per individually verified company). Every provider implements the same two-method interface (fetch_raw, normalize), so adding a new source never requires touching the core pipeline.</w:t>
      </w:r>
    </w:p>
    <w:p>
      <w:pPr>
        <w:spacing w:before="200" w:after="120"/>
      </w:pPr>
      <w:r>
        <w:rPr>
          <w:b/>
          <w:color w:val="0B0B0B"/>
          <w:sz w:val="26"/>
        </w:rPr>
        <w:t>Reliability</w:t>
      </w:r>
    </w:p>
    <w:p>
      <w:pPr>
        <w:spacing w:after="160"/>
      </w:pPr>
      <w:r>
        <w:t>Each provider's run() method isolates failures: a network error, bad response, or per-record normalization issue in one source is logged and skipped rather than aborting the entire run. Retryable HTTP statuses (429, 500, 502, 503, 504) are retried with exponential backoff before a request is given up on.</w:t>
      </w:r>
    </w:p>
    <w:p>
      <w:r>
        <w:br w:type="page"/>
      </w:r>
    </w:p>
    <w:p>
      <w:pPr>
        <w:pStyle w:val="Heading1"/>
        <w:spacing w:before="120" w:after="280"/>
      </w:pPr>
      <w:r>
        <w:rPr>
          <w:b/>
          <w:color w:val="2A78D6"/>
          <w:sz w:val="40"/>
        </w:rPr>
        <w:t>4. Dataset Overview</w:t>
      </w:r>
    </w:p>
    <w:p>
      <w:pPr>
        <w:spacing w:after="160"/>
      </w:pPr>
      <w:r>
        <w:t>The current dataset (jobs.json) contains 155,794 unique job records spanning 9,497 distinct companies. Schema completeness is very high: only 45 records (0.03%) are missing a company name, only 72 (0.05%) are missing a location, and 155,779 records (99.99%) carry a parseable posting date.</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val="clear" w:color="auto" w:fill="2A78D6"/>
          </w:tcPr>
          <w:p>
            <w:r/>
            <w:r>
              <w:rPr>
                <w:b/>
                <w:color w:val="FFFFFF"/>
                <w:sz w:val="19"/>
              </w:rPr>
              <w:t>Metric</w:t>
            </w:r>
          </w:p>
        </w:tc>
        <w:tc>
          <w:tcPr>
            <w:tcW w:type="dxa" w:w="4873"/>
            <w:shd w:val="clear" w:color="auto" w:fill="2A78D6"/>
          </w:tcPr>
          <w:p>
            <w:r/>
            <w:r>
              <w:rPr>
                <w:b/>
                <w:color w:val="FFFFFF"/>
                <w:sz w:val="19"/>
              </w:rPr>
              <w:t>Value</w:t>
            </w:r>
          </w:p>
        </w:tc>
      </w:tr>
      <w:tr>
        <w:tc>
          <w:tcPr>
            <w:tcW w:type="dxa" w:w="4873"/>
          </w:tcPr>
          <w:p>
            <w:r/>
            <w:r>
              <w:rPr>
                <w:color w:val="0B0B0B"/>
                <w:sz w:val="19"/>
              </w:rPr>
              <w:t>Total unique jobs</w:t>
            </w:r>
          </w:p>
        </w:tc>
        <w:tc>
          <w:tcPr>
            <w:tcW w:type="dxa" w:w="4873"/>
          </w:tcPr>
          <w:p>
            <w:r/>
            <w:r>
              <w:rPr>
                <w:color w:val="0B0B0B"/>
                <w:sz w:val="19"/>
              </w:rPr>
              <w:t>155,794</w:t>
            </w:r>
          </w:p>
        </w:tc>
      </w:tr>
      <w:tr>
        <w:tc>
          <w:tcPr>
            <w:tcW w:type="dxa" w:w="4873"/>
            <w:shd w:val="clear" w:color="auto" w:fill="F2F6FC"/>
          </w:tcPr>
          <w:p>
            <w:r/>
            <w:r>
              <w:rPr>
                <w:color w:val="0B0B0B"/>
                <w:sz w:val="19"/>
              </w:rPr>
              <w:t>Registered providers</w:t>
            </w:r>
          </w:p>
        </w:tc>
        <w:tc>
          <w:tcPr>
            <w:tcW w:type="dxa" w:w="4873"/>
            <w:shd w:val="clear" w:color="auto" w:fill="F2F6FC"/>
          </w:tcPr>
          <w:p>
            <w:r/>
            <w:r>
              <w:rPr>
                <w:color w:val="0B0B0B"/>
                <w:sz w:val="19"/>
              </w:rPr>
              <w:t>20</w:t>
            </w:r>
          </w:p>
        </w:tc>
      </w:tr>
      <w:tr>
        <w:tc>
          <w:tcPr>
            <w:tcW w:type="dxa" w:w="4873"/>
          </w:tcPr>
          <w:p>
            <w:r/>
            <w:r>
              <w:rPr>
                <w:color w:val="0B0B0B"/>
                <w:sz w:val="19"/>
              </w:rPr>
              <w:t>Providers contributing in latest run</w:t>
            </w:r>
          </w:p>
        </w:tc>
        <w:tc>
          <w:tcPr>
            <w:tcW w:type="dxa" w:w="4873"/>
          </w:tcPr>
          <w:p>
            <w:r/>
            <w:r>
              <w:rPr>
                <w:color w:val="0B0B0B"/>
                <w:sz w:val="19"/>
              </w:rPr>
              <w:t>19</w:t>
            </w:r>
          </w:p>
        </w:tc>
      </w:tr>
      <w:tr>
        <w:tc>
          <w:tcPr>
            <w:tcW w:type="dxa" w:w="4873"/>
            <w:shd w:val="clear" w:color="auto" w:fill="F2F6FC"/>
          </w:tcPr>
          <w:p>
            <w:r/>
            <w:r>
              <w:rPr>
                <w:color w:val="0B0B0B"/>
                <w:sz w:val="19"/>
              </w:rPr>
              <w:t>Distinct companies</w:t>
            </w:r>
          </w:p>
        </w:tc>
        <w:tc>
          <w:tcPr>
            <w:tcW w:type="dxa" w:w="4873"/>
            <w:shd w:val="clear" w:color="auto" w:fill="F2F6FC"/>
          </w:tcPr>
          <w:p>
            <w:r/>
            <w:r>
              <w:rPr>
                <w:color w:val="0B0B0B"/>
                <w:sz w:val="19"/>
              </w:rPr>
              <w:t>9,497</w:t>
            </w:r>
          </w:p>
        </w:tc>
      </w:tr>
      <w:tr>
        <w:tc>
          <w:tcPr>
            <w:tcW w:type="dxa" w:w="4873"/>
          </w:tcPr>
          <w:p>
            <w:r/>
            <w:r>
              <w:rPr>
                <w:color w:val="0B0B0B"/>
                <w:sz w:val="19"/>
              </w:rPr>
              <w:t>Jobs with empty company</w:t>
            </w:r>
          </w:p>
        </w:tc>
        <w:tc>
          <w:tcPr>
            <w:tcW w:type="dxa" w:w="4873"/>
          </w:tcPr>
          <w:p>
            <w:r/>
            <w:r>
              <w:rPr>
                <w:color w:val="0B0B0B"/>
                <w:sz w:val="19"/>
              </w:rPr>
              <w:t>45 (0.03%)</w:t>
            </w:r>
          </w:p>
        </w:tc>
      </w:tr>
      <w:tr>
        <w:tc>
          <w:tcPr>
            <w:tcW w:type="dxa" w:w="4873"/>
            <w:shd w:val="clear" w:color="auto" w:fill="F2F6FC"/>
          </w:tcPr>
          <w:p>
            <w:r/>
            <w:r>
              <w:rPr>
                <w:color w:val="0B0B0B"/>
                <w:sz w:val="19"/>
              </w:rPr>
              <w:t>Jobs with empty location</w:t>
            </w:r>
          </w:p>
        </w:tc>
        <w:tc>
          <w:tcPr>
            <w:tcW w:type="dxa" w:w="4873"/>
            <w:shd w:val="clear" w:color="auto" w:fill="F2F6FC"/>
          </w:tcPr>
          <w:p>
            <w:r/>
            <w:r>
              <w:rPr>
                <w:color w:val="0B0B0B"/>
                <w:sz w:val="19"/>
              </w:rPr>
              <w:t>72 (0.05%)</w:t>
            </w:r>
          </w:p>
        </w:tc>
      </w:tr>
      <w:tr>
        <w:tc>
          <w:tcPr>
            <w:tcW w:type="dxa" w:w="4873"/>
          </w:tcPr>
          <w:p>
            <w:r/>
            <w:r>
              <w:rPr>
                <w:color w:val="0B0B0B"/>
                <w:sz w:val="19"/>
              </w:rPr>
              <w:t>Jobs with empty tags</w:t>
            </w:r>
          </w:p>
        </w:tc>
        <w:tc>
          <w:tcPr>
            <w:tcW w:type="dxa" w:w="4873"/>
          </w:tcPr>
          <w:p>
            <w:r/>
            <w:r>
              <w:rPr>
                <w:color w:val="0B0B0B"/>
                <w:sz w:val="19"/>
              </w:rPr>
              <w:t>11,762 (7.5%)</w:t>
            </w:r>
          </w:p>
        </w:tc>
      </w:tr>
      <w:tr>
        <w:tc>
          <w:tcPr>
            <w:tcW w:type="dxa" w:w="4873"/>
            <w:shd w:val="clear" w:color="auto" w:fill="F2F6FC"/>
          </w:tcPr>
          <w:p>
            <w:r/>
            <w:r>
              <w:rPr>
                <w:color w:val="0B0B0B"/>
                <w:sz w:val="19"/>
              </w:rPr>
              <w:t>Jobs with a parseable posted date</w:t>
            </w:r>
          </w:p>
        </w:tc>
        <w:tc>
          <w:tcPr>
            <w:tcW w:type="dxa" w:w="4873"/>
            <w:shd w:val="clear" w:color="auto" w:fill="F2F6FC"/>
          </w:tcPr>
          <w:p>
            <w:r/>
            <w:r>
              <w:rPr>
                <w:color w:val="0B0B0B"/>
                <w:sz w:val="19"/>
              </w:rPr>
              <w:t>155,779 (99.99%)</w:t>
            </w:r>
          </w:p>
        </w:tc>
      </w:tr>
      <w:tr>
        <w:tc>
          <w:tcPr>
            <w:tcW w:type="dxa" w:w="4873"/>
          </w:tcPr>
          <w:p>
            <w:r/>
            <w:r>
              <w:rPr>
                <w:color w:val="0B0B0B"/>
                <w:sz w:val="19"/>
              </w:rPr>
              <w:t>Duplicate URLs remaining</w:t>
            </w:r>
          </w:p>
        </w:tc>
        <w:tc>
          <w:tcPr>
            <w:tcW w:type="dxa" w:w="4873"/>
          </w:tcPr>
          <w:p>
            <w:r/>
            <w:r>
              <w:rPr>
                <w:color w:val="0B0B0B"/>
                <w:sz w:val="19"/>
              </w:rPr>
              <w:t>0</w:t>
            </w:r>
          </w:p>
        </w:tc>
      </w:tr>
    </w:tbl>
    <w:p>
      <w:pPr>
        <w:spacing w:after="80"/>
      </w:pPr>
    </w:p>
    <w:p>
      <w:pPr>
        <w:spacing w:before="200" w:after="120"/>
      </w:pPr>
      <w:r>
        <w:rPr>
          <w:b/>
          <w:color w:val="0B0B0B"/>
          <w:sz w:val="26"/>
        </w:rPr>
        <w:t>Remote vs. onsite</w:t>
      </w:r>
    </w:p>
    <w:p>
      <w:pPr>
        <w:spacing w:after="160"/>
      </w:pPr>
      <w:r>
        <w:t>Only 10.9% of jobs (16,992) are marked remote; the remaining 89.1% (138,802) are onsite or not marked remote. Several providers are remote-only by construction (Himalayas, RemoteOK, Jobicy); most others derive the remote flag from a genuine API field where available, falling back to a keyword heuristic on title/location otherwise.</w:t>
      </w:r>
    </w:p>
    <w:p>
      <w:pPr>
        <w:jc w:val="center"/>
      </w:pPr>
      <w:r>
        <w:drawing>
          <wp:inline xmlns:a="http://schemas.openxmlformats.org/drawingml/2006/main" xmlns:pic="http://schemas.openxmlformats.org/drawingml/2006/picture">
            <wp:extent cx="5760720" cy="1933911"/>
            <wp:docPr id="1" name="Picture 1"/>
            <wp:cNvGraphicFramePr>
              <a:graphicFrameLocks noChangeAspect="1"/>
            </wp:cNvGraphicFramePr>
            <a:graphic>
              <a:graphicData uri="http://schemas.openxmlformats.org/drawingml/2006/picture">
                <pic:pic>
                  <pic:nvPicPr>
                    <pic:cNvPr id="0" name="remote_vs_onsite.png"/>
                    <pic:cNvPicPr/>
                  </pic:nvPicPr>
                  <pic:blipFill>
                    <a:blip r:embed="rId10"/>
                    <a:stretch>
                      <a:fillRect/>
                    </a:stretch>
                  </pic:blipFill>
                  <pic:spPr>
                    <a:xfrm>
                      <a:off x="0" y="0"/>
                      <a:ext cx="5760720" cy="1933911"/>
                    </a:xfrm>
                    <a:prstGeom prst="rect"/>
                  </pic:spPr>
                </pic:pic>
              </a:graphicData>
            </a:graphic>
          </wp:inline>
        </w:drawing>
      </w:r>
    </w:p>
    <w:p>
      <w:pPr>
        <w:spacing w:after="240"/>
        <w:jc w:val="center"/>
      </w:pPr>
      <w:r>
        <w:rPr>
          <w:i/>
          <w:color w:val="52514E"/>
          <w:sz w:val="18"/>
        </w:rPr>
        <w:t>Figure 1. Remote vs. onsite split across the full dataset.</w:t>
      </w:r>
    </w:p>
    <w:p>
      <w:pPr>
        <w:spacing w:before="200" w:after="120"/>
      </w:pPr>
      <w:r>
        <w:rPr>
          <w:b/>
          <w:color w:val="0B0B0B"/>
          <w:sz w:val="26"/>
        </w:rPr>
        <w:t>Company distribution</w:t>
      </w:r>
    </w:p>
    <w:p>
      <w:pPr>
        <w:spacing w:after="160"/>
      </w:pPr>
      <w:r>
        <w:t>Company concentration is extreme and bimodal. The top 10 companies account for 37.8% of the dataset (58,922 jobs); the top 25 account for 47.5%. At the same time, 58.0% of all 9,497 distinct companies (5,505 companies) contribute exactly one job each. Domino's alone represents 15.7% of every job in the platform — nearly one in six listings — because its SmartRecruiters board lists each store-level opening (delivery driver, assistant manager, etc.) as a separate posting across thousands of U.S. locations.</w:t>
      </w:r>
    </w:p>
    <w:p>
      <w:pPr>
        <w:jc w:val="center"/>
      </w:pPr>
      <w:r>
        <w:drawing>
          <wp:inline xmlns:a="http://schemas.openxmlformats.org/drawingml/2006/main" xmlns:pic="http://schemas.openxmlformats.org/drawingml/2006/picture">
            <wp:extent cx="5760720" cy="3909372"/>
            <wp:docPr id="2" name="Picture 2"/>
            <wp:cNvGraphicFramePr>
              <a:graphicFrameLocks noChangeAspect="1"/>
            </wp:cNvGraphicFramePr>
            <a:graphic>
              <a:graphicData uri="http://schemas.openxmlformats.org/drawingml/2006/picture">
                <pic:pic>
                  <pic:nvPicPr>
                    <pic:cNvPr id="0" name="top_hiring_companies.png"/>
                    <pic:cNvPicPr/>
                  </pic:nvPicPr>
                  <pic:blipFill>
                    <a:blip r:embed="rId11"/>
                    <a:stretch>
                      <a:fillRect/>
                    </a:stretch>
                  </pic:blipFill>
                  <pic:spPr>
                    <a:xfrm>
                      <a:off x="0" y="0"/>
                      <a:ext cx="5760720" cy="3909372"/>
                    </a:xfrm>
                    <a:prstGeom prst="rect"/>
                  </pic:spPr>
                </pic:pic>
              </a:graphicData>
            </a:graphic>
          </wp:inline>
        </w:drawing>
      </w:r>
    </w:p>
    <w:p>
      <w:pPr>
        <w:spacing w:after="240"/>
        <w:jc w:val="center"/>
      </w:pPr>
      <w:r>
        <w:rPr>
          <w:i/>
          <w:color w:val="52514E"/>
          <w:sz w:val="18"/>
        </w:rPr>
        <w:t>Figure 2. Top 15 hiring companies by job count.</w:t>
      </w:r>
    </w:p>
    <w:p>
      <w:r>
        <w:br w:type="page"/>
      </w:r>
    </w:p>
    <w:p>
      <w:pPr>
        <w:pStyle w:val="Heading1"/>
        <w:spacing w:before="120" w:after="280"/>
      </w:pPr>
      <w:r>
        <w:rPr>
          <w:b/>
          <w:color w:val="2A78D6"/>
          <w:sz w:val="40"/>
        </w:rPr>
        <w:t>5. Provider Analysis</w:t>
      </w:r>
    </w:p>
    <w:p>
      <w:pPr>
        <w:spacing w:after="160"/>
      </w:pPr>
      <w:r>
        <w:t>Provider attribution was reconstructed from each job's URL host, since the schema does not carry an explicit source field. A single provider, SmartRecruiters, supplies 41.8% of the entire dataset — more than four in ten jobs. The top three providers (SmartRecruiters, Lever, Greenhouse) together account for 62.8% of all jobs.</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val="clear" w:color="auto" w:fill="2A78D6"/>
          </w:tcPr>
          <w:p>
            <w:r/>
            <w:r>
              <w:rPr>
                <w:b/>
                <w:color w:val="FFFFFF"/>
                <w:sz w:val="19"/>
              </w:rPr>
              <w:t>Provider</w:t>
            </w:r>
          </w:p>
        </w:tc>
        <w:tc>
          <w:tcPr>
            <w:tcW w:type="dxa" w:w="3249"/>
            <w:shd w:val="clear" w:color="auto" w:fill="2A78D6"/>
          </w:tcPr>
          <w:p>
            <w:r/>
            <w:r>
              <w:rPr>
                <w:b/>
                <w:color w:val="FFFFFF"/>
                <w:sz w:val="19"/>
              </w:rPr>
              <w:t>Jobs</w:t>
            </w:r>
          </w:p>
        </w:tc>
        <w:tc>
          <w:tcPr>
            <w:tcW w:type="dxa" w:w="3249"/>
            <w:shd w:val="clear" w:color="auto" w:fill="2A78D6"/>
          </w:tcPr>
          <w:p>
            <w:r/>
            <w:r>
              <w:rPr>
                <w:b/>
                <w:color w:val="FFFFFF"/>
                <w:sz w:val="19"/>
              </w:rPr>
              <w:t>% of dataset</w:t>
            </w:r>
          </w:p>
        </w:tc>
      </w:tr>
      <w:tr>
        <w:tc>
          <w:tcPr>
            <w:tcW w:type="dxa" w:w="3249"/>
          </w:tcPr>
          <w:p>
            <w:r/>
            <w:r>
              <w:rPr>
                <w:color w:val="0B0B0B"/>
                <w:sz w:val="19"/>
              </w:rPr>
              <w:t>SmartRecruiters</w:t>
            </w:r>
          </w:p>
        </w:tc>
        <w:tc>
          <w:tcPr>
            <w:tcW w:type="dxa" w:w="3249"/>
          </w:tcPr>
          <w:p>
            <w:r/>
            <w:r>
              <w:rPr>
                <w:color w:val="0B0B0B"/>
                <w:sz w:val="19"/>
              </w:rPr>
              <w:t>65,193</w:t>
            </w:r>
          </w:p>
        </w:tc>
        <w:tc>
          <w:tcPr>
            <w:tcW w:type="dxa" w:w="3249"/>
          </w:tcPr>
          <w:p>
            <w:r/>
            <w:r>
              <w:rPr>
                <w:color w:val="0B0B0B"/>
                <w:sz w:val="19"/>
              </w:rPr>
              <w:t>41.8%</w:t>
            </w:r>
          </w:p>
        </w:tc>
      </w:tr>
      <w:tr>
        <w:tc>
          <w:tcPr>
            <w:tcW w:type="dxa" w:w="3249"/>
            <w:shd w:val="clear" w:color="auto" w:fill="F2F6FC"/>
          </w:tcPr>
          <w:p>
            <w:r/>
            <w:r>
              <w:rPr>
                <w:color w:val="0B0B0B"/>
                <w:sz w:val="19"/>
              </w:rPr>
              <w:t>Lever</w:t>
            </w:r>
          </w:p>
        </w:tc>
        <w:tc>
          <w:tcPr>
            <w:tcW w:type="dxa" w:w="3249"/>
            <w:shd w:val="clear" w:color="auto" w:fill="F2F6FC"/>
          </w:tcPr>
          <w:p>
            <w:r/>
            <w:r>
              <w:rPr>
                <w:color w:val="0B0B0B"/>
                <w:sz w:val="19"/>
              </w:rPr>
              <w:t>17,755</w:t>
            </w:r>
          </w:p>
        </w:tc>
        <w:tc>
          <w:tcPr>
            <w:tcW w:type="dxa" w:w="3249"/>
            <w:shd w:val="clear" w:color="auto" w:fill="F2F6FC"/>
          </w:tcPr>
          <w:p>
            <w:r/>
            <w:r>
              <w:rPr>
                <w:color w:val="0B0B0B"/>
                <w:sz w:val="19"/>
              </w:rPr>
              <w:t>11.4%</w:t>
            </w:r>
          </w:p>
        </w:tc>
      </w:tr>
      <w:tr>
        <w:tc>
          <w:tcPr>
            <w:tcW w:type="dxa" w:w="3249"/>
          </w:tcPr>
          <w:p>
            <w:r/>
            <w:r>
              <w:rPr>
                <w:color w:val="0B0B0B"/>
                <w:sz w:val="19"/>
              </w:rPr>
              <w:t>Greenhouse</w:t>
            </w:r>
          </w:p>
        </w:tc>
        <w:tc>
          <w:tcPr>
            <w:tcW w:type="dxa" w:w="3249"/>
          </w:tcPr>
          <w:p>
            <w:r/>
            <w:r>
              <w:rPr>
                <w:color w:val="0B0B0B"/>
                <w:sz w:val="19"/>
              </w:rPr>
              <w:t>14,930</w:t>
            </w:r>
          </w:p>
        </w:tc>
        <w:tc>
          <w:tcPr>
            <w:tcW w:type="dxa" w:w="3249"/>
          </w:tcPr>
          <w:p>
            <w:r/>
            <w:r>
              <w:rPr>
                <w:color w:val="0B0B0B"/>
                <w:sz w:val="19"/>
              </w:rPr>
              <w:t>9.6%</w:t>
            </w:r>
          </w:p>
        </w:tc>
      </w:tr>
      <w:tr>
        <w:tc>
          <w:tcPr>
            <w:tcW w:type="dxa" w:w="3249"/>
            <w:shd w:val="clear" w:color="auto" w:fill="F2F6FC"/>
          </w:tcPr>
          <w:p>
            <w:r/>
            <w:r>
              <w:rPr>
                <w:color w:val="0B0B0B"/>
                <w:sz w:val="19"/>
              </w:rPr>
              <w:t>USAJOBS</w:t>
            </w:r>
          </w:p>
        </w:tc>
        <w:tc>
          <w:tcPr>
            <w:tcW w:type="dxa" w:w="3249"/>
            <w:shd w:val="clear" w:color="auto" w:fill="F2F6FC"/>
          </w:tcPr>
          <w:p>
            <w:r/>
            <w:r>
              <w:rPr>
                <w:color w:val="0B0B0B"/>
                <w:sz w:val="19"/>
              </w:rPr>
              <w:t>10,000</w:t>
            </w:r>
          </w:p>
        </w:tc>
        <w:tc>
          <w:tcPr>
            <w:tcW w:type="dxa" w:w="3249"/>
            <w:shd w:val="clear" w:color="auto" w:fill="F2F6FC"/>
          </w:tcPr>
          <w:p>
            <w:r/>
            <w:r>
              <w:rPr>
                <w:color w:val="0B0B0B"/>
                <w:sz w:val="19"/>
              </w:rPr>
              <w:t>6.4%</w:t>
            </w:r>
          </w:p>
        </w:tc>
      </w:tr>
      <w:tr>
        <w:tc>
          <w:tcPr>
            <w:tcW w:type="dxa" w:w="3249"/>
          </w:tcPr>
          <w:p>
            <w:r/>
            <w:r>
              <w:rPr>
                <w:color w:val="0B0B0B"/>
                <w:sz w:val="19"/>
              </w:rPr>
              <w:t>Reed</w:t>
            </w:r>
          </w:p>
        </w:tc>
        <w:tc>
          <w:tcPr>
            <w:tcW w:type="dxa" w:w="3249"/>
          </w:tcPr>
          <w:p>
            <w:r/>
            <w:r>
              <w:rPr>
                <w:color w:val="0B0B0B"/>
                <w:sz w:val="19"/>
              </w:rPr>
              <w:t>9,000</w:t>
            </w:r>
          </w:p>
        </w:tc>
        <w:tc>
          <w:tcPr>
            <w:tcW w:type="dxa" w:w="3249"/>
          </w:tcPr>
          <w:p>
            <w:r/>
            <w:r>
              <w:rPr>
                <w:color w:val="0B0B0B"/>
                <w:sz w:val="19"/>
              </w:rPr>
              <w:t>5.8%</w:t>
            </w:r>
          </w:p>
        </w:tc>
      </w:tr>
      <w:tr>
        <w:tc>
          <w:tcPr>
            <w:tcW w:type="dxa" w:w="3249"/>
            <w:shd w:val="clear" w:color="auto" w:fill="F2F6FC"/>
          </w:tcPr>
          <w:p>
            <w:r/>
            <w:r>
              <w:rPr>
                <w:color w:val="0B0B0B"/>
                <w:sz w:val="19"/>
              </w:rPr>
              <w:t>Bundesagentur (+AMS)</w:t>
            </w:r>
          </w:p>
        </w:tc>
        <w:tc>
          <w:tcPr>
            <w:tcW w:type="dxa" w:w="3249"/>
            <w:shd w:val="clear" w:color="auto" w:fill="F2F6FC"/>
          </w:tcPr>
          <w:p>
            <w:r/>
            <w:r>
              <w:rPr>
                <w:color w:val="0B0B0B"/>
                <w:sz w:val="19"/>
              </w:rPr>
              <w:t>~7,800</w:t>
            </w:r>
          </w:p>
        </w:tc>
        <w:tc>
          <w:tcPr>
            <w:tcW w:type="dxa" w:w="3249"/>
            <w:shd w:val="clear" w:color="auto" w:fill="F2F6FC"/>
          </w:tcPr>
          <w:p>
            <w:r/>
            <w:r>
              <w:rPr>
                <w:color w:val="0B0B0B"/>
                <w:sz w:val="19"/>
              </w:rPr>
              <w:t>~5.0%</w:t>
            </w:r>
          </w:p>
        </w:tc>
      </w:tr>
      <w:tr>
        <w:tc>
          <w:tcPr>
            <w:tcW w:type="dxa" w:w="3249"/>
          </w:tcPr>
          <w:p>
            <w:r/>
            <w:r>
              <w:rPr>
                <w:color w:val="0B0B0B"/>
                <w:sz w:val="19"/>
              </w:rPr>
              <w:t>Ashby</w:t>
            </w:r>
          </w:p>
        </w:tc>
        <w:tc>
          <w:tcPr>
            <w:tcW w:type="dxa" w:w="3249"/>
          </w:tcPr>
          <w:p>
            <w:r/>
            <w:r>
              <w:rPr>
                <w:color w:val="0B0B0B"/>
                <w:sz w:val="19"/>
              </w:rPr>
              <w:t>5,171</w:t>
            </w:r>
          </w:p>
        </w:tc>
        <w:tc>
          <w:tcPr>
            <w:tcW w:type="dxa" w:w="3249"/>
          </w:tcPr>
          <w:p>
            <w:r/>
            <w:r>
              <w:rPr>
                <w:color w:val="0B0B0B"/>
                <w:sz w:val="19"/>
              </w:rPr>
              <w:t>3.3%</w:t>
            </w:r>
          </w:p>
        </w:tc>
      </w:tr>
      <w:tr>
        <w:tc>
          <w:tcPr>
            <w:tcW w:type="dxa" w:w="3249"/>
            <w:shd w:val="clear" w:color="auto" w:fill="F2F6FC"/>
          </w:tcPr>
          <w:p>
            <w:r/>
            <w:r>
              <w:rPr>
                <w:color w:val="0B0B0B"/>
                <w:sz w:val="19"/>
              </w:rPr>
              <w:t>Workable</w:t>
            </w:r>
          </w:p>
        </w:tc>
        <w:tc>
          <w:tcPr>
            <w:tcW w:type="dxa" w:w="3249"/>
            <w:shd w:val="clear" w:color="auto" w:fill="F2F6FC"/>
          </w:tcPr>
          <w:p>
            <w:r/>
            <w:r>
              <w:rPr>
                <w:color w:val="0B0B0B"/>
                <w:sz w:val="19"/>
              </w:rPr>
              <w:t>4,159</w:t>
            </w:r>
          </w:p>
        </w:tc>
        <w:tc>
          <w:tcPr>
            <w:tcW w:type="dxa" w:w="3249"/>
            <w:shd w:val="clear" w:color="auto" w:fill="F2F6FC"/>
          </w:tcPr>
          <w:p>
            <w:r/>
            <w:r>
              <w:rPr>
                <w:color w:val="0B0B0B"/>
                <w:sz w:val="19"/>
              </w:rPr>
              <w:t>2.7%</w:t>
            </w:r>
          </w:p>
        </w:tc>
      </w:tr>
      <w:tr>
        <w:tc>
          <w:tcPr>
            <w:tcW w:type="dxa" w:w="3249"/>
          </w:tcPr>
          <w:p>
            <w:r/>
            <w:r>
              <w:rPr>
                <w:color w:val="0B0B0B"/>
                <w:sz w:val="19"/>
              </w:rPr>
              <w:t>Jooble</w:t>
            </w:r>
          </w:p>
        </w:tc>
        <w:tc>
          <w:tcPr>
            <w:tcW w:type="dxa" w:w="3249"/>
          </w:tcPr>
          <w:p>
            <w:r/>
            <w:r>
              <w:rPr>
                <w:color w:val="0B0B0B"/>
                <w:sz w:val="19"/>
              </w:rPr>
              <w:t>~3,100</w:t>
            </w:r>
          </w:p>
        </w:tc>
        <w:tc>
          <w:tcPr>
            <w:tcW w:type="dxa" w:w="3249"/>
          </w:tcPr>
          <w:p>
            <w:r/>
            <w:r>
              <w:rPr>
                <w:color w:val="0B0B0B"/>
                <w:sz w:val="19"/>
              </w:rPr>
              <w:t>~2.0%</w:t>
            </w:r>
          </w:p>
        </w:tc>
      </w:tr>
      <w:tr>
        <w:tc>
          <w:tcPr>
            <w:tcW w:type="dxa" w:w="3249"/>
            <w:shd w:val="clear" w:color="auto" w:fill="F2F6FC"/>
          </w:tcPr>
          <w:p>
            <w:r/>
            <w:r>
              <w:rPr>
                <w:color w:val="0B0B0B"/>
                <w:sz w:val="19"/>
              </w:rPr>
              <w:t>Himalayas</w:t>
            </w:r>
          </w:p>
        </w:tc>
        <w:tc>
          <w:tcPr>
            <w:tcW w:type="dxa" w:w="3249"/>
            <w:shd w:val="clear" w:color="auto" w:fill="F2F6FC"/>
          </w:tcPr>
          <w:p>
            <w:r/>
            <w:r>
              <w:rPr>
                <w:color w:val="0B0B0B"/>
                <w:sz w:val="19"/>
              </w:rPr>
              <w:t>2,964</w:t>
            </w:r>
          </w:p>
        </w:tc>
        <w:tc>
          <w:tcPr>
            <w:tcW w:type="dxa" w:w="3249"/>
            <w:shd w:val="clear" w:color="auto" w:fill="F2F6FC"/>
          </w:tcPr>
          <w:p>
            <w:r/>
            <w:r>
              <w:rPr>
                <w:color w:val="0B0B0B"/>
                <w:sz w:val="19"/>
              </w:rPr>
              <w:t>1.9%</w:t>
            </w:r>
          </w:p>
        </w:tc>
      </w:tr>
      <w:tr>
        <w:tc>
          <w:tcPr>
            <w:tcW w:type="dxa" w:w="3249"/>
          </w:tcPr>
          <w:p>
            <w:r/>
            <w:r>
              <w:rPr>
                <w:color w:val="0B0B0B"/>
                <w:sz w:val="19"/>
              </w:rPr>
              <w:t>Adzuna</w:t>
            </w:r>
          </w:p>
        </w:tc>
        <w:tc>
          <w:tcPr>
            <w:tcW w:type="dxa" w:w="3249"/>
          </w:tcPr>
          <w:p>
            <w:r/>
            <w:r>
              <w:rPr>
                <w:color w:val="0B0B0B"/>
                <w:sz w:val="19"/>
              </w:rPr>
              <w:t>2,001</w:t>
            </w:r>
          </w:p>
        </w:tc>
        <w:tc>
          <w:tcPr>
            <w:tcW w:type="dxa" w:w="3249"/>
          </w:tcPr>
          <w:p>
            <w:r/>
            <w:r>
              <w:rPr>
                <w:color w:val="0B0B0B"/>
                <w:sz w:val="19"/>
              </w:rPr>
              <w:t>1.3%</w:t>
            </w:r>
          </w:p>
        </w:tc>
      </w:tr>
      <w:tr>
        <w:tc>
          <w:tcPr>
            <w:tcW w:type="dxa" w:w="3249"/>
            <w:shd w:val="clear" w:color="auto" w:fill="F2F6FC"/>
          </w:tcPr>
          <w:p>
            <w:r/>
            <w:r>
              <w:rPr>
                <w:color w:val="0B0B0B"/>
                <w:sz w:val="19"/>
              </w:rPr>
              <w:t>The Muse</w:t>
            </w:r>
          </w:p>
        </w:tc>
        <w:tc>
          <w:tcPr>
            <w:tcW w:type="dxa" w:w="3249"/>
            <w:shd w:val="clear" w:color="auto" w:fill="F2F6FC"/>
          </w:tcPr>
          <w:p>
            <w:r/>
            <w:r>
              <w:rPr>
                <w:color w:val="0B0B0B"/>
                <w:sz w:val="19"/>
              </w:rPr>
              <w:t>2,000</w:t>
            </w:r>
          </w:p>
        </w:tc>
        <w:tc>
          <w:tcPr>
            <w:tcW w:type="dxa" w:w="3249"/>
            <w:shd w:val="clear" w:color="auto" w:fill="F2F6FC"/>
          </w:tcPr>
          <w:p>
            <w:r/>
            <w:r>
              <w:rPr>
                <w:color w:val="0B0B0B"/>
                <w:sz w:val="19"/>
              </w:rPr>
              <w:t>1.3%</w:t>
            </w:r>
          </w:p>
        </w:tc>
      </w:tr>
      <w:tr>
        <w:tc>
          <w:tcPr>
            <w:tcW w:type="dxa" w:w="3249"/>
          </w:tcPr>
          <w:p>
            <w:r/>
            <w:r>
              <w:rPr>
                <w:color w:val="0B0B0B"/>
                <w:sz w:val="19"/>
              </w:rPr>
              <w:t>Arbeitnow</w:t>
            </w:r>
          </w:p>
        </w:tc>
        <w:tc>
          <w:tcPr>
            <w:tcW w:type="dxa" w:w="3249"/>
          </w:tcPr>
          <w:p>
            <w:r/>
            <w:r>
              <w:rPr>
                <w:color w:val="0B0B0B"/>
                <w:sz w:val="19"/>
              </w:rPr>
              <w:t>930</w:t>
            </w:r>
          </w:p>
        </w:tc>
        <w:tc>
          <w:tcPr>
            <w:tcW w:type="dxa" w:w="3249"/>
          </w:tcPr>
          <w:p>
            <w:r/>
            <w:r>
              <w:rPr>
                <w:color w:val="0B0B0B"/>
                <w:sz w:val="19"/>
              </w:rPr>
              <w:t>0.6%</w:t>
            </w:r>
          </w:p>
        </w:tc>
      </w:tr>
      <w:tr>
        <w:tc>
          <w:tcPr>
            <w:tcW w:type="dxa" w:w="3249"/>
            <w:shd w:val="clear" w:color="auto" w:fill="F2F6FC"/>
          </w:tcPr>
          <w:p>
            <w:r/>
            <w:r>
              <w:rPr>
                <w:color w:val="0B0B0B"/>
                <w:sz w:val="19"/>
              </w:rPr>
              <w:t>Teamtailor</w:t>
            </w:r>
          </w:p>
        </w:tc>
        <w:tc>
          <w:tcPr>
            <w:tcW w:type="dxa" w:w="3249"/>
            <w:shd w:val="clear" w:color="auto" w:fill="F2F6FC"/>
          </w:tcPr>
          <w:p>
            <w:r/>
            <w:r>
              <w:rPr>
                <w:color w:val="0B0B0B"/>
                <w:sz w:val="19"/>
              </w:rPr>
              <w:t>474</w:t>
            </w:r>
          </w:p>
        </w:tc>
        <w:tc>
          <w:tcPr>
            <w:tcW w:type="dxa" w:w="3249"/>
            <w:shd w:val="clear" w:color="auto" w:fill="F2F6FC"/>
          </w:tcPr>
          <w:p>
            <w:r/>
            <w:r>
              <w:rPr>
                <w:color w:val="0B0B0B"/>
                <w:sz w:val="19"/>
              </w:rPr>
              <w:t>0.3%</w:t>
            </w:r>
          </w:p>
        </w:tc>
      </w:tr>
      <w:tr>
        <w:tc>
          <w:tcPr>
            <w:tcW w:type="dxa" w:w="3249"/>
          </w:tcPr>
          <w:p>
            <w:r/>
            <w:r>
              <w:rPr>
                <w:color w:val="0B0B0B"/>
                <w:sz w:val="19"/>
              </w:rPr>
              <w:t>Other (SerpApi, OpenWeb Ninja, Careerjet, RemoteOK, Jobicy)</w:t>
            </w:r>
          </w:p>
        </w:tc>
        <w:tc>
          <w:tcPr>
            <w:tcW w:type="dxa" w:w="3249"/>
          </w:tcPr>
          <w:p>
            <w:r/>
            <w:r>
              <w:rPr>
                <w:color w:val="0B0B0B"/>
                <w:sz w:val="19"/>
              </w:rPr>
              <w:t>~350</w:t>
            </w:r>
          </w:p>
        </w:tc>
        <w:tc>
          <w:tcPr>
            <w:tcW w:type="dxa" w:w="3249"/>
          </w:tcPr>
          <w:p>
            <w:r/>
            <w:r>
              <w:rPr>
                <w:color w:val="0B0B0B"/>
                <w:sz w:val="19"/>
              </w:rPr>
              <w:t>~0.2%</w:t>
            </w:r>
          </w:p>
        </w:tc>
      </w:tr>
      <w:tr>
        <w:tc>
          <w:tcPr>
            <w:tcW w:type="dxa" w:w="3249"/>
            <w:shd w:val="clear" w:color="auto" w:fill="F2F6FC"/>
          </w:tcPr>
          <w:p>
            <w:r/>
            <w:r>
              <w:rPr>
                <w:color w:val="0B0B0B"/>
                <w:sz w:val="19"/>
              </w:rPr>
              <w:t>TheirStack</w:t>
            </w:r>
          </w:p>
        </w:tc>
        <w:tc>
          <w:tcPr>
            <w:tcW w:type="dxa" w:w="3249"/>
            <w:shd w:val="clear" w:color="auto" w:fill="F2F6FC"/>
          </w:tcPr>
          <w:p>
            <w:r/>
            <w:r>
              <w:rPr>
                <w:color w:val="0B0B0B"/>
                <w:sz w:val="19"/>
              </w:rPr>
              <w:t>0</w:t>
            </w:r>
          </w:p>
        </w:tc>
        <w:tc>
          <w:tcPr>
            <w:tcW w:type="dxa" w:w="3249"/>
            <w:shd w:val="clear" w:color="auto" w:fill="F2F6FC"/>
          </w:tcPr>
          <w:p>
            <w:r/>
            <w:r>
              <w:rPr>
                <w:color w:val="0B0B0B"/>
                <w:sz w:val="19"/>
              </w:rPr>
              <w:t>0.0% (plan-gated, HTTP 402)</w:t>
            </w:r>
          </w:p>
        </w:tc>
      </w:tr>
    </w:tbl>
    <w:p>
      <w:pPr>
        <w:spacing w:after="80"/>
      </w:pPr>
    </w:p>
    <w:p>
      <w:pPr>
        <w:jc w:val="center"/>
      </w:pPr>
      <w:r>
        <w:drawing>
          <wp:inline xmlns:a="http://schemas.openxmlformats.org/drawingml/2006/main" xmlns:pic="http://schemas.openxmlformats.org/drawingml/2006/picture">
            <wp:extent cx="5760720" cy="3830315"/>
            <wp:docPr id="3" name="Picture 3"/>
            <wp:cNvGraphicFramePr>
              <a:graphicFrameLocks noChangeAspect="1"/>
            </wp:cNvGraphicFramePr>
            <a:graphic>
              <a:graphicData uri="http://schemas.openxmlformats.org/drawingml/2006/picture">
                <pic:pic>
                  <pic:nvPicPr>
                    <pic:cNvPr id="0" name="jobs_by_provider.png"/>
                    <pic:cNvPicPr/>
                  </pic:nvPicPr>
                  <pic:blipFill>
                    <a:blip r:embed="rId12"/>
                    <a:stretch>
                      <a:fillRect/>
                    </a:stretch>
                  </pic:blipFill>
                  <pic:spPr>
                    <a:xfrm>
                      <a:off x="0" y="0"/>
                      <a:ext cx="5760720" cy="3830315"/>
                    </a:xfrm>
                    <a:prstGeom prst="rect"/>
                  </pic:spPr>
                </pic:pic>
              </a:graphicData>
            </a:graphic>
          </wp:inline>
        </w:drawing>
      </w:r>
    </w:p>
    <w:p>
      <w:pPr>
        <w:spacing w:after="240"/>
        <w:jc w:val="center"/>
      </w:pPr>
      <w:r>
        <w:rPr>
          <w:i/>
          <w:color w:val="52514E"/>
          <w:sz w:val="18"/>
        </w:rPr>
        <w:t>Figure 3. Jobs by provider (top 12, remainder grouped as Other).</w:t>
      </w:r>
    </w:p>
    <w:p>
      <w:pPr>
        <w:spacing w:before="200" w:after="120"/>
      </w:pPr>
      <w:r>
        <w:rPr>
          <w:b/>
          <w:color w:val="0B0B0B"/>
          <w:sz w:val="26"/>
        </w:rPr>
        <w:t>ATS provider mix</w:t>
      </w:r>
    </w:p>
    <w:p>
      <w:pPr>
        <w:spacing w:after="160"/>
      </w:pPr>
      <w:r>
        <w:t>The six company-based ATS providers (Greenhouse, Lever, Ashby, SmartRecruiters, Workable, Teamtailor) together supply 107,664 jobs — 69.1% of the entire dataset. Within that ATS-sourced subset, SmartRecruiters alone represents 60.6%, followed by Lever (16.5%) and Greenhouse (13.9%); Ashby, Workable, and Teamtailor together make up the remaining 9.1%.</w:t>
      </w:r>
    </w:p>
    <w:p>
      <w:pPr>
        <w:jc w:val="center"/>
      </w:pPr>
      <w:r>
        <w:drawing>
          <wp:inline xmlns:a="http://schemas.openxmlformats.org/drawingml/2006/main" xmlns:pic="http://schemas.openxmlformats.org/drawingml/2006/picture">
            <wp:extent cx="5760720" cy="2571750"/>
            <wp:docPr id="4" name="Picture 4"/>
            <wp:cNvGraphicFramePr>
              <a:graphicFrameLocks noChangeAspect="1"/>
            </wp:cNvGraphicFramePr>
            <a:graphic>
              <a:graphicData uri="http://schemas.openxmlformats.org/drawingml/2006/picture">
                <pic:pic>
                  <pic:nvPicPr>
                    <pic:cNvPr id="0" name="ats_provider_distribution.png"/>
                    <pic:cNvPicPr/>
                  </pic:nvPicPr>
                  <pic:blipFill>
                    <a:blip r:embed="rId13"/>
                    <a:stretch>
                      <a:fillRect/>
                    </a:stretch>
                  </pic:blipFill>
                  <pic:spPr>
                    <a:xfrm>
                      <a:off x="0" y="0"/>
                      <a:ext cx="5760720" cy="2571750"/>
                    </a:xfrm>
                    <a:prstGeom prst="rect"/>
                  </pic:spPr>
                </pic:pic>
              </a:graphicData>
            </a:graphic>
          </wp:inline>
        </w:drawing>
      </w:r>
    </w:p>
    <w:p>
      <w:pPr>
        <w:spacing w:after="240"/>
        <w:jc w:val="center"/>
      </w:pPr>
      <w:r>
        <w:rPr>
          <w:i/>
          <w:color w:val="52514E"/>
          <w:sz w:val="18"/>
        </w:rPr>
        <w:t>Figure 4. Distribution across the six ATS providers only.</w:t>
      </w:r>
    </w:p>
    <w:p>
      <w:pPr>
        <w:spacing w:after="160"/>
      </w:pPr>
      <w:r>
        <w:t>All six ATS providers grow exclusively by manually adding verified company slugs to a curated list — there is no query-based way to expand their reach. Regional and company composition is therefore driven largely by which companies were curated into these lists, not by a balanced global crawl.</w:t>
      </w:r>
    </w:p>
    <w:p>
      <w:r>
        <w:br w:type="page"/>
      </w:r>
    </w:p>
    <w:p>
      <w:pPr>
        <w:pStyle w:val="Heading1"/>
        <w:spacing w:before="120" w:after="280"/>
      </w:pPr>
      <w:r>
        <w:rPr>
          <w:b/>
          <w:color w:val="2A78D6"/>
          <w:sz w:val="40"/>
        </w:rPr>
        <w:t>6. Regional Coverage</w:t>
      </w:r>
    </w:p>
    <w:p>
      <w:pPr>
        <w:spacing w:after="160"/>
      </w:pPr>
      <w:r>
        <w:t>Region was inferred from each job's free-text location field using a keyword/token classifier. The United States dominates at 51.0% of the dataset; the six primary target regions together account for 81.3% (126,638 jobs).</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val="clear" w:color="auto" w:fill="2A78D6"/>
          </w:tcPr>
          <w:p>
            <w:r/>
            <w:r>
              <w:rPr>
                <w:b/>
                <w:color w:val="FFFFFF"/>
                <w:sz w:val="19"/>
              </w:rPr>
              <w:t>Region</w:t>
            </w:r>
          </w:p>
        </w:tc>
        <w:tc>
          <w:tcPr>
            <w:tcW w:type="dxa" w:w="3249"/>
            <w:shd w:val="clear" w:color="auto" w:fill="2A78D6"/>
          </w:tcPr>
          <w:p>
            <w:r/>
            <w:r>
              <w:rPr>
                <w:b/>
                <w:color w:val="FFFFFF"/>
                <w:sz w:val="19"/>
              </w:rPr>
              <w:t>Jobs</w:t>
            </w:r>
          </w:p>
        </w:tc>
        <w:tc>
          <w:tcPr>
            <w:tcW w:type="dxa" w:w="3249"/>
            <w:shd w:val="clear" w:color="auto" w:fill="2A78D6"/>
          </w:tcPr>
          <w:p>
            <w:r/>
            <w:r>
              <w:rPr>
                <w:b/>
                <w:color w:val="FFFFFF"/>
                <w:sz w:val="19"/>
              </w:rPr>
              <w:t>% of dataset</w:t>
            </w:r>
          </w:p>
        </w:tc>
      </w:tr>
      <w:tr>
        <w:tc>
          <w:tcPr>
            <w:tcW w:type="dxa" w:w="3249"/>
          </w:tcPr>
          <w:p>
            <w:r/>
            <w:r>
              <w:rPr>
                <w:color w:val="0B0B0B"/>
                <w:sz w:val="19"/>
              </w:rPr>
              <w:t>United States</w:t>
            </w:r>
          </w:p>
        </w:tc>
        <w:tc>
          <w:tcPr>
            <w:tcW w:type="dxa" w:w="3249"/>
          </w:tcPr>
          <w:p>
            <w:r/>
            <w:r>
              <w:rPr>
                <w:color w:val="0B0B0B"/>
                <w:sz w:val="19"/>
              </w:rPr>
              <w:t>79,427</w:t>
            </w:r>
          </w:p>
        </w:tc>
        <w:tc>
          <w:tcPr>
            <w:tcW w:type="dxa" w:w="3249"/>
          </w:tcPr>
          <w:p>
            <w:r/>
            <w:r>
              <w:rPr>
                <w:color w:val="0B0B0B"/>
                <w:sz w:val="19"/>
              </w:rPr>
              <w:t>51.0%</w:t>
            </w:r>
          </w:p>
        </w:tc>
      </w:tr>
      <w:tr>
        <w:tc>
          <w:tcPr>
            <w:tcW w:type="dxa" w:w="3249"/>
            <w:shd w:val="clear" w:color="auto" w:fill="F2F6FC"/>
          </w:tcPr>
          <w:p>
            <w:r/>
            <w:r>
              <w:rPr>
                <w:color w:val="0B0B0B"/>
                <w:sz w:val="19"/>
              </w:rPr>
              <w:t>Europe (continental, non-UK)</w:t>
            </w:r>
          </w:p>
        </w:tc>
        <w:tc>
          <w:tcPr>
            <w:tcW w:type="dxa" w:w="3249"/>
            <w:shd w:val="clear" w:color="auto" w:fill="F2F6FC"/>
          </w:tcPr>
          <w:p>
            <w:r/>
            <w:r>
              <w:rPr>
                <w:color w:val="0B0B0B"/>
                <w:sz w:val="19"/>
              </w:rPr>
              <w:t>21,886</w:t>
            </w:r>
          </w:p>
        </w:tc>
        <w:tc>
          <w:tcPr>
            <w:tcW w:type="dxa" w:w="3249"/>
            <w:shd w:val="clear" w:color="auto" w:fill="F2F6FC"/>
          </w:tcPr>
          <w:p>
            <w:r/>
            <w:r>
              <w:rPr>
                <w:color w:val="0B0B0B"/>
                <w:sz w:val="19"/>
              </w:rPr>
              <w:t>14.0%</w:t>
            </w:r>
          </w:p>
        </w:tc>
      </w:tr>
      <w:tr>
        <w:tc>
          <w:tcPr>
            <w:tcW w:type="dxa" w:w="3249"/>
          </w:tcPr>
          <w:p>
            <w:r/>
            <w:r>
              <w:rPr>
                <w:color w:val="0B0B0B"/>
                <w:sz w:val="19"/>
              </w:rPr>
              <w:t>United Kingdom</w:t>
            </w:r>
          </w:p>
        </w:tc>
        <w:tc>
          <w:tcPr>
            <w:tcW w:type="dxa" w:w="3249"/>
          </w:tcPr>
          <w:p>
            <w:r/>
            <w:r>
              <w:rPr>
                <w:color w:val="0B0B0B"/>
                <w:sz w:val="19"/>
              </w:rPr>
              <w:t>10,305</w:t>
            </w:r>
          </w:p>
        </w:tc>
        <w:tc>
          <w:tcPr>
            <w:tcW w:type="dxa" w:w="3249"/>
          </w:tcPr>
          <w:p>
            <w:r/>
            <w:r>
              <w:rPr>
                <w:color w:val="0B0B0B"/>
                <w:sz w:val="19"/>
              </w:rPr>
              <w:t>6.6%</w:t>
            </w:r>
          </w:p>
        </w:tc>
      </w:tr>
      <w:tr>
        <w:tc>
          <w:tcPr>
            <w:tcW w:type="dxa" w:w="3249"/>
            <w:shd w:val="clear" w:color="auto" w:fill="F2F6FC"/>
          </w:tcPr>
          <w:p>
            <w:r/>
            <w:r>
              <w:rPr>
                <w:color w:val="0B0B0B"/>
                <w:sz w:val="19"/>
              </w:rPr>
              <w:t>LATAM</w:t>
            </w:r>
          </w:p>
        </w:tc>
        <w:tc>
          <w:tcPr>
            <w:tcW w:type="dxa" w:w="3249"/>
            <w:shd w:val="clear" w:color="auto" w:fill="F2F6FC"/>
          </w:tcPr>
          <w:p>
            <w:r/>
            <w:r>
              <w:rPr>
                <w:color w:val="0B0B0B"/>
                <w:sz w:val="19"/>
              </w:rPr>
              <w:t>6,955</w:t>
            </w:r>
          </w:p>
        </w:tc>
        <w:tc>
          <w:tcPr>
            <w:tcW w:type="dxa" w:w="3249"/>
            <w:shd w:val="clear" w:color="auto" w:fill="F2F6FC"/>
          </w:tcPr>
          <w:p>
            <w:r/>
            <w:r>
              <w:rPr>
                <w:color w:val="0B0B0B"/>
                <w:sz w:val="19"/>
              </w:rPr>
              <w:t>4.5%</w:t>
            </w:r>
          </w:p>
        </w:tc>
      </w:tr>
      <w:tr>
        <w:tc>
          <w:tcPr>
            <w:tcW w:type="dxa" w:w="3249"/>
          </w:tcPr>
          <w:p>
            <w:r/>
            <w:r>
              <w:rPr>
                <w:color w:val="0B0B0B"/>
                <w:sz w:val="19"/>
              </w:rPr>
              <w:t>Singapore / Southeast Asia</w:t>
            </w:r>
          </w:p>
        </w:tc>
        <w:tc>
          <w:tcPr>
            <w:tcW w:type="dxa" w:w="3249"/>
          </w:tcPr>
          <w:p>
            <w:r/>
            <w:r>
              <w:rPr>
                <w:color w:val="0B0B0B"/>
                <w:sz w:val="19"/>
              </w:rPr>
              <w:t>4,629</w:t>
            </w:r>
          </w:p>
        </w:tc>
        <w:tc>
          <w:tcPr>
            <w:tcW w:type="dxa" w:w="3249"/>
          </w:tcPr>
          <w:p>
            <w:r/>
            <w:r>
              <w:rPr>
                <w:color w:val="0B0B0B"/>
                <w:sz w:val="19"/>
              </w:rPr>
              <w:t>3.0%</w:t>
            </w:r>
          </w:p>
        </w:tc>
      </w:tr>
      <w:tr>
        <w:tc>
          <w:tcPr>
            <w:tcW w:type="dxa" w:w="3249"/>
            <w:shd w:val="clear" w:color="auto" w:fill="F2F6FC"/>
          </w:tcPr>
          <w:p>
            <w:r/>
            <w:r>
              <w:rPr>
                <w:color w:val="0B0B0B"/>
                <w:sz w:val="19"/>
              </w:rPr>
              <w:t>Canada</w:t>
            </w:r>
          </w:p>
        </w:tc>
        <w:tc>
          <w:tcPr>
            <w:tcW w:type="dxa" w:w="3249"/>
            <w:shd w:val="clear" w:color="auto" w:fill="F2F6FC"/>
          </w:tcPr>
          <w:p>
            <w:r/>
            <w:r>
              <w:rPr>
                <w:color w:val="0B0B0B"/>
                <w:sz w:val="19"/>
              </w:rPr>
              <w:t>3,436</w:t>
            </w:r>
          </w:p>
        </w:tc>
        <w:tc>
          <w:tcPr>
            <w:tcW w:type="dxa" w:w="3249"/>
            <w:shd w:val="clear" w:color="auto" w:fill="F2F6FC"/>
          </w:tcPr>
          <w:p>
            <w:r/>
            <w:r>
              <w:rPr>
                <w:color w:val="0B0B0B"/>
                <w:sz w:val="19"/>
              </w:rPr>
              <w:t>2.2%</w:t>
            </w:r>
          </w:p>
        </w:tc>
      </w:tr>
      <w:tr>
        <w:tc>
          <w:tcPr>
            <w:tcW w:type="dxa" w:w="3249"/>
          </w:tcPr>
          <w:p>
            <w:r/>
            <w:r>
              <w:rPr>
                <w:color w:val="0B0B0B"/>
                <w:sz w:val="19"/>
              </w:rPr>
              <w:t>Remote / Worldwide</w:t>
            </w:r>
          </w:p>
        </w:tc>
        <w:tc>
          <w:tcPr>
            <w:tcW w:type="dxa" w:w="3249"/>
          </w:tcPr>
          <w:p>
            <w:r/>
            <w:r>
              <w:rPr>
                <w:color w:val="0B0B0B"/>
                <w:sz w:val="19"/>
              </w:rPr>
              <w:t>822</w:t>
            </w:r>
          </w:p>
        </w:tc>
        <w:tc>
          <w:tcPr>
            <w:tcW w:type="dxa" w:w="3249"/>
          </w:tcPr>
          <w:p>
            <w:r/>
            <w:r>
              <w:rPr>
                <w:color w:val="0B0B0B"/>
                <w:sz w:val="19"/>
              </w:rPr>
              <w:t>0.5%</w:t>
            </w:r>
          </w:p>
        </w:tc>
      </w:tr>
      <w:tr>
        <w:tc>
          <w:tcPr>
            <w:tcW w:type="dxa" w:w="3249"/>
            <w:shd w:val="clear" w:color="auto" w:fill="F2F6FC"/>
          </w:tcPr>
          <w:p>
            <w:r/>
            <w:r>
              <w:rPr>
                <w:color w:val="0B0B0B"/>
                <w:sz w:val="19"/>
              </w:rPr>
              <w:t>Other / Unclassified</w:t>
            </w:r>
          </w:p>
        </w:tc>
        <w:tc>
          <w:tcPr>
            <w:tcW w:type="dxa" w:w="3249"/>
            <w:shd w:val="clear" w:color="auto" w:fill="F2F6FC"/>
          </w:tcPr>
          <w:p>
            <w:r/>
            <w:r>
              <w:rPr>
                <w:color w:val="0B0B0B"/>
                <w:sz w:val="19"/>
              </w:rPr>
              <w:t>28,334</w:t>
            </w:r>
          </w:p>
        </w:tc>
        <w:tc>
          <w:tcPr>
            <w:tcW w:type="dxa" w:w="3249"/>
            <w:shd w:val="clear" w:color="auto" w:fill="F2F6FC"/>
          </w:tcPr>
          <w:p>
            <w:r/>
            <w:r>
              <w:rPr>
                <w:color w:val="0B0B0B"/>
                <w:sz w:val="19"/>
              </w:rPr>
              <w:t>18.2%</w:t>
            </w:r>
          </w:p>
        </w:tc>
      </w:tr>
    </w:tbl>
    <w:p>
      <w:pPr>
        <w:spacing w:after="80"/>
      </w:pPr>
    </w:p>
    <w:p>
      <w:pPr>
        <w:jc w:val="center"/>
      </w:pPr>
      <w:r>
        <w:drawing>
          <wp:inline xmlns:a="http://schemas.openxmlformats.org/drawingml/2006/main" xmlns:pic="http://schemas.openxmlformats.org/drawingml/2006/picture">
            <wp:extent cx="5760720" cy="3597538"/>
            <wp:docPr id="5" name="Picture 5"/>
            <wp:cNvGraphicFramePr>
              <a:graphicFrameLocks noChangeAspect="1"/>
            </wp:cNvGraphicFramePr>
            <a:graphic>
              <a:graphicData uri="http://schemas.openxmlformats.org/drawingml/2006/picture">
                <pic:pic>
                  <pic:nvPicPr>
                    <pic:cNvPr id="0" name="jobs_by_region.png"/>
                    <pic:cNvPicPr/>
                  </pic:nvPicPr>
                  <pic:blipFill>
                    <a:blip r:embed="rId14"/>
                    <a:stretch>
                      <a:fillRect/>
                    </a:stretch>
                  </pic:blipFill>
                  <pic:spPr>
                    <a:xfrm>
                      <a:off x="0" y="0"/>
                      <a:ext cx="5760720" cy="3597538"/>
                    </a:xfrm>
                    <a:prstGeom prst="rect"/>
                  </pic:spPr>
                </pic:pic>
              </a:graphicData>
            </a:graphic>
          </wp:inline>
        </w:drawing>
      </w:r>
    </w:p>
    <w:p>
      <w:pPr>
        <w:spacing w:after="240"/>
        <w:jc w:val="center"/>
      </w:pPr>
      <w:r>
        <w:rPr>
          <w:i/>
          <w:color w:val="52514E"/>
          <w:sz w:val="18"/>
        </w:rPr>
        <w:t>Figure 5. Jobs by region.</w:t>
      </w:r>
    </w:p>
    <w:p>
      <w:pPr>
        <w:spacing w:after="160"/>
      </w:pPr>
      <w:r>
        <w:t>Canada is the weakest of the six primary target regions at 2.2% — under half the size of the UK's dedicated coverage. 18.2% of jobs carry location text too ambiguous to classify into a region, which limits the reliability of any location-based filter, count, or map feature in its current form.</w:t>
      </w:r>
    </w:p>
    <w:p>
      <w:pPr>
        <w:spacing w:before="200" w:after="120"/>
      </w:pPr>
      <w:r>
        <w:rPr>
          <w:b/>
          <w:color w:val="0B0B0B"/>
          <w:sz w:val="26"/>
        </w:rPr>
        <w:t>Top countries</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c>
          <w:tcPr>
            <w:tcW w:type="dxa" w:w="2436"/>
            <w:shd w:val="clear" w:color="auto" w:fill="2A78D6"/>
          </w:tcPr>
          <w:p>
            <w:r/>
            <w:r>
              <w:rPr>
                <w:b/>
                <w:color w:val="FFFFFF"/>
                <w:sz w:val="19"/>
              </w:rPr>
              <w:t>Rank</w:t>
            </w:r>
          </w:p>
        </w:tc>
        <w:tc>
          <w:tcPr>
            <w:tcW w:type="dxa" w:w="2436"/>
            <w:shd w:val="clear" w:color="auto" w:fill="2A78D6"/>
          </w:tcPr>
          <w:p>
            <w:r/>
            <w:r>
              <w:rPr>
                <w:b/>
                <w:color w:val="FFFFFF"/>
                <w:sz w:val="19"/>
              </w:rPr>
              <w:t>Country</w:t>
            </w:r>
          </w:p>
        </w:tc>
        <w:tc>
          <w:tcPr>
            <w:tcW w:type="dxa" w:w="2436"/>
            <w:shd w:val="clear" w:color="auto" w:fill="2A78D6"/>
          </w:tcPr>
          <w:p>
            <w:r/>
            <w:r>
              <w:rPr>
                <w:b/>
                <w:color w:val="FFFFFF"/>
                <w:sz w:val="19"/>
              </w:rPr>
              <w:t>Jobs</w:t>
            </w:r>
          </w:p>
        </w:tc>
        <w:tc>
          <w:tcPr>
            <w:tcW w:type="dxa" w:w="2436"/>
            <w:shd w:val="clear" w:color="auto" w:fill="2A78D6"/>
          </w:tcPr>
          <w:p>
            <w:r/>
            <w:r>
              <w:rPr>
                <w:b/>
                <w:color w:val="FFFFFF"/>
                <w:sz w:val="19"/>
              </w:rPr>
              <w:t>%</w:t>
            </w:r>
          </w:p>
        </w:tc>
      </w:tr>
      <w:tr>
        <w:tc>
          <w:tcPr>
            <w:tcW w:type="dxa" w:w="2436"/>
          </w:tcPr>
          <w:p>
            <w:r/>
            <w:r>
              <w:rPr>
                <w:color w:val="0B0B0B"/>
                <w:sz w:val="19"/>
              </w:rPr>
              <w:t>1</w:t>
            </w:r>
          </w:p>
        </w:tc>
        <w:tc>
          <w:tcPr>
            <w:tcW w:type="dxa" w:w="2436"/>
          </w:tcPr>
          <w:p>
            <w:r/>
            <w:r>
              <w:rPr>
                <w:color w:val="0B0B0B"/>
                <w:sz w:val="19"/>
              </w:rPr>
              <w:t>United States</w:t>
            </w:r>
          </w:p>
        </w:tc>
        <w:tc>
          <w:tcPr>
            <w:tcW w:type="dxa" w:w="2436"/>
          </w:tcPr>
          <w:p>
            <w:r/>
            <w:r>
              <w:rPr>
                <w:color w:val="0B0B0B"/>
                <w:sz w:val="19"/>
              </w:rPr>
              <w:t>79,427</w:t>
            </w:r>
          </w:p>
        </w:tc>
        <w:tc>
          <w:tcPr>
            <w:tcW w:type="dxa" w:w="2436"/>
          </w:tcPr>
          <w:p>
            <w:r/>
            <w:r>
              <w:rPr>
                <w:color w:val="0B0B0B"/>
                <w:sz w:val="19"/>
              </w:rPr>
              <w:t>51.0%</w:t>
            </w:r>
          </w:p>
        </w:tc>
      </w:tr>
      <w:tr>
        <w:tc>
          <w:tcPr>
            <w:tcW w:type="dxa" w:w="2436"/>
            <w:shd w:val="clear" w:color="auto" w:fill="F2F6FC"/>
          </w:tcPr>
          <w:p>
            <w:r/>
            <w:r>
              <w:rPr>
                <w:color w:val="0B0B0B"/>
                <w:sz w:val="19"/>
              </w:rPr>
              <w:t>2</w:t>
            </w:r>
          </w:p>
        </w:tc>
        <w:tc>
          <w:tcPr>
            <w:tcW w:type="dxa" w:w="2436"/>
            <w:shd w:val="clear" w:color="auto" w:fill="F2F6FC"/>
          </w:tcPr>
          <w:p>
            <w:r/>
            <w:r>
              <w:rPr>
                <w:color w:val="0B0B0B"/>
                <w:sz w:val="19"/>
              </w:rPr>
              <w:t>Germany</w:t>
            </w:r>
          </w:p>
        </w:tc>
        <w:tc>
          <w:tcPr>
            <w:tcW w:type="dxa" w:w="2436"/>
            <w:shd w:val="clear" w:color="auto" w:fill="F2F6FC"/>
          </w:tcPr>
          <w:p>
            <w:r/>
            <w:r>
              <w:rPr>
                <w:color w:val="0B0B0B"/>
                <w:sz w:val="19"/>
              </w:rPr>
              <w:t>12,167</w:t>
            </w:r>
          </w:p>
        </w:tc>
        <w:tc>
          <w:tcPr>
            <w:tcW w:type="dxa" w:w="2436"/>
            <w:shd w:val="clear" w:color="auto" w:fill="F2F6FC"/>
          </w:tcPr>
          <w:p>
            <w:r/>
            <w:r>
              <w:rPr>
                <w:color w:val="0B0B0B"/>
                <w:sz w:val="19"/>
              </w:rPr>
              <w:t>7.8%</w:t>
            </w:r>
          </w:p>
        </w:tc>
      </w:tr>
      <w:tr>
        <w:tc>
          <w:tcPr>
            <w:tcW w:type="dxa" w:w="2436"/>
          </w:tcPr>
          <w:p>
            <w:r/>
            <w:r>
              <w:rPr>
                <w:color w:val="0B0B0B"/>
                <w:sz w:val="19"/>
              </w:rPr>
              <w:t>3</w:t>
            </w:r>
          </w:p>
        </w:tc>
        <w:tc>
          <w:tcPr>
            <w:tcW w:type="dxa" w:w="2436"/>
          </w:tcPr>
          <w:p>
            <w:r/>
            <w:r>
              <w:rPr>
                <w:color w:val="0B0B0B"/>
                <w:sz w:val="19"/>
              </w:rPr>
              <w:t>United Kingdom</w:t>
            </w:r>
          </w:p>
        </w:tc>
        <w:tc>
          <w:tcPr>
            <w:tcW w:type="dxa" w:w="2436"/>
          </w:tcPr>
          <w:p>
            <w:r/>
            <w:r>
              <w:rPr>
                <w:color w:val="0B0B0B"/>
                <w:sz w:val="19"/>
              </w:rPr>
              <w:t>10,305</w:t>
            </w:r>
          </w:p>
        </w:tc>
        <w:tc>
          <w:tcPr>
            <w:tcW w:type="dxa" w:w="2436"/>
          </w:tcPr>
          <w:p>
            <w:r/>
            <w:r>
              <w:rPr>
                <w:color w:val="0B0B0B"/>
                <w:sz w:val="19"/>
              </w:rPr>
              <w:t>6.6%</w:t>
            </w:r>
          </w:p>
        </w:tc>
      </w:tr>
      <w:tr>
        <w:tc>
          <w:tcPr>
            <w:tcW w:type="dxa" w:w="2436"/>
            <w:shd w:val="clear" w:color="auto" w:fill="F2F6FC"/>
          </w:tcPr>
          <w:p>
            <w:r/>
            <w:r>
              <w:rPr>
                <w:color w:val="0B0B0B"/>
                <w:sz w:val="19"/>
              </w:rPr>
              <w:t>4</w:t>
            </w:r>
          </w:p>
        </w:tc>
        <w:tc>
          <w:tcPr>
            <w:tcW w:type="dxa" w:w="2436"/>
            <w:shd w:val="clear" w:color="auto" w:fill="F2F6FC"/>
          </w:tcPr>
          <w:p>
            <w:r/>
            <w:r>
              <w:rPr>
                <w:color w:val="0B0B0B"/>
                <w:sz w:val="19"/>
              </w:rPr>
              <w:t>India</w:t>
            </w:r>
          </w:p>
        </w:tc>
        <w:tc>
          <w:tcPr>
            <w:tcW w:type="dxa" w:w="2436"/>
            <w:shd w:val="clear" w:color="auto" w:fill="F2F6FC"/>
          </w:tcPr>
          <w:p>
            <w:r/>
            <w:r>
              <w:rPr>
                <w:color w:val="0B0B0B"/>
                <w:sz w:val="19"/>
              </w:rPr>
              <w:t>3,471</w:t>
            </w:r>
          </w:p>
        </w:tc>
        <w:tc>
          <w:tcPr>
            <w:tcW w:type="dxa" w:w="2436"/>
            <w:shd w:val="clear" w:color="auto" w:fill="F2F6FC"/>
          </w:tcPr>
          <w:p>
            <w:r/>
            <w:r>
              <w:rPr>
                <w:color w:val="0B0B0B"/>
                <w:sz w:val="19"/>
              </w:rPr>
              <w:t>2.2%</w:t>
            </w:r>
          </w:p>
        </w:tc>
      </w:tr>
      <w:tr>
        <w:tc>
          <w:tcPr>
            <w:tcW w:type="dxa" w:w="2436"/>
          </w:tcPr>
          <w:p>
            <w:r/>
            <w:r>
              <w:rPr>
                <w:color w:val="0B0B0B"/>
                <w:sz w:val="19"/>
              </w:rPr>
              <w:t>5</w:t>
            </w:r>
          </w:p>
        </w:tc>
        <w:tc>
          <w:tcPr>
            <w:tcW w:type="dxa" w:w="2436"/>
          </w:tcPr>
          <w:p>
            <w:r/>
            <w:r>
              <w:rPr>
                <w:color w:val="0B0B0B"/>
                <w:sz w:val="19"/>
              </w:rPr>
              <w:t>Canada</w:t>
            </w:r>
          </w:p>
        </w:tc>
        <w:tc>
          <w:tcPr>
            <w:tcW w:type="dxa" w:w="2436"/>
          </w:tcPr>
          <w:p>
            <w:r/>
            <w:r>
              <w:rPr>
                <w:color w:val="0B0B0B"/>
                <w:sz w:val="19"/>
              </w:rPr>
              <w:t>3,436</w:t>
            </w:r>
          </w:p>
        </w:tc>
        <w:tc>
          <w:tcPr>
            <w:tcW w:type="dxa" w:w="2436"/>
          </w:tcPr>
          <w:p>
            <w:r/>
            <w:r>
              <w:rPr>
                <w:color w:val="0B0B0B"/>
                <w:sz w:val="19"/>
              </w:rPr>
              <w:t>2.2%</w:t>
            </w:r>
          </w:p>
        </w:tc>
      </w:tr>
      <w:tr>
        <w:tc>
          <w:tcPr>
            <w:tcW w:type="dxa" w:w="2436"/>
            <w:shd w:val="clear" w:color="auto" w:fill="F2F6FC"/>
          </w:tcPr>
          <w:p>
            <w:r/>
            <w:r>
              <w:rPr>
                <w:color w:val="0B0B0B"/>
                <w:sz w:val="19"/>
              </w:rPr>
              <w:t>6</w:t>
            </w:r>
          </w:p>
        </w:tc>
        <w:tc>
          <w:tcPr>
            <w:tcW w:type="dxa" w:w="2436"/>
            <w:shd w:val="clear" w:color="auto" w:fill="F2F6FC"/>
          </w:tcPr>
          <w:p>
            <w:r/>
            <w:r>
              <w:rPr>
                <w:color w:val="0B0B0B"/>
                <w:sz w:val="19"/>
              </w:rPr>
              <w:t>France</w:t>
            </w:r>
          </w:p>
        </w:tc>
        <w:tc>
          <w:tcPr>
            <w:tcW w:type="dxa" w:w="2436"/>
            <w:shd w:val="clear" w:color="auto" w:fill="F2F6FC"/>
          </w:tcPr>
          <w:p>
            <w:r/>
            <w:r>
              <w:rPr>
                <w:color w:val="0B0B0B"/>
                <w:sz w:val="19"/>
              </w:rPr>
              <w:t>2,218</w:t>
            </w:r>
          </w:p>
        </w:tc>
        <w:tc>
          <w:tcPr>
            <w:tcW w:type="dxa" w:w="2436"/>
            <w:shd w:val="clear" w:color="auto" w:fill="F2F6FC"/>
          </w:tcPr>
          <w:p>
            <w:r/>
            <w:r>
              <w:rPr>
                <w:color w:val="0B0B0B"/>
                <w:sz w:val="19"/>
              </w:rPr>
              <w:t>1.4%</w:t>
            </w:r>
          </w:p>
        </w:tc>
      </w:tr>
      <w:tr>
        <w:tc>
          <w:tcPr>
            <w:tcW w:type="dxa" w:w="2436"/>
          </w:tcPr>
          <w:p>
            <w:r/>
            <w:r>
              <w:rPr>
                <w:color w:val="0B0B0B"/>
                <w:sz w:val="19"/>
              </w:rPr>
              <w:t>7</w:t>
            </w:r>
          </w:p>
        </w:tc>
        <w:tc>
          <w:tcPr>
            <w:tcW w:type="dxa" w:w="2436"/>
          </w:tcPr>
          <w:p>
            <w:r/>
            <w:r>
              <w:rPr>
                <w:color w:val="0B0B0B"/>
                <w:sz w:val="19"/>
              </w:rPr>
              <w:t>China</w:t>
            </w:r>
          </w:p>
        </w:tc>
        <w:tc>
          <w:tcPr>
            <w:tcW w:type="dxa" w:w="2436"/>
          </w:tcPr>
          <w:p>
            <w:r/>
            <w:r>
              <w:rPr>
                <w:color w:val="0B0B0B"/>
                <w:sz w:val="19"/>
              </w:rPr>
              <w:t>1,435</w:t>
            </w:r>
          </w:p>
        </w:tc>
        <w:tc>
          <w:tcPr>
            <w:tcW w:type="dxa" w:w="2436"/>
          </w:tcPr>
          <w:p>
            <w:r/>
            <w:r>
              <w:rPr>
                <w:color w:val="0B0B0B"/>
                <w:sz w:val="19"/>
              </w:rPr>
              <w:t>0.9%</w:t>
            </w:r>
          </w:p>
        </w:tc>
      </w:tr>
      <w:tr>
        <w:tc>
          <w:tcPr>
            <w:tcW w:type="dxa" w:w="2436"/>
            <w:shd w:val="clear" w:color="auto" w:fill="F2F6FC"/>
          </w:tcPr>
          <w:p>
            <w:r/>
            <w:r>
              <w:rPr>
                <w:color w:val="0B0B0B"/>
                <w:sz w:val="19"/>
              </w:rPr>
              <w:t>8</w:t>
            </w:r>
          </w:p>
        </w:tc>
        <w:tc>
          <w:tcPr>
            <w:tcW w:type="dxa" w:w="2436"/>
            <w:shd w:val="clear" w:color="auto" w:fill="F2F6FC"/>
          </w:tcPr>
          <w:p>
            <w:r/>
            <w:r>
              <w:rPr>
                <w:color w:val="0B0B0B"/>
                <w:sz w:val="19"/>
              </w:rPr>
              <w:t>Australia</w:t>
            </w:r>
          </w:p>
        </w:tc>
        <w:tc>
          <w:tcPr>
            <w:tcW w:type="dxa" w:w="2436"/>
            <w:shd w:val="clear" w:color="auto" w:fill="F2F6FC"/>
          </w:tcPr>
          <w:p>
            <w:r/>
            <w:r>
              <w:rPr>
                <w:color w:val="0B0B0B"/>
                <w:sz w:val="19"/>
              </w:rPr>
              <w:t>1,225</w:t>
            </w:r>
          </w:p>
        </w:tc>
        <w:tc>
          <w:tcPr>
            <w:tcW w:type="dxa" w:w="2436"/>
            <w:shd w:val="clear" w:color="auto" w:fill="F2F6FC"/>
          </w:tcPr>
          <w:p>
            <w:r/>
            <w:r>
              <w:rPr>
                <w:color w:val="0B0B0B"/>
                <w:sz w:val="19"/>
              </w:rPr>
              <w:t>0.8%</w:t>
            </w:r>
          </w:p>
        </w:tc>
      </w:tr>
    </w:tbl>
    <w:p>
      <w:pPr>
        <w:spacing w:after="80"/>
      </w:pPr>
    </w:p>
    <w:p>
      <w:pPr>
        <w:jc w:val="center"/>
      </w:pPr>
      <w:r>
        <w:drawing>
          <wp:inline xmlns:a="http://schemas.openxmlformats.org/drawingml/2006/main" xmlns:pic="http://schemas.openxmlformats.org/drawingml/2006/picture">
            <wp:extent cx="5760720" cy="4456594"/>
            <wp:docPr id="6" name="Picture 6"/>
            <wp:cNvGraphicFramePr>
              <a:graphicFrameLocks noChangeAspect="1"/>
            </wp:cNvGraphicFramePr>
            <a:graphic>
              <a:graphicData uri="http://schemas.openxmlformats.org/drawingml/2006/picture">
                <pic:pic>
                  <pic:nvPicPr>
                    <pic:cNvPr id="0" name="top_countries.png"/>
                    <pic:cNvPicPr/>
                  </pic:nvPicPr>
                  <pic:blipFill>
                    <a:blip r:embed="rId15"/>
                    <a:stretch>
                      <a:fillRect/>
                    </a:stretch>
                  </pic:blipFill>
                  <pic:spPr>
                    <a:xfrm>
                      <a:off x="0" y="0"/>
                      <a:ext cx="5760720" cy="4456594"/>
                    </a:xfrm>
                    <a:prstGeom prst="rect"/>
                  </pic:spPr>
                </pic:pic>
              </a:graphicData>
            </a:graphic>
          </wp:inline>
        </w:drawing>
      </w:r>
    </w:p>
    <w:p>
      <w:pPr>
        <w:spacing w:after="240"/>
        <w:jc w:val="center"/>
      </w:pPr>
      <w:r>
        <w:rPr>
          <w:i/>
          <w:color w:val="52514E"/>
          <w:sz w:val="18"/>
        </w:rPr>
        <w:t>Figure 6. Top 15 resolved countries by job count.</w:t>
      </w:r>
    </w:p>
    <w:p>
      <w:pPr>
        <w:spacing w:after="160"/>
      </w:pPr>
      <w:r>
        <w:t>Europe is largely a Germany story: Germany's 12,167 jobs represent 56% of the entire European total, driven by the two German public-agency sources. India, at 2.2% (3,471 jobs), is already the fourth-largest country in the dataset despite having no dedicated source — see Section 10.</w:t>
      </w:r>
    </w:p>
    <w:p>
      <w:r>
        <w:br w:type="page"/>
      </w:r>
    </w:p>
    <w:p>
      <w:pPr>
        <w:pStyle w:val="Heading1"/>
        <w:spacing w:before="120" w:after="280"/>
      </w:pPr>
      <w:r>
        <w:rPr>
          <w:b/>
          <w:color w:val="2A78D6"/>
          <w:sz w:val="40"/>
        </w:rPr>
        <w:t>7. Job Freshness</w:t>
      </w:r>
    </w:p>
    <w:p>
      <w:pPr>
        <w:spacing w:after="160"/>
      </w:pPr>
      <w:r>
        <w:t>Age is measured against the dataset's collection date (2026-07-03, the newest posted value present in the data). At collection time, a slim majority of the dataset was current, but the stale fraction is already substantial and will only grow without a refresh mechanism.</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c>
          <w:tcPr>
            <w:tcW w:type="dxa" w:w="2436"/>
            <w:shd w:val="clear" w:color="auto" w:fill="2A78D6"/>
          </w:tcPr>
          <w:p>
            <w:r/>
            <w:r>
              <w:rPr>
                <w:b/>
                <w:color w:val="FFFFFF"/>
                <w:sz w:val="19"/>
              </w:rPr>
              <w:t>Age at collection</w:t>
            </w:r>
          </w:p>
        </w:tc>
        <w:tc>
          <w:tcPr>
            <w:tcW w:type="dxa" w:w="2436"/>
            <w:shd w:val="clear" w:color="auto" w:fill="2A78D6"/>
          </w:tcPr>
          <w:p>
            <w:r/>
            <w:r>
              <w:rPr>
                <w:b/>
                <w:color w:val="FFFFFF"/>
                <w:sz w:val="19"/>
              </w:rPr>
              <w:t>Jobs</w:t>
            </w:r>
          </w:p>
        </w:tc>
        <w:tc>
          <w:tcPr>
            <w:tcW w:type="dxa" w:w="2436"/>
            <w:shd w:val="clear" w:color="auto" w:fill="2A78D6"/>
          </w:tcPr>
          <w:p>
            <w:r/>
            <w:r>
              <w:rPr>
                <w:b/>
                <w:color w:val="FFFFFF"/>
                <w:sz w:val="19"/>
              </w:rPr>
              <w:t>Cumulative ‘within’</w:t>
            </w:r>
          </w:p>
        </w:tc>
        <w:tc>
          <w:tcPr>
            <w:tcW w:type="dxa" w:w="2436"/>
            <w:shd w:val="clear" w:color="auto" w:fill="2A78D6"/>
          </w:tcPr>
          <w:p>
            <w:r/>
            <w:r>
              <w:rPr>
                <w:b/>
                <w:color w:val="FFFFFF"/>
                <w:sz w:val="19"/>
              </w:rPr>
              <w:t>Cumulative %</w:t>
            </w:r>
          </w:p>
        </w:tc>
      </w:tr>
      <w:tr>
        <w:tc>
          <w:tcPr>
            <w:tcW w:type="dxa" w:w="2436"/>
          </w:tcPr>
          <w:p>
            <w:r/>
            <w:r>
              <w:rPr>
                <w:color w:val="0B0B0B"/>
                <w:sz w:val="19"/>
              </w:rPr>
              <w:t>Within 24 hours</w:t>
            </w:r>
          </w:p>
        </w:tc>
        <w:tc>
          <w:tcPr>
            <w:tcW w:type="dxa" w:w="2436"/>
          </w:tcPr>
          <w:p>
            <w:r/>
            <w:r>
              <w:rPr>
                <w:color w:val="0B0B0B"/>
                <w:sz w:val="19"/>
              </w:rPr>
              <w:t>24,052</w:t>
            </w:r>
          </w:p>
        </w:tc>
        <w:tc>
          <w:tcPr>
            <w:tcW w:type="dxa" w:w="2436"/>
          </w:tcPr>
          <w:p>
            <w:r/>
            <w:r>
              <w:rPr>
                <w:color w:val="0B0B0B"/>
                <w:sz w:val="19"/>
              </w:rPr>
              <w:t>24,052</w:t>
            </w:r>
          </w:p>
        </w:tc>
        <w:tc>
          <w:tcPr>
            <w:tcW w:type="dxa" w:w="2436"/>
          </w:tcPr>
          <w:p>
            <w:r/>
            <w:r>
              <w:rPr>
                <w:color w:val="0B0B0B"/>
                <w:sz w:val="19"/>
              </w:rPr>
              <w:t>15.4%</w:t>
            </w:r>
          </w:p>
        </w:tc>
      </w:tr>
      <w:tr>
        <w:tc>
          <w:tcPr>
            <w:tcW w:type="dxa" w:w="2436"/>
            <w:shd w:val="clear" w:color="auto" w:fill="F2F6FC"/>
          </w:tcPr>
          <w:p>
            <w:r/>
            <w:r>
              <w:rPr>
                <w:color w:val="0B0B0B"/>
                <w:sz w:val="19"/>
              </w:rPr>
              <w:t>Within 3 days</w:t>
            </w:r>
          </w:p>
        </w:tc>
        <w:tc>
          <w:tcPr>
            <w:tcW w:type="dxa" w:w="2436"/>
            <w:shd w:val="clear" w:color="auto" w:fill="F2F6FC"/>
          </w:tcPr>
          <w:p>
            <w:r/>
            <w:r>
              <w:rPr>
                <w:color w:val="0B0B0B"/>
                <w:sz w:val="19"/>
              </w:rPr>
              <w:t>+6,582</w:t>
            </w:r>
          </w:p>
        </w:tc>
        <w:tc>
          <w:tcPr>
            <w:tcW w:type="dxa" w:w="2436"/>
            <w:shd w:val="clear" w:color="auto" w:fill="F2F6FC"/>
          </w:tcPr>
          <w:p>
            <w:r/>
            <w:r>
              <w:rPr>
                <w:color w:val="0B0B0B"/>
                <w:sz w:val="19"/>
              </w:rPr>
              <w:t>30,634</w:t>
            </w:r>
          </w:p>
        </w:tc>
        <w:tc>
          <w:tcPr>
            <w:tcW w:type="dxa" w:w="2436"/>
            <w:shd w:val="clear" w:color="auto" w:fill="F2F6FC"/>
          </w:tcPr>
          <w:p>
            <w:r/>
            <w:r>
              <w:rPr>
                <w:color w:val="0B0B0B"/>
                <w:sz w:val="19"/>
              </w:rPr>
              <w:t>19.7%</w:t>
            </w:r>
          </w:p>
        </w:tc>
      </w:tr>
      <w:tr>
        <w:tc>
          <w:tcPr>
            <w:tcW w:type="dxa" w:w="2436"/>
          </w:tcPr>
          <w:p>
            <w:r/>
            <w:r>
              <w:rPr>
                <w:color w:val="0B0B0B"/>
                <w:sz w:val="19"/>
              </w:rPr>
              <w:t>Within 7 days</w:t>
            </w:r>
          </w:p>
        </w:tc>
        <w:tc>
          <w:tcPr>
            <w:tcW w:type="dxa" w:w="2436"/>
          </w:tcPr>
          <w:p>
            <w:r/>
            <w:r>
              <w:rPr>
                <w:color w:val="0B0B0B"/>
                <w:sz w:val="19"/>
              </w:rPr>
              <w:t>+11,884</w:t>
            </w:r>
          </w:p>
        </w:tc>
        <w:tc>
          <w:tcPr>
            <w:tcW w:type="dxa" w:w="2436"/>
          </w:tcPr>
          <w:p>
            <w:r/>
            <w:r>
              <w:rPr>
                <w:color w:val="0B0B0B"/>
                <w:sz w:val="19"/>
              </w:rPr>
              <w:t>42,518</w:t>
            </w:r>
          </w:p>
        </w:tc>
        <w:tc>
          <w:tcPr>
            <w:tcW w:type="dxa" w:w="2436"/>
          </w:tcPr>
          <w:p>
            <w:r/>
            <w:r>
              <w:rPr>
                <w:color w:val="0B0B0B"/>
                <w:sz w:val="19"/>
              </w:rPr>
              <w:t>27.3%</w:t>
            </w:r>
          </w:p>
        </w:tc>
      </w:tr>
      <w:tr>
        <w:tc>
          <w:tcPr>
            <w:tcW w:type="dxa" w:w="2436"/>
            <w:shd w:val="clear" w:color="auto" w:fill="F2F6FC"/>
          </w:tcPr>
          <w:p>
            <w:r/>
            <w:r>
              <w:rPr>
                <w:color w:val="0B0B0B"/>
                <w:sz w:val="19"/>
              </w:rPr>
              <w:t>Within 14 days</w:t>
            </w:r>
          </w:p>
        </w:tc>
        <w:tc>
          <w:tcPr>
            <w:tcW w:type="dxa" w:w="2436"/>
            <w:shd w:val="clear" w:color="auto" w:fill="F2F6FC"/>
          </w:tcPr>
          <w:p>
            <w:r/>
            <w:r>
              <w:rPr>
                <w:color w:val="0B0B0B"/>
                <w:sz w:val="19"/>
              </w:rPr>
              <w:t>+24,610</w:t>
            </w:r>
          </w:p>
        </w:tc>
        <w:tc>
          <w:tcPr>
            <w:tcW w:type="dxa" w:w="2436"/>
            <w:shd w:val="clear" w:color="auto" w:fill="F2F6FC"/>
          </w:tcPr>
          <w:p>
            <w:r/>
            <w:r>
              <w:rPr>
                <w:color w:val="0B0B0B"/>
                <w:sz w:val="19"/>
              </w:rPr>
              <w:t>67,128</w:t>
            </w:r>
          </w:p>
        </w:tc>
        <w:tc>
          <w:tcPr>
            <w:tcW w:type="dxa" w:w="2436"/>
            <w:shd w:val="clear" w:color="auto" w:fill="F2F6FC"/>
          </w:tcPr>
          <w:p>
            <w:r/>
            <w:r>
              <w:rPr>
                <w:color w:val="0B0B0B"/>
                <w:sz w:val="19"/>
              </w:rPr>
              <w:t>43.1%</w:t>
            </w:r>
          </w:p>
        </w:tc>
      </w:tr>
      <w:tr>
        <w:tc>
          <w:tcPr>
            <w:tcW w:type="dxa" w:w="2436"/>
          </w:tcPr>
          <w:p>
            <w:r/>
            <w:r>
              <w:rPr>
                <w:color w:val="0B0B0B"/>
                <w:sz w:val="19"/>
              </w:rPr>
              <w:t>Within 30 days</w:t>
            </w:r>
          </w:p>
        </w:tc>
        <w:tc>
          <w:tcPr>
            <w:tcW w:type="dxa" w:w="2436"/>
          </w:tcPr>
          <w:p>
            <w:r/>
            <w:r>
              <w:rPr>
                <w:color w:val="0B0B0B"/>
                <w:sz w:val="19"/>
              </w:rPr>
              <w:t>+16,949</w:t>
            </w:r>
          </w:p>
        </w:tc>
        <w:tc>
          <w:tcPr>
            <w:tcW w:type="dxa" w:w="2436"/>
          </w:tcPr>
          <w:p>
            <w:r/>
            <w:r>
              <w:rPr>
                <w:color w:val="0B0B0B"/>
                <w:sz w:val="19"/>
              </w:rPr>
              <w:t>84,077</w:t>
            </w:r>
          </w:p>
        </w:tc>
        <w:tc>
          <w:tcPr>
            <w:tcW w:type="dxa" w:w="2436"/>
          </w:tcPr>
          <w:p>
            <w:r/>
            <w:r>
              <w:rPr>
                <w:color w:val="0B0B0B"/>
                <w:sz w:val="19"/>
              </w:rPr>
              <w:t>54.0%</w:t>
            </w:r>
          </w:p>
        </w:tc>
      </w:tr>
      <w:tr>
        <w:tc>
          <w:tcPr>
            <w:tcW w:type="dxa" w:w="2436"/>
            <w:shd w:val="clear" w:color="auto" w:fill="F2F6FC"/>
          </w:tcPr>
          <w:p>
            <w:r/>
            <w:r>
              <w:rPr>
                <w:color w:val="0B0B0B"/>
                <w:sz w:val="19"/>
              </w:rPr>
              <w:t>Older than 30 days</w:t>
            </w:r>
          </w:p>
        </w:tc>
        <w:tc>
          <w:tcPr>
            <w:tcW w:type="dxa" w:w="2436"/>
            <w:shd w:val="clear" w:color="auto" w:fill="F2F6FC"/>
          </w:tcPr>
          <w:p>
            <w:r/>
            <w:r>
              <w:rPr>
                <w:color w:val="0B0B0B"/>
                <w:sz w:val="19"/>
              </w:rPr>
              <w:t>71,702</w:t>
            </w:r>
          </w:p>
        </w:tc>
        <w:tc>
          <w:tcPr>
            <w:tcW w:type="dxa" w:w="2436"/>
            <w:shd w:val="clear" w:color="auto" w:fill="F2F6FC"/>
          </w:tcPr>
          <w:p>
            <w:r/>
            <w:r>
              <w:rPr>
                <w:color w:val="0B0B0B"/>
                <w:sz w:val="19"/>
              </w:rPr>
              <w:t>—</w:t>
            </w:r>
          </w:p>
        </w:tc>
        <w:tc>
          <w:tcPr>
            <w:tcW w:type="dxa" w:w="2436"/>
            <w:shd w:val="clear" w:color="auto" w:fill="F2F6FC"/>
          </w:tcPr>
          <w:p>
            <w:r/>
            <w:r>
              <w:rPr>
                <w:color w:val="0B0B0B"/>
                <w:sz w:val="19"/>
              </w:rPr>
              <w:t>46.0%</w:t>
            </w:r>
          </w:p>
        </w:tc>
      </w:tr>
      <w:tr>
        <w:tc>
          <w:tcPr>
            <w:tcW w:type="dxa" w:w="2436"/>
          </w:tcPr>
          <w:p>
            <w:r/>
            <w:r>
              <w:rPr>
                <w:color w:val="0B0B0B"/>
                <w:sz w:val="19"/>
              </w:rPr>
              <w:t>Unknown / unparseable</w:t>
            </w:r>
          </w:p>
        </w:tc>
        <w:tc>
          <w:tcPr>
            <w:tcW w:type="dxa" w:w="2436"/>
          </w:tcPr>
          <w:p>
            <w:r/>
            <w:r>
              <w:rPr>
                <w:color w:val="0B0B0B"/>
                <w:sz w:val="19"/>
              </w:rPr>
              <w:t>15</w:t>
            </w:r>
          </w:p>
        </w:tc>
        <w:tc>
          <w:tcPr>
            <w:tcW w:type="dxa" w:w="2436"/>
          </w:tcPr>
          <w:p>
            <w:r/>
            <w:r>
              <w:rPr>
                <w:color w:val="0B0B0B"/>
                <w:sz w:val="19"/>
              </w:rPr>
              <w:t>—</w:t>
            </w:r>
          </w:p>
        </w:tc>
        <w:tc>
          <w:tcPr>
            <w:tcW w:type="dxa" w:w="2436"/>
          </w:tcPr>
          <w:p>
            <w:r/>
            <w:r>
              <w:rPr>
                <w:color w:val="0B0B0B"/>
                <w:sz w:val="19"/>
              </w:rPr>
              <w:t>0.0%</w:t>
            </w:r>
          </w:p>
        </w:tc>
      </w:tr>
    </w:tbl>
    <w:p>
      <w:pPr>
        <w:spacing w:after="80"/>
      </w:pPr>
    </w:p>
    <w:p>
      <w:pPr>
        <w:jc w:val="center"/>
      </w:pPr>
      <w:r>
        <w:drawing>
          <wp:inline xmlns:a="http://schemas.openxmlformats.org/drawingml/2006/main" xmlns:pic="http://schemas.openxmlformats.org/drawingml/2006/picture">
            <wp:extent cx="5760720" cy="3760609"/>
            <wp:docPr id="7" name="Picture 7"/>
            <wp:cNvGraphicFramePr>
              <a:graphicFrameLocks noChangeAspect="1"/>
            </wp:cNvGraphicFramePr>
            <a:graphic>
              <a:graphicData uri="http://schemas.openxmlformats.org/drawingml/2006/picture">
                <pic:pic>
                  <pic:nvPicPr>
                    <pic:cNvPr id="0" name="job_freshness.png"/>
                    <pic:cNvPicPr/>
                  </pic:nvPicPr>
                  <pic:blipFill>
                    <a:blip r:embed="rId16"/>
                    <a:stretch>
                      <a:fillRect/>
                    </a:stretch>
                  </pic:blipFill>
                  <pic:spPr>
                    <a:xfrm>
                      <a:off x="0" y="0"/>
                      <a:ext cx="5760720" cy="3760609"/>
                    </a:xfrm>
                    <a:prstGeom prst="rect"/>
                  </pic:spPr>
                </pic:pic>
              </a:graphicData>
            </a:graphic>
          </wp:inline>
        </w:drawing>
      </w:r>
    </w:p>
    <w:p>
      <w:pPr>
        <w:spacing w:after="240"/>
        <w:jc w:val="center"/>
      </w:pPr>
      <w:r>
        <w:rPr>
          <w:i/>
          <w:color w:val="52514E"/>
          <w:sz w:val="18"/>
        </w:rPr>
        <w:t>Figure 7. Job freshness distribution (buckets from freshest to stalest).</w:t>
      </w:r>
    </w:p>
    <w:p>
      <w:pPr>
        <w:spacing w:after="160"/>
      </w:pPr>
      <w:r>
        <w:t>Total current jobs (≤ 30 days): 84,077 — 54.0% of the dataset. Total stale jobs (&gt; 30 days, including unknown): 71,717 — 46.0%.</w:t>
      </w:r>
    </w:p>
    <w:p>
      <w:pPr>
        <w:spacing w:before="200" w:after="120"/>
      </w:pPr>
      <w:r>
        <w:rPr>
          <w:b/>
          <w:color w:val="0B0B0B"/>
          <w:sz w:val="26"/>
        </w:rPr>
        <w:t>Deep-stale tail</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val="clear" w:color="auto" w:fill="2A78D6"/>
          </w:tcPr>
          <w:p>
            <w:r/>
            <w:r>
              <w:rPr>
                <w:b/>
                <w:color w:val="FFFFFF"/>
                <w:sz w:val="19"/>
              </w:rPr>
              <w:t>Age</w:t>
            </w:r>
          </w:p>
        </w:tc>
        <w:tc>
          <w:tcPr>
            <w:tcW w:type="dxa" w:w="3249"/>
            <w:shd w:val="clear" w:color="auto" w:fill="2A78D6"/>
          </w:tcPr>
          <w:p>
            <w:r/>
            <w:r>
              <w:rPr>
                <w:b/>
                <w:color w:val="FFFFFF"/>
                <w:sz w:val="19"/>
              </w:rPr>
              <w:t>Jobs</w:t>
            </w:r>
          </w:p>
        </w:tc>
        <w:tc>
          <w:tcPr>
            <w:tcW w:type="dxa" w:w="3249"/>
            <w:shd w:val="clear" w:color="auto" w:fill="2A78D6"/>
          </w:tcPr>
          <w:p>
            <w:r/>
            <w:r>
              <w:rPr>
                <w:b/>
                <w:color w:val="FFFFFF"/>
                <w:sz w:val="19"/>
              </w:rPr>
              <w:t>%</w:t>
            </w:r>
          </w:p>
        </w:tc>
      </w:tr>
      <w:tr>
        <w:tc>
          <w:tcPr>
            <w:tcW w:type="dxa" w:w="3249"/>
          </w:tcPr>
          <w:p>
            <w:r/>
            <w:r>
              <w:rPr>
                <w:color w:val="0B0B0B"/>
                <w:sz w:val="19"/>
              </w:rPr>
              <w:t>Older than 90 days</w:t>
            </w:r>
          </w:p>
        </w:tc>
        <w:tc>
          <w:tcPr>
            <w:tcW w:type="dxa" w:w="3249"/>
          </w:tcPr>
          <w:p>
            <w:r/>
            <w:r>
              <w:rPr>
                <w:color w:val="0B0B0B"/>
                <w:sz w:val="19"/>
              </w:rPr>
              <w:t>45,075</w:t>
            </w:r>
          </w:p>
        </w:tc>
        <w:tc>
          <w:tcPr>
            <w:tcW w:type="dxa" w:w="3249"/>
          </w:tcPr>
          <w:p>
            <w:r/>
            <w:r>
              <w:rPr>
                <w:color w:val="0B0B0B"/>
                <w:sz w:val="19"/>
              </w:rPr>
              <w:t>28.9%</w:t>
            </w:r>
          </w:p>
        </w:tc>
      </w:tr>
      <w:tr>
        <w:tc>
          <w:tcPr>
            <w:tcW w:type="dxa" w:w="3249"/>
            <w:shd w:val="clear" w:color="auto" w:fill="F2F6FC"/>
          </w:tcPr>
          <w:p>
            <w:r/>
            <w:r>
              <w:rPr>
                <w:color w:val="0B0B0B"/>
                <w:sz w:val="19"/>
              </w:rPr>
              <w:t>Older than 180 days</w:t>
            </w:r>
          </w:p>
        </w:tc>
        <w:tc>
          <w:tcPr>
            <w:tcW w:type="dxa" w:w="3249"/>
            <w:shd w:val="clear" w:color="auto" w:fill="F2F6FC"/>
          </w:tcPr>
          <w:p>
            <w:r/>
            <w:r>
              <w:rPr>
                <w:color w:val="0B0B0B"/>
                <w:sz w:val="19"/>
              </w:rPr>
              <w:t>29,640</w:t>
            </w:r>
          </w:p>
        </w:tc>
        <w:tc>
          <w:tcPr>
            <w:tcW w:type="dxa" w:w="3249"/>
            <w:shd w:val="clear" w:color="auto" w:fill="F2F6FC"/>
          </w:tcPr>
          <w:p>
            <w:r/>
            <w:r>
              <w:rPr>
                <w:color w:val="0B0B0B"/>
                <w:sz w:val="19"/>
              </w:rPr>
              <w:t>19.0%</w:t>
            </w:r>
          </w:p>
        </w:tc>
      </w:tr>
      <w:tr>
        <w:tc>
          <w:tcPr>
            <w:tcW w:type="dxa" w:w="3249"/>
          </w:tcPr>
          <w:p>
            <w:r/>
            <w:r>
              <w:rPr>
                <w:color w:val="0B0B0B"/>
                <w:sz w:val="19"/>
              </w:rPr>
              <w:t>Older than 365 days</w:t>
            </w:r>
          </w:p>
        </w:tc>
        <w:tc>
          <w:tcPr>
            <w:tcW w:type="dxa" w:w="3249"/>
          </w:tcPr>
          <w:p>
            <w:r/>
            <w:r>
              <w:rPr>
                <w:color w:val="0B0B0B"/>
                <w:sz w:val="19"/>
              </w:rPr>
              <w:t>21,768</w:t>
            </w:r>
          </w:p>
        </w:tc>
        <w:tc>
          <w:tcPr>
            <w:tcW w:type="dxa" w:w="3249"/>
          </w:tcPr>
          <w:p>
            <w:r/>
            <w:r>
              <w:rPr>
                <w:color w:val="0B0B0B"/>
                <w:sz w:val="19"/>
              </w:rPr>
              <w:t>14.0%</w:t>
            </w:r>
          </w:p>
        </w:tc>
      </w:tr>
    </w:tbl>
    <w:p>
      <w:pPr>
        <w:spacing w:after="80"/>
      </w:pPr>
    </w:p>
    <w:p>
      <w:pPr>
        <w:spacing w:after="160"/>
      </w:pPr>
      <w:r>
        <w:t>The oldest posting on record dates to 2009-12-05; the median posting date is 2026-06-09. The stale tail is concentrated in large enterprise ATS boards, which return every currently open requisition, including long-standing evergreen roles. Because the dataset is a static snapshot with no scheduled refresh and no expiry logic, the current/stale ratio degrades every day after collection with no offsetting mechanism.</w:t>
      </w:r>
    </w:p>
    <w:p>
      <w:r>
        <w:br w:type="page"/>
      </w:r>
    </w:p>
    <w:p>
      <w:pPr>
        <w:pStyle w:val="Heading1"/>
        <w:spacing w:before="120" w:after="280"/>
      </w:pPr>
      <w:r>
        <w:rPr>
          <w:b/>
          <w:color w:val="2A78D6"/>
          <w:sz w:val="40"/>
        </w:rPr>
        <w:t>8. Duplicate Analysis</w:t>
      </w:r>
    </w:p>
    <w:p>
      <w:pPr>
        <w:spacing w:after="160"/>
      </w:pPr>
      <w:r>
        <w:t>The pipeline deduplicates by exact URL, and this is functioning correctly: zero duplicate URLs and zero empty URLs remain in the dataset. Under looser candidate keys, however, a large number of same-title/company rows appear to “collide” — this section quantifies that finding and explains why it is not, in fact, a duplication problem.</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val="clear" w:color="auto" w:fill="2A78D6"/>
          </w:tcPr>
          <w:p>
            <w:r/>
            <w:r>
              <w:rPr>
                <w:b/>
                <w:color w:val="FFFFFF"/>
                <w:sz w:val="19"/>
              </w:rPr>
              <w:t>Check</w:t>
            </w:r>
          </w:p>
        </w:tc>
        <w:tc>
          <w:tcPr>
            <w:tcW w:type="dxa" w:w="4873"/>
            <w:shd w:val="clear" w:color="auto" w:fill="2A78D6"/>
          </w:tcPr>
          <w:p>
            <w:r/>
            <w:r>
              <w:rPr>
                <w:b/>
                <w:color w:val="FFFFFF"/>
                <w:sz w:val="19"/>
              </w:rPr>
              <w:t>Result</w:t>
            </w:r>
          </w:p>
        </w:tc>
      </w:tr>
      <w:tr>
        <w:tc>
          <w:tcPr>
            <w:tcW w:type="dxa" w:w="4873"/>
          </w:tcPr>
          <w:p>
            <w:r/>
            <w:r>
              <w:rPr>
                <w:color w:val="0B0B0B"/>
                <w:sz w:val="19"/>
              </w:rPr>
              <w:t>Exact-URL duplicates remaining</w:t>
            </w:r>
          </w:p>
        </w:tc>
        <w:tc>
          <w:tcPr>
            <w:tcW w:type="dxa" w:w="4873"/>
          </w:tcPr>
          <w:p>
            <w:r/>
            <w:r>
              <w:rPr>
                <w:color w:val="0B0B0B"/>
                <w:sz w:val="19"/>
              </w:rPr>
              <w:t>0</w:t>
            </w:r>
          </w:p>
        </w:tc>
      </w:tr>
      <w:tr>
        <w:tc>
          <w:tcPr>
            <w:tcW w:type="dxa" w:w="4873"/>
            <w:shd w:val="clear" w:color="auto" w:fill="F2F6FC"/>
          </w:tcPr>
          <w:p>
            <w:r/>
            <w:r>
              <w:rPr>
                <w:color w:val="0B0B0B"/>
                <w:sz w:val="19"/>
              </w:rPr>
              <w:t>Jobs with empty URL</w:t>
            </w:r>
          </w:p>
        </w:tc>
        <w:tc>
          <w:tcPr>
            <w:tcW w:type="dxa" w:w="4873"/>
            <w:shd w:val="clear" w:color="auto" w:fill="F2F6FC"/>
          </w:tcPr>
          <w:p>
            <w:r/>
            <w:r>
              <w:rPr>
                <w:color w:val="0B0B0B"/>
                <w:sz w:val="19"/>
              </w:rPr>
              <w:t>0</w:t>
            </w:r>
          </w:p>
        </w:tc>
      </w:tr>
      <w:tr>
        <w:tc>
          <w:tcPr>
            <w:tcW w:type="dxa" w:w="4873"/>
          </w:tcPr>
          <w:p>
            <w:r/>
            <w:r>
              <w:rPr>
                <w:color w:val="0B0B0B"/>
                <w:sz w:val="19"/>
              </w:rPr>
              <w:t>Title + company collisions (extra rows)</w:t>
            </w:r>
          </w:p>
        </w:tc>
        <w:tc>
          <w:tcPr>
            <w:tcW w:type="dxa" w:w="4873"/>
          </w:tcPr>
          <w:p>
            <w:r/>
            <w:r>
              <w:rPr>
                <w:color w:val="0B0B0B"/>
                <w:sz w:val="19"/>
              </w:rPr>
              <w:t>35,300 across 11,340 groups</w:t>
            </w:r>
          </w:p>
        </w:tc>
      </w:tr>
      <w:tr>
        <w:tc>
          <w:tcPr>
            <w:tcW w:type="dxa" w:w="4873"/>
            <w:shd w:val="clear" w:color="auto" w:fill="F2F6FC"/>
          </w:tcPr>
          <w:p>
            <w:r/>
            <w:r>
              <w:rPr>
                <w:color w:val="0B0B0B"/>
                <w:sz w:val="19"/>
              </w:rPr>
              <w:t>Title + company + location collisions (extra rows)</w:t>
            </w:r>
          </w:p>
        </w:tc>
        <w:tc>
          <w:tcPr>
            <w:tcW w:type="dxa" w:w="4873"/>
            <w:shd w:val="clear" w:color="auto" w:fill="F2F6FC"/>
          </w:tcPr>
          <w:p>
            <w:r/>
            <w:r>
              <w:rPr>
                <w:color w:val="0B0B0B"/>
                <w:sz w:val="19"/>
              </w:rPr>
              <w:t>8,290 across 4,963 groups</w:t>
            </w:r>
          </w:p>
        </w:tc>
      </w:tr>
      <w:tr>
        <w:tc>
          <w:tcPr>
            <w:tcW w:type="dxa" w:w="4873"/>
          </w:tcPr>
          <w:p>
            <w:r/>
            <w:r>
              <w:rPr>
                <w:color w:val="0B0B0B"/>
                <w:sz w:val="19"/>
              </w:rPr>
              <w:t>Title+company groups spanning more than one distinct URL</w:t>
            </w:r>
          </w:p>
        </w:tc>
        <w:tc>
          <w:tcPr>
            <w:tcW w:type="dxa" w:w="4873"/>
          </w:tcPr>
          <w:p>
            <w:r/>
            <w:r>
              <w:rPr>
                <w:color w:val="0B0B0B"/>
                <w:sz w:val="19"/>
              </w:rPr>
              <w:t>11,340 (100% of those groups)</w:t>
            </w:r>
          </w:p>
        </w:tc>
      </w:tr>
    </w:tbl>
    <w:p>
      <w:pPr>
        <w:spacing w:after="80"/>
      </w:pPr>
    </w:p>
    <w:p>
      <w:pPr>
        <w:jc w:val="center"/>
      </w:pPr>
      <w:r>
        <w:drawing>
          <wp:inline xmlns:a="http://schemas.openxmlformats.org/drawingml/2006/main" xmlns:pic="http://schemas.openxmlformats.org/drawingml/2006/picture">
            <wp:extent cx="5760720" cy="3920491"/>
            <wp:docPr id="8" name="Picture 8"/>
            <wp:cNvGraphicFramePr>
              <a:graphicFrameLocks noChangeAspect="1"/>
            </wp:cNvGraphicFramePr>
            <a:graphic>
              <a:graphicData uri="http://schemas.openxmlformats.org/drawingml/2006/picture">
                <pic:pic>
                  <pic:nvPicPr>
                    <pic:cNvPr id="0" name="duplicate_analysis.png"/>
                    <pic:cNvPicPr/>
                  </pic:nvPicPr>
                  <pic:blipFill>
                    <a:blip r:embed="rId17"/>
                    <a:stretch>
                      <a:fillRect/>
                    </a:stretch>
                  </pic:blipFill>
                  <pic:spPr>
                    <a:xfrm>
                      <a:off x="0" y="0"/>
                      <a:ext cx="5760720" cy="3920491"/>
                    </a:xfrm>
                    <a:prstGeom prst="rect"/>
                  </pic:spPr>
                </pic:pic>
              </a:graphicData>
            </a:graphic>
          </wp:inline>
        </w:drawing>
      </w:r>
    </w:p>
    <w:p>
      <w:pPr>
        <w:spacing w:after="240"/>
        <w:jc w:val="center"/>
      </w:pPr>
      <w:r>
        <w:rPr>
          <w:i/>
          <w:color w:val="52514E"/>
          <w:sz w:val="18"/>
        </w:rPr>
        <w:t>Figure 8. Duplicate counts under three candidate keys.</w:t>
      </w:r>
    </w:p>
    <w:p>
      <w:pPr>
        <w:spacing w:after="160"/>
      </w:pPr>
      <w:r>
        <w:t>Critically, every one of the 11,340 title+company groups spans multiple distinct URLs — these are not missed duplicates. Inspection shows they are overwhelmingly the same role posted at hundreds of separate physical locations: Domino's “Delivery Driver,” BoxLunch “Sales Associate,” and similar multi-location retail/logistics roles. Applying a naive title+company deduplication rule would have erased tens of thousands of legitimate, distinct job openings.</w:t>
      </w:r>
    </w:p>
    <w:p>
      <w:pPr>
        <w:spacing w:after="160"/>
      </w:pPr>
      <w:r>
        <w:t>The real, and much smaller, duplicate risk is cross-provider overlap between aggregator-style sources (e.g., Jooble, Careerjet, and Adzuna occasionally re-listing the same third-party posting) — a risk the current URL-keyed dedup does not directly measure and any future duplicate-reduction effort should target conservatively, without collapsing on title+company alone.</w:t>
      </w:r>
    </w:p>
    <w:p>
      <w:r>
        <w:br w:type="page"/>
      </w:r>
    </w:p>
    <w:p>
      <w:pPr>
        <w:pStyle w:val="Heading1"/>
        <w:spacing w:before="120" w:after="280"/>
      </w:pPr>
      <w:r>
        <w:rPr>
          <w:b/>
          <w:color w:val="2A78D6"/>
          <w:sz w:val="40"/>
        </w:rPr>
        <w:t>9. API Analysis</w:t>
      </w:r>
    </w:p>
    <w:p>
      <w:pPr>
        <w:spacing w:after="160"/>
      </w:pPr>
      <w:r>
        <w:t>All 20 registered providers were audited for authentication model, rate and result-window limits, pagination behavior, and available filters. Three sources are already capped by the provider's own hard result window (USAJOBS and Bundesagentur at 10,000 jobs; Reed near its ~9,900-job ceiling). Three more are deliberately throttled to control cost on metered/paid APIs (SerpApi, OpenWeb Ninja, and TheirStack, each self-capped around 50 jobs per run).</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val="clear" w:color="auto" w:fill="2A78D6"/>
          </w:tcPr>
          <w:p>
            <w:r/>
            <w:r>
              <w:rPr>
                <w:b/>
                <w:color w:val="FFFFFF"/>
                <w:sz w:val="19"/>
              </w:rPr>
              <w:t>Priority</w:t>
            </w:r>
          </w:p>
        </w:tc>
        <w:tc>
          <w:tcPr>
            <w:tcW w:type="dxa" w:w="3249"/>
            <w:shd w:val="clear" w:color="auto" w:fill="2A78D6"/>
          </w:tcPr>
          <w:p>
            <w:r/>
            <w:r>
              <w:rPr>
                <w:b/>
                <w:color w:val="FFFFFF"/>
                <w:sz w:val="19"/>
              </w:rPr>
              <w:t>Providers</w:t>
            </w:r>
          </w:p>
        </w:tc>
        <w:tc>
          <w:tcPr>
            <w:tcW w:type="dxa" w:w="3249"/>
            <w:shd w:val="clear" w:color="auto" w:fill="2A78D6"/>
          </w:tcPr>
          <w:p>
            <w:r/>
            <w:r>
              <w:rPr>
                <w:b/>
                <w:color w:val="FFFFFF"/>
                <w:sz w:val="19"/>
              </w:rPr>
              <w:t>Rationale</w:t>
            </w:r>
          </w:p>
        </w:tc>
      </w:tr>
      <w:tr>
        <w:tc>
          <w:tcPr>
            <w:tcW w:type="dxa" w:w="3249"/>
          </w:tcPr>
          <w:p>
            <w:r/>
            <w:r>
              <w:rPr>
                <w:color w:val="0B0B0B"/>
                <w:sz w:val="19"/>
              </w:rPr>
              <w:t>Critical</w:t>
            </w:r>
          </w:p>
        </w:tc>
        <w:tc>
          <w:tcPr>
            <w:tcW w:type="dxa" w:w="3249"/>
          </w:tcPr>
          <w:p>
            <w:r/>
            <w:r>
              <w:rPr>
                <w:color w:val="0B0B0B"/>
                <w:sz w:val="19"/>
              </w:rPr>
              <w:t>SmartRecruiters, Adzuna</w:t>
            </w:r>
          </w:p>
        </w:tc>
        <w:tc>
          <w:tcPr>
            <w:tcW w:type="dxa" w:w="3249"/>
          </w:tcPr>
          <w:p>
            <w:r/>
            <w:r>
              <w:rPr>
                <w:color w:val="0B0B0B"/>
                <w:sz w:val="19"/>
              </w:rPr>
              <w:t>SmartRecruiters is already the volume backbone; Adzuna is the single highest-leverage untapped asset (one keyed integration can add several regions by iterating its country parameter).</w:t>
            </w:r>
          </w:p>
        </w:tc>
      </w:tr>
      <w:tr>
        <w:tc>
          <w:tcPr>
            <w:tcW w:type="dxa" w:w="3249"/>
            <w:shd w:val="clear" w:color="auto" w:fill="F2F6FC"/>
          </w:tcPr>
          <w:p>
            <w:r/>
            <w:r>
              <w:rPr>
                <w:color w:val="0B0B0B"/>
                <w:sz w:val="19"/>
              </w:rPr>
              <w:t>High</w:t>
            </w:r>
          </w:p>
        </w:tc>
        <w:tc>
          <w:tcPr>
            <w:tcW w:type="dxa" w:w="3249"/>
            <w:shd w:val="clear" w:color="auto" w:fill="F2F6FC"/>
          </w:tcPr>
          <w:p>
            <w:r/>
            <w:r>
              <w:rPr>
                <w:color w:val="0B0B0B"/>
                <w:sz w:val="19"/>
              </w:rPr>
              <w:t>Lever, Greenhouse, USAJOBS, Reed, Bundesagentur</w:t>
            </w:r>
          </w:p>
        </w:tc>
        <w:tc>
          <w:tcPr>
            <w:tcW w:type="dxa" w:w="3249"/>
            <w:shd w:val="clear" w:color="auto" w:fill="F2F6FC"/>
          </w:tcPr>
          <w:p>
            <w:r/>
            <w:r>
              <w:rPr>
                <w:color w:val="0B0B0B"/>
                <w:sz w:val="19"/>
              </w:rPr>
              <w:t>Large, free/near-free backbones for major regions, though each is bounded by a curated company list, federal-only scope, or a hard result window.</w:t>
            </w:r>
          </w:p>
        </w:tc>
      </w:tr>
      <w:tr>
        <w:tc>
          <w:tcPr>
            <w:tcW w:type="dxa" w:w="3249"/>
          </w:tcPr>
          <w:p>
            <w:r/>
            <w:r>
              <w:rPr>
                <w:color w:val="0B0B0B"/>
                <w:sz w:val="19"/>
              </w:rPr>
              <w:t>Medium</w:t>
            </w:r>
          </w:p>
        </w:tc>
        <w:tc>
          <w:tcPr>
            <w:tcW w:type="dxa" w:w="3249"/>
          </w:tcPr>
          <w:p>
            <w:r/>
            <w:r>
              <w:rPr>
                <w:color w:val="0B0B0B"/>
                <w:sz w:val="19"/>
              </w:rPr>
              <w:t>Ashby, Workable, Himalayas, The Muse, Jooble, Careerjet</w:t>
            </w:r>
          </w:p>
        </w:tc>
        <w:tc>
          <w:tcPr>
            <w:tcW w:type="dxa" w:w="3249"/>
          </w:tcPr>
          <w:p>
            <w:r/>
            <w:r>
              <w:rPr>
                <w:color w:val="0B0B0B"/>
                <w:sz w:val="19"/>
              </w:rPr>
              <w:t>Solid contributors with real breadth but individually smaller or with untapped upside (e.g., Himalayas' richer search endpoint).</w:t>
            </w:r>
          </w:p>
        </w:tc>
      </w:tr>
      <w:tr>
        <w:tc>
          <w:tcPr>
            <w:tcW w:type="dxa" w:w="3249"/>
            <w:shd w:val="clear" w:color="auto" w:fill="F2F6FC"/>
          </w:tcPr>
          <w:p>
            <w:r/>
            <w:r>
              <w:rPr>
                <w:color w:val="0B0B0B"/>
                <w:sz w:val="19"/>
              </w:rPr>
              <w:t>Low</w:t>
            </w:r>
          </w:p>
        </w:tc>
        <w:tc>
          <w:tcPr>
            <w:tcW w:type="dxa" w:w="3249"/>
            <w:shd w:val="clear" w:color="auto" w:fill="F2F6FC"/>
          </w:tcPr>
          <w:p>
            <w:r/>
            <w:r>
              <w:rPr>
                <w:color w:val="0B0B0B"/>
                <w:sz w:val="19"/>
              </w:rPr>
              <w:t>Arbeitnow, RemoteOK, Jobicy, Teamtailor, SerpApi, OpenWeb Ninja, TheirStack</w:t>
            </w:r>
          </w:p>
        </w:tc>
        <w:tc>
          <w:tcPr>
            <w:tcW w:type="dxa" w:w="3249"/>
            <w:shd w:val="clear" w:color="auto" w:fill="F2F6FC"/>
          </w:tcPr>
          <w:p>
            <w:r/>
            <w:r>
              <w:rPr>
                <w:color w:val="0B0B0B"/>
                <w:sz w:val="19"/>
              </w:rPr>
              <w:t>Small absolute volume or deliberately throttled metered sources; TheirStack currently contributes zero jobs.</w:t>
            </w:r>
          </w:p>
        </w:tc>
      </w:tr>
    </w:tbl>
    <w:p>
      <w:pPr>
        <w:spacing w:after="80"/>
      </w:pPr>
    </w:p>
    <w:p>
      <w:pPr>
        <w:spacing w:after="160"/>
      </w:pPr>
      <w:r>
        <w:t>Full per-provider detail — authentication, pricing, rate limits, pagination, and every supported filter — is documented in research/api_analysis.md, Sections 4 and 9.</w:t>
      </w:r>
    </w:p>
    <w:p>
      <w:r>
        <w:br w:type="page"/>
      </w:r>
    </w:p>
    <w:p>
      <w:pPr>
        <w:pStyle w:val="Heading1"/>
        <w:spacing w:before="120" w:after="280"/>
      </w:pPr>
      <w:r>
        <w:rPr>
          <w:b/>
          <w:color w:val="2A78D6"/>
          <w:sz w:val="40"/>
        </w:rPr>
        <w:t>10. India Research</w:t>
      </w:r>
    </w:p>
    <w:p>
      <w:pPr>
        <w:spacing w:after="160"/>
      </w:pPr>
      <w:r>
        <w:t>India is already the 4th-largest country in the dataset (3,471 jobs, 2.2%) despite having no dedicated source. A comprehensive survey of the Indian recruitment ecosystem — government portals, private job boards, ATS/HR platforms, staffing firms, and regional/niche boards — found a consistent structural pattern: India has a large, active online hiring market but almost no aggregatable public job APIs.</w:t>
      </w:r>
    </w:p>
    <w:p>
      <w:pPr>
        <w:spacing w:before="200" w:after="120"/>
      </w:pPr>
      <w:r>
        <w:rPr>
          <w:b/>
          <w:color w:val="0B0B0B"/>
          <w:sz w:val="26"/>
        </w:rPr>
        <w:t>Key findings</w:t>
      </w:r>
    </w:p>
    <w:p>
      <w:pPr>
        <w:pStyle w:val="ListBullet"/>
        <w:spacing w:after="80"/>
      </w:pPr>
      <w:r>
        <w:t>Government: the National Career Service (NCS) publishes vacancy data via data.gov.in as a periodic open dataset, not a live searchable API — authoritative but freshness-limited.</w:t>
      </w:r>
    </w:p>
    <w:p>
      <w:pPr>
        <w:pStyle w:val="ListBullet"/>
        <w:spacing w:after="80"/>
      </w:pPr>
      <w:r>
        <w:t>Private boards: Naukri, Foundit, Apna, Shine, TimesJobs, Instahyre, Hirist, iimjobs, Internshala, Unstop, Wellfound, and LinkedIn/Indeed India all expose no official public read API.</w:t>
      </w:r>
    </w:p>
    <w:p>
      <w:pPr>
        <w:pStyle w:val="ListBullet"/>
        <w:spacing w:after="80"/>
      </w:pPr>
      <w:r>
        <w:t>India-origin ATS/HRMS platforms (Zoho Recruit, Freshteam, Darwinbox, Keka, GreytHR) are uniformly per-tenant — useful only to that specific employer's own integration, not aggregatable across employers.</w:t>
      </w:r>
    </w:p>
    <w:p>
      <w:pPr>
        <w:pStyle w:val="ListBullet"/>
        <w:spacing w:after="80"/>
      </w:pPr>
      <w:r>
        <w:t>Major Indian staffing firms (TeamLease, Quess, Randstad India, etc.) expose no public job feeds.</w:t>
      </w:r>
    </w:p>
    <w:p>
      <w:pPr>
        <w:spacing w:before="200" w:after="120"/>
      </w:pPr>
      <w:r>
        <w:rPr>
          <w:b/>
          <w:color w:val="0B0B0B"/>
          <w:sz w:val="26"/>
        </w:rPr>
        <w:t>Recommended routes (ranked)</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c>
          <w:tcPr>
            <w:tcW w:type="dxa" w:w="2436"/>
            <w:shd w:val="clear" w:color="auto" w:fill="2A78D6"/>
          </w:tcPr>
          <w:p>
            <w:r/>
            <w:r>
              <w:rPr>
                <w:b/>
                <w:color w:val="FFFFFF"/>
                <w:sz w:val="19"/>
              </w:rPr>
              <w:t>Rank</w:t>
            </w:r>
          </w:p>
        </w:tc>
        <w:tc>
          <w:tcPr>
            <w:tcW w:type="dxa" w:w="2436"/>
            <w:shd w:val="clear" w:color="auto" w:fill="2A78D6"/>
          </w:tcPr>
          <w:p>
            <w:r/>
            <w:r>
              <w:rPr>
                <w:b/>
                <w:color w:val="FFFFFF"/>
                <w:sz w:val="19"/>
              </w:rPr>
              <w:t>Route</w:t>
            </w:r>
          </w:p>
        </w:tc>
        <w:tc>
          <w:tcPr>
            <w:tcW w:type="dxa" w:w="2436"/>
            <w:shd w:val="clear" w:color="auto" w:fill="2A78D6"/>
          </w:tcPr>
          <w:p>
            <w:r/>
            <w:r>
              <w:rPr>
                <w:b/>
                <w:color w:val="FFFFFF"/>
                <w:sz w:val="19"/>
              </w:rPr>
              <w:t>Effort</w:t>
            </w:r>
          </w:p>
        </w:tc>
        <w:tc>
          <w:tcPr>
            <w:tcW w:type="dxa" w:w="2436"/>
            <w:shd w:val="clear" w:color="auto" w:fill="2A78D6"/>
          </w:tcPr>
          <w:p>
            <w:r/>
            <w:r>
              <w:rPr>
                <w:b/>
                <w:color w:val="FFFFFF"/>
                <w:sz w:val="19"/>
              </w:rPr>
              <w:t>ROI</w:t>
            </w:r>
          </w:p>
        </w:tc>
      </w:tr>
      <w:tr>
        <w:tc>
          <w:tcPr>
            <w:tcW w:type="dxa" w:w="2436"/>
          </w:tcPr>
          <w:p>
            <w:r/>
            <w:r>
              <w:rPr>
                <w:color w:val="0B0B0B"/>
                <w:sz w:val="19"/>
              </w:rPr>
              <w:t>1</w:t>
            </w:r>
          </w:p>
        </w:tc>
        <w:tc>
          <w:tcPr>
            <w:tcW w:type="dxa" w:w="2436"/>
          </w:tcPr>
          <w:p>
            <w:r/>
            <w:r>
              <w:rPr>
                <w:color w:val="0B0B0B"/>
                <w:sz w:val="19"/>
              </w:rPr>
              <w:t>ATS slug expansion for Indian-HQ companies on Greenhouse/Lever/Ashby/Workable/SmartRecruiters (already integrated)</w:t>
            </w:r>
          </w:p>
        </w:tc>
        <w:tc>
          <w:tcPr>
            <w:tcW w:type="dxa" w:w="2436"/>
          </w:tcPr>
          <w:p>
            <w:r/>
            <w:r>
              <w:rPr>
                <w:color w:val="0B0B0B"/>
                <w:sz w:val="19"/>
              </w:rPr>
              <w:t>Low</w:t>
            </w:r>
          </w:p>
        </w:tc>
        <w:tc>
          <w:tcPr>
            <w:tcW w:type="dxa" w:w="2436"/>
          </w:tcPr>
          <w:p>
            <w:r/>
            <w:r>
              <w:rPr>
                <w:color w:val="0B0B0B"/>
                <w:sz w:val="19"/>
              </w:rPr>
              <w:t>High</w:t>
            </w:r>
          </w:p>
        </w:tc>
      </w:tr>
      <w:tr>
        <w:tc>
          <w:tcPr>
            <w:tcW w:type="dxa" w:w="2436"/>
            <w:shd w:val="clear" w:color="auto" w:fill="F2F6FC"/>
          </w:tcPr>
          <w:p>
            <w:r/>
            <w:r>
              <w:rPr>
                <w:color w:val="0B0B0B"/>
                <w:sz w:val="19"/>
              </w:rPr>
              <w:t>2</w:t>
            </w:r>
          </w:p>
        </w:tc>
        <w:tc>
          <w:tcPr>
            <w:tcW w:type="dxa" w:w="2436"/>
            <w:shd w:val="clear" w:color="auto" w:fill="F2F6FC"/>
          </w:tcPr>
          <w:p>
            <w:r/>
            <w:r>
              <w:rPr>
                <w:color w:val="0B0B0B"/>
                <w:sz w:val="19"/>
              </w:rPr>
              <w:t>India-scoped query on existing metered sources (JSearch/OpenWeb Ninja, SerpApi)</w:t>
            </w:r>
          </w:p>
        </w:tc>
        <w:tc>
          <w:tcPr>
            <w:tcW w:type="dxa" w:w="2436"/>
            <w:shd w:val="clear" w:color="auto" w:fill="F2F6FC"/>
          </w:tcPr>
          <w:p>
            <w:r/>
            <w:r>
              <w:rPr>
                <w:color w:val="0B0B0B"/>
                <w:sz w:val="19"/>
              </w:rPr>
              <w:t>Low</w:t>
            </w:r>
          </w:p>
        </w:tc>
        <w:tc>
          <w:tcPr>
            <w:tcW w:type="dxa" w:w="2436"/>
            <w:shd w:val="clear" w:color="auto" w:fill="F2F6FC"/>
          </w:tcPr>
          <w:p>
            <w:r/>
            <w:r>
              <w:rPr>
                <w:color w:val="0B0B0B"/>
                <w:sz w:val="19"/>
              </w:rPr>
              <w:t>High</w:t>
            </w:r>
          </w:p>
        </w:tc>
      </w:tr>
      <w:tr>
        <w:tc>
          <w:tcPr>
            <w:tcW w:type="dxa" w:w="2436"/>
          </w:tcPr>
          <w:p>
            <w:r/>
            <w:r>
              <w:rPr>
                <w:color w:val="0B0B0B"/>
                <w:sz w:val="19"/>
              </w:rPr>
              <w:t>3</w:t>
            </w:r>
          </w:p>
        </w:tc>
        <w:tc>
          <w:tcPr>
            <w:tcW w:type="dxa" w:w="2436"/>
          </w:tcPr>
          <w:p>
            <w:r/>
            <w:r>
              <w:rPr>
                <w:color w:val="0B0B0B"/>
                <w:sz w:val="19"/>
              </w:rPr>
              <w:t>Paid aggregator (Fantastic Jobs / Active Jobs DB) covering Indian ATS and boards</w:t>
            </w:r>
          </w:p>
        </w:tc>
        <w:tc>
          <w:tcPr>
            <w:tcW w:type="dxa" w:w="2436"/>
          </w:tcPr>
          <w:p>
            <w:r/>
            <w:r>
              <w:rPr>
                <w:color w:val="0B0B0B"/>
                <w:sz w:val="19"/>
              </w:rPr>
              <w:t>Low</w:t>
            </w:r>
          </w:p>
        </w:tc>
        <w:tc>
          <w:tcPr>
            <w:tcW w:type="dxa" w:w="2436"/>
          </w:tcPr>
          <w:p>
            <w:r/>
            <w:r>
              <w:rPr>
                <w:color w:val="0B0B0B"/>
                <w:sz w:val="19"/>
              </w:rPr>
              <w:t>Medium (budget-gated)</w:t>
            </w:r>
          </w:p>
        </w:tc>
      </w:tr>
      <w:tr>
        <w:tc>
          <w:tcPr>
            <w:tcW w:type="dxa" w:w="2436"/>
            <w:shd w:val="clear" w:color="auto" w:fill="F2F6FC"/>
          </w:tcPr>
          <w:p>
            <w:r/>
            <w:r>
              <w:rPr>
                <w:color w:val="0B0B0B"/>
                <w:sz w:val="19"/>
              </w:rPr>
              <w:t>4</w:t>
            </w:r>
          </w:p>
        </w:tc>
        <w:tc>
          <w:tcPr>
            <w:tcW w:type="dxa" w:w="2436"/>
            <w:shd w:val="clear" w:color="auto" w:fill="F2F6FC"/>
          </w:tcPr>
          <w:p>
            <w:r/>
            <w:r>
              <w:rPr>
                <w:color w:val="0B0B0B"/>
                <w:sz w:val="19"/>
              </w:rPr>
              <w:t>National Career Service open dataset (data.gov.in)</w:t>
            </w:r>
          </w:p>
        </w:tc>
        <w:tc>
          <w:tcPr>
            <w:tcW w:type="dxa" w:w="2436"/>
            <w:shd w:val="clear" w:color="auto" w:fill="F2F6FC"/>
          </w:tcPr>
          <w:p>
            <w:r/>
            <w:r>
              <w:rPr>
                <w:color w:val="0B0B0B"/>
                <w:sz w:val="19"/>
              </w:rPr>
              <w:t>Medium (ETL)</w:t>
            </w:r>
          </w:p>
        </w:tc>
        <w:tc>
          <w:tcPr>
            <w:tcW w:type="dxa" w:w="2436"/>
            <w:shd w:val="clear" w:color="auto" w:fill="F2F6FC"/>
          </w:tcPr>
          <w:p>
            <w:r/>
            <w:r>
              <w:rPr>
                <w:color w:val="0B0B0B"/>
                <w:sz w:val="19"/>
              </w:rPr>
              <w:t>Medium</w:t>
            </w:r>
          </w:p>
        </w:tc>
      </w:tr>
      <w:tr>
        <w:tc>
          <w:tcPr>
            <w:tcW w:type="dxa" w:w="2436"/>
          </w:tcPr>
          <w:p>
            <w:r/>
            <w:r>
              <w:rPr>
                <w:color w:val="0B0B0B"/>
                <w:sz w:val="19"/>
              </w:rPr>
              <w:t>5</w:t>
            </w:r>
          </w:p>
        </w:tc>
        <w:tc>
          <w:tcPr>
            <w:tcW w:type="dxa" w:w="2436"/>
          </w:tcPr>
          <w:p>
            <w:r/>
            <w:r>
              <w:rPr>
                <w:color w:val="0B0B0B"/>
                <w:sz w:val="19"/>
              </w:rPr>
              <w:t>Enterprise data providers (Coresignal, JobsPikr)</w:t>
            </w:r>
          </w:p>
        </w:tc>
        <w:tc>
          <w:tcPr>
            <w:tcW w:type="dxa" w:w="2436"/>
          </w:tcPr>
          <w:p>
            <w:r/>
            <w:r>
              <w:rPr>
                <w:color w:val="0B0B0B"/>
                <w:sz w:val="19"/>
              </w:rPr>
              <w:t>Medium</w:t>
            </w:r>
          </w:p>
        </w:tc>
        <w:tc>
          <w:tcPr>
            <w:tcW w:type="dxa" w:w="2436"/>
          </w:tcPr>
          <w:p>
            <w:r/>
            <w:r>
              <w:rPr>
                <w:color w:val="0B0B0B"/>
                <w:sz w:val="19"/>
              </w:rPr>
              <w:t>Low (cost)</w:t>
            </w:r>
          </w:p>
        </w:tc>
      </w:tr>
      <w:tr>
        <w:tc>
          <w:tcPr>
            <w:tcW w:type="dxa" w:w="2436"/>
            <w:shd w:val="clear" w:color="auto" w:fill="F2F6FC"/>
          </w:tcPr>
          <w:p>
            <w:r/>
            <w:r>
              <w:rPr>
                <w:color w:val="0B0B0B"/>
                <w:sz w:val="19"/>
              </w:rPr>
              <w:t>—</w:t>
            </w:r>
          </w:p>
        </w:tc>
        <w:tc>
          <w:tcPr>
            <w:tcW w:type="dxa" w:w="2436"/>
            <w:shd w:val="clear" w:color="auto" w:fill="F2F6FC"/>
          </w:tcPr>
          <w:p>
            <w:r/>
            <w:r>
              <w:rPr>
                <w:color w:val="0B0B0B"/>
                <w:sz w:val="19"/>
              </w:rPr>
              <w:t>Scraping Naukri / Foundit / Apna / LinkedIn / Indeed</w:t>
            </w:r>
          </w:p>
        </w:tc>
        <w:tc>
          <w:tcPr>
            <w:tcW w:type="dxa" w:w="2436"/>
            <w:shd w:val="clear" w:color="auto" w:fill="F2F6FC"/>
          </w:tcPr>
          <w:p>
            <w:r/>
            <w:r>
              <w:rPr>
                <w:color w:val="0B0B0B"/>
                <w:sz w:val="19"/>
              </w:rPr>
              <w:t>—</w:t>
            </w:r>
          </w:p>
        </w:tc>
        <w:tc>
          <w:tcPr>
            <w:tcW w:type="dxa" w:w="2436"/>
            <w:shd w:val="clear" w:color="auto" w:fill="F2F6FC"/>
          </w:tcPr>
          <w:p>
            <w:r/>
            <w:r>
              <w:rPr>
                <w:color w:val="0B0B0B"/>
                <w:sz w:val="19"/>
              </w:rPr>
              <w:t>Not recommended (legal/maintenance risk)</w:t>
            </w:r>
          </w:p>
        </w:tc>
      </w:tr>
    </w:tbl>
    <w:p>
      <w:pPr>
        <w:spacing w:after="80"/>
      </w:pPr>
    </w:p>
    <w:p>
      <w:pPr>
        <w:spacing w:after="160"/>
      </w:pPr>
      <w:r>
        <w:t>Bottom line: legal, low-maintenance India coverage comes from extending infrastructure already built for this project (ATS slugs and existing metered/Google-Jobs sources), not from integrating a new Indian ATS vendor or scraping consumer boards.</w:t>
      </w:r>
    </w:p>
    <w:p>
      <w:r>
        <w:br w:type="page"/>
      </w:r>
    </w:p>
    <w:p>
      <w:pPr>
        <w:pStyle w:val="Heading1"/>
        <w:spacing w:before="120" w:after="280"/>
      </w:pPr>
      <w:r>
        <w:rPr>
          <w:b/>
          <w:color w:val="2A78D6"/>
          <w:sz w:val="40"/>
        </w:rPr>
        <w:t>11. Additional Regional APIs</w:t>
      </w:r>
    </w:p>
    <w:p>
      <w:pPr>
        <w:spacing w:after="160"/>
      </w:pPr>
      <w:r>
        <w:t>A verified market survey was conducted across Canada, the UK, Europe, Singapore, Southeast Asia, and LATAM to identify additional free or public data sources beyond the 20 already integrated.</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c>
          <w:tcPr>
            <w:tcW w:type="dxa" w:w="2436"/>
            <w:shd w:val="clear" w:color="auto" w:fill="2A78D6"/>
          </w:tcPr>
          <w:p>
            <w:r/>
            <w:r>
              <w:rPr>
                <w:b/>
                <w:color w:val="FFFFFF"/>
                <w:sz w:val="19"/>
              </w:rPr>
              <w:t>Region</w:t>
            </w:r>
          </w:p>
        </w:tc>
        <w:tc>
          <w:tcPr>
            <w:tcW w:type="dxa" w:w="2436"/>
            <w:shd w:val="clear" w:color="auto" w:fill="2A78D6"/>
          </w:tcPr>
          <w:p>
            <w:r/>
            <w:r>
              <w:rPr>
                <w:b/>
                <w:color w:val="FFFFFF"/>
                <w:sz w:val="19"/>
              </w:rPr>
              <w:t>Best candidate</w:t>
            </w:r>
          </w:p>
        </w:tc>
        <w:tc>
          <w:tcPr>
            <w:tcW w:type="dxa" w:w="2436"/>
            <w:shd w:val="clear" w:color="auto" w:fill="2A78D6"/>
          </w:tcPr>
          <w:p>
            <w:r/>
            <w:r>
              <w:rPr>
                <w:b/>
                <w:color w:val="FFFFFF"/>
                <w:sz w:val="19"/>
              </w:rPr>
              <w:t>Effort</w:t>
            </w:r>
          </w:p>
        </w:tc>
        <w:tc>
          <w:tcPr>
            <w:tcW w:type="dxa" w:w="2436"/>
            <w:shd w:val="clear" w:color="auto" w:fill="2A78D6"/>
          </w:tcPr>
          <w:p>
            <w:r/>
            <w:r>
              <w:rPr>
                <w:b/>
                <w:color w:val="FFFFFF"/>
                <w:sz w:val="19"/>
              </w:rPr>
              <w:t>Priority</w:t>
            </w:r>
          </w:p>
        </w:tc>
      </w:tr>
      <w:tr>
        <w:tc>
          <w:tcPr>
            <w:tcW w:type="dxa" w:w="2436"/>
          </w:tcPr>
          <w:p>
            <w:r/>
            <w:r>
              <w:rPr>
                <w:color w:val="0B0B0B"/>
                <w:sz w:val="19"/>
              </w:rPr>
              <w:t>Canada</w:t>
            </w:r>
          </w:p>
        </w:tc>
        <w:tc>
          <w:tcPr>
            <w:tcW w:type="dxa" w:w="2436"/>
          </w:tcPr>
          <w:p>
            <w:r/>
            <w:r>
              <w:rPr>
                <w:color w:val="0B0B0B"/>
                <w:sz w:val="19"/>
              </w:rPr>
              <w:t>Adzuna ‘ca’ (existing key, config-level change)</w:t>
            </w:r>
          </w:p>
        </w:tc>
        <w:tc>
          <w:tcPr>
            <w:tcW w:type="dxa" w:w="2436"/>
          </w:tcPr>
          <w:p>
            <w:r/>
            <w:r>
              <w:rPr>
                <w:color w:val="0B0B0B"/>
                <w:sz w:val="19"/>
              </w:rPr>
              <w:t>Trivial</w:t>
            </w:r>
          </w:p>
        </w:tc>
        <w:tc>
          <w:tcPr>
            <w:tcW w:type="dxa" w:w="2436"/>
          </w:tcPr>
          <w:p>
            <w:r/>
            <w:r>
              <w:rPr>
                <w:color w:val="0B0B0B"/>
                <w:sz w:val="19"/>
              </w:rPr>
              <w:t>Critical</w:t>
            </w:r>
          </w:p>
        </w:tc>
      </w:tr>
      <w:tr>
        <w:tc>
          <w:tcPr>
            <w:tcW w:type="dxa" w:w="2436"/>
            <w:shd w:val="clear" w:color="auto" w:fill="F2F6FC"/>
          </w:tcPr>
          <w:p>
            <w:r/>
            <w:r>
              <w:rPr>
                <w:color w:val="0B0B0B"/>
                <w:sz w:val="19"/>
              </w:rPr>
              <w:t>United Kingdom</w:t>
            </w:r>
          </w:p>
        </w:tc>
        <w:tc>
          <w:tcPr>
            <w:tcW w:type="dxa" w:w="2436"/>
            <w:shd w:val="clear" w:color="auto" w:fill="F2F6FC"/>
          </w:tcPr>
          <w:p>
            <w:r/>
            <w:r>
              <w:rPr>
                <w:color w:val="0B0B0B"/>
                <w:sz w:val="19"/>
              </w:rPr>
              <w:t>Adzuna ‘gb’ (de-risks single-source dependency on Reed)</w:t>
            </w:r>
          </w:p>
        </w:tc>
        <w:tc>
          <w:tcPr>
            <w:tcW w:type="dxa" w:w="2436"/>
            <w:shd w:val="clear" w:color="auto" w:fill="F2F6FC"/>
          </w:tcPr>
          <w:p>
            <w:r/>
            <w:r>
              <w:rPr>
                <w:color w:val="0B0B0B"/>
                <w:sz w:val="19"/>
              </w:rPr>
              <w:t>Trivial</w:t>
            </w:r>
          </w:p>
        </w:tc>
        <w:tc>
          <w:tcPr>
            <w:tcW w:type="dxa" w:w="2436"/>
            <w:shd w:val="clear" w:color="auto" w:fill="F2F6FC"/>
          </w:tcPr>
          <w:p>
            <w:r/>
            <w:r>
              <w:rPr>
                <w:color w:val="0B0B0B"/>
                <w:sz w:val="19"/>
              </w:rPr>
              <w:t>High</w:t>
            </w:r>
          </w:p>
        </w:tc>
      </w:tr>
      <w:tr>
        <w:tc>
          <w:tcPr>
            <w:tcW w:type="dxa" w:w="2436"/>
          </w:tcPr>
          <w:p>
            <w:r/>
            <w:r>
              <w:rPr>
                <w:color w:val="0B0B0B"/>
                <w:sz w:val="19"/>
              </w:rPr>
              <w:t>Europe</w:t>
            </w:r>
          </w:p>
        </w:tc>
        <w:tc>
          <w:tcPr>
            <w:tcW w:type="dxa" w:w="2436"/>
          </w:tcPr>
          <w:p>
            <w:r/>
            <w:r>
              <w:rPr>
                <w:color w:val="0B0B0B"/>
                <w:sz w:val="19"/>
              </w:rPr>
              <w:t>Adzuna multi-country (fr, de, es, nl, it, at, pl)</w:t>
            </w:r>
          </w:p>
        </w:tc>
        <w:tc>
          <w:tcPr>
            <w:tcW w:type="dxa" w:w="2436"/>
          </w:tcPr>
          <w:p>
            <w:r/>
            <w:r>
              <w:rPr>
                <w:color w:val="0B0B0B"/>
                <w:sz w:val="19"/>
              </w:rPr>
              <w:t>Trivial</w:t>
            </w:r>
          </w:p>
        </w:tc>
        <w:tc>
          <w:tcPr>
            <w:tcW w:type="dxa" w:w="2436"/>
          </w:tcPr>
          <w:p>
            <w:r/>
            <w:r>
              <w:rPr>
                <w:color w:val="0B0B0B"/>
                <w:sz w:val="19"/>
              </w:rPr>
              <w:t>Critical</w:t>
            </w:r>
          </w:p>
        </w:tc>
      </w:tr>
      <w:tr>
        <w:tc>
          <w:tcPr>
            <w:tcW w:type="dxa" w:w="2436"/>
            <w:shd w:val="clear" w:color="auto" w:fill="F2F6FC"/>
          </w:tcPr>
          <w:p>
            <w:r/>
            <w:r>
              <w:rPr>
                <w:color w:val="0B0B0B"/>
                <w:sz w:val="19"/>
              </w:rPr>
              <w:t>Europe</w:t>
            </w:r>
          </w:p>
        </w:tc>
        <w:tc>
          <w:tcPr>
            <w:tcW w:type="dxa" w:w="2436"/>
            <w:shd w:val="clear" w:color="auto" w:fill="F2F6FC"/>
          </w:tcPr>
          <w:p>
            <w:r/>
            <w:r>
              <w:rPr>
                <w:color w:val="0B0B0B"/>
                <w:sz w:val="19"/>
              </w:rPr>
              <w:t>France Travail (official, free, OAuth2 registration)</w:t>
            </w:r>
          </w:p>
        </w:tc>
        <w:tc>
          <w:tcPr>
            <w:tcW w:type="dxa" w:w="2436"/>
            <w:shd w:val="clear" w:color="auto" w:fill="F2F6FC"/>
          </w:tcPr>
          <w:p>
            <w:r/>
            <w:r>
              <w:rPr>
                <w:color w:val="0B0B0B"/>
                <w:sz w:val="19"/>
              </w:rPr>
              <w:t>Medium</w:t>
            </w:r>
          </w:p>
        </w:tc>
        <w:tc>
          <w:tcPr>
            <w:tcW w:type="dxa" w:w="2436"/>
            <w:shd w:val="clear" w:color="auto" w:fill="F2F6FC"/>
          </w:tcPr>
          <w:p>
            <w:r/>
            <w:r>
              <w:rPr>
                <w:color w:val="0B0B0B"/>
                <w:sz w:val="19"/>
              </w:rPr>
              <w:t>High</w:t>
            </w:r>
          </w:p>
        </w:tc>
      </w:tr>
      <w:tr>
        <w:tc>
          <w:tcPr>
            <w:tcW w:type="dxa" w:w="2436"/>
          </w:tcPr>
          <w:p>
            <w:r/>
            <w:r>
              <w:rPr>
                <w:color w:val="0B0B0B"/>
                <w:sz w:val="19"/>
              </w:rPr>
              <w:t>Singapore</w:t>
            </w:r>
          </w:p>
        </w:tc>
        <w:tc>
          <w:tcPr>
            <w:tcW w:type="dxa" w:w="2436"/>
          </w:tcPr>
          <w:p>
            <w:r/>
            <w:r>
              <w:rPr>
                <w:color w:val="0B0B0B"/>
                <w:sz w:val="19"/>
              </w:rPr>
              <w:t>MyCareersFuture — official, no-auth public API (~80k jobs)</w:t>
            </w:r>
          </w:p>
        </w:tc>
        <w:tc>
          <w:tcPr>
            <w:tcW w:type="dxa" w:w="2436"/>
          </w:tcPr>
          <w:p>
            <w:r/>
            <w:r>
              <w:rPr>
                <w:color w:val="0B0B0B"/>
                <w:sz w:val="19"/>
              </w:rPr>
              <w:t>Low</w:t>
            </w:r>
          </w:p>
        </w:tc>
        <w:tc>
          <w:tcPr>
            <w:tcW w:type="dxa" w:w="2436"/>
          </w:tcPr>
          <w:p>
            <w:r/>
            <w:r>
              <w:rPr>
                <w:color w:val="0B0B0B"/>
                <w:sz w:val="19"/>
              </w:rPr>
              <w:t>Critical</w:t>
            </w:r>
          </w:p>
        </w:tc>
      </w:tr>
      <w:tr>
        <w:tc>
          <w:tcPr>
            <w:tcW w:type="dxa" w:w="2436"/>
            <w:shd w:val="clear" w:color="auto" w:fill="F2F6FC"/>
          </w:tcPr>
          <w:p>
            <w:r/>
            <w:r>
              <w:rPr>
                <w:color w:val="0B0B0B"/>
                <w:sz w:val="19"/>
              </w:rPr>
              <w:t>Southeast Asia</w:t>
            </w:r>
          </w:p>
        </w:tc>
        <w:tc>
          <w:tcPr>
            <w:tcW w:type="dxa" w:w="2436"/>
            <w:shd w:val="clear" w:color="auto" w:fill="F2F6FC"/>
          </w:tcPr>
          <w:p>
            <w:r/>
            <w:r>
              <w:rPr>
                <w:color w:val="0B0B0B"/>
                <w:sz w:val="19"/>
              </w:rPr>
              <w:t>ATS slug expansion for SEA-headquartered companies</w:t>
            </w:r>
          </w:p>
        </w:tc>
        <w:tc>
          <w:tcPr>
            <w:tcW w:type="dxa" w:w="2436"/>
            <w:shd w:val="clear" w:color="auto" w:fill="F2F6FC"/>
          </w:tcPr>
          <w:p>
            <w:r/>
            <w:r>
              <w:rPr>
                <w:color w:val="0B0B0B"/>
                <w:sz w:val="19"/>
              </w:rPr>
              <w:t>Low</w:t>
            </w:r>
          </w:p>
        </w:tc>
        <w:tc>
          <w:tcPr>
            <w:tcW w:type="dxa" w:w="2436"/>
            <w:shd w:val="clear" w:color="auto" w:fill="F2F6FC"/>
          </w:tcPr>
          <w:p>
            <w:r/>
            <w:r>
              <w:rPr>
                <w:color w:val="0B0B0B"/>
                <w:sz w:val="19"/>
              </w:rPr>
              <w:t>Medium</w:t>
            </w:r>
          </w:p>
        </w:tc>
      </w:tr>
      <w:tr>
        <w:tc>
          <w:tcPr>
            <w:tcW w:type="dxa" w:w="2436"/>
          </w:tcPr>
          <w:p>
            <w:r/>
            <w:r>
              <w:rPr>
                <w:color w:val="0B0B0B"/>
                <w:sz w:val="19"/>
              </w:rPr>
              <w:t>LATAM</w:t>
            </w:r>
          </w:p>
        </w:tc>
        <w:tc>
          <w:tcPr>
            <w:tcW w:type="dxa" w:w="2436"/>
          </w:tcPr>
          <w:p>
            <w:r/>
            <w:r>
              <w:rPr>
                <w:color w:val="0B0B0B"/>
                <w:sz w:val="19"/>
              </w:rPr>
              <w:t>Adzuna ‘br’ + ‘mx’ (existing key)</w:t>
            </w:r>
          </w:p>
        </w:tc>
        <w:tc>
          <w:tcPr>
            <w:tcW w:type="dxa" w:w="2436"/>
          </w:tcPr>
          <w:p>
            <w:r/>
            <w:r>
              <w:rPr>
                <w:color w:val="0B0B0B"/>
                <w:sz w:val="19"/>
              </w:rPr>
              <w:t>Trivial</w:t>
            </w:r>
          </w:p>
        </w:tc>
        <w:tc>
          <w:tcPr>
            <w:tcW w:type="dxa" w:w="2436"/>
          </w:tcPr>
          <w:p>
            <w:r/>
            <w:r>
              <w:rPr>
                <w:color w:val="0B0B0B"/>
                <w:sz w:val="19"/>
              </w:rPr>
              <w:t>Critical</w:t>
            </w:r>
          </w:p>
        </w:tc>
      </w:tr>
      <w:tr>
        <w:tc>
          <w:tcPr>
            <w:tcW w:type="dxa" w:w="2436"/>
            <w:shd w:val="clear" w:color="auto" w:fill="F2F6FC"/>
          </w:tcPr>
          <w:p>
            <w:r/>
            <w:r>
              <w:rPr>
                <w:color w:val="0B0B0B"/>
                <w:sz w:val="19"/>
              </w:rPr>
              <w:t>LATAM</w:t>
            </w:r>
          </w:p>
        </w:tc>
        <w:tc>
          <w:tcPr>
            <w:tcW w:type="dxa" w:w="2436"/>
            <w:shd w:val="clear" w:color="auto" w:fill="F2F6FC"/>
          </w:tcPr>
          <w:p>
            <w:r/>
            <w:r>
              <w:rPr>
                <w:color w:val="0B0B0B"/>
                <w:sz w:val="19"/>
              </w:rPr>
              <w:t>Get on Board — the one LATAM board with a real public API</w:t>
            </w:r>
          </w:p>
        </w:tc>
        <w:tc>
          <w:tcPr>
            <w:tcW w:type="dxa" w:w="2436"/>
            <w:shd w:val="clear" w:color="auto" w:fill="F2F6FC"/>
          </w:tcPr>
          <w:p>
            <w:r/>
            <w:r>
              <w:rPr>
                <w:color w:val="0B0B0B"/>
                <w:sz w:val="19"/>
              </w:rPr>
              <w:t>Low–Medium</w:t>
            </w:r>
          </w:p>
        </w:tc>
        <w:tc>
          <w:tcPr>
            <w:tcW w:type="dxa" w:w="2436"/>
            <w:shd w:val="clear" w:color="auto" w:fill="F2F6FC"/>
          </w:tcPr>
          <w:p>
            <w:r/>
            <w:r>
              <w:rPr>
                <w:color w:val="0B0B0B"/>
                <w:sz w:val="19"/>
              </w:rPr>
              <w:t>Investigate</w:t>
            </w:r>
          </w:p>
        </w:tc>
      </w:tr>
    </w:tbl>
    <w:p>
      <w:pPr>
        <w:spacing w:after="80"/>
      </w:pPr>
    </w:p>
    <w:p>
      <w:pPr>
        <w:spacing w:after="160"/>
      </w:pPr>
      <w:r>
        <w:t>A separate verification pass explicitly ruled out 20 well-known regional boards — Eluta, Workopolis, Jobillico, Talent.com, WowJobs (Canada); TotalJobs, CV-Library, Jobsite, CWJobs (UK); StepStone, Xing Jobs, Jobrapido, Welcome to the Jungle (Europe); Computrabajo, Bumeran, OCC Mundial (LATAM); and JobStreet, JobsDB, Kalibrr, Glints (Southeast Asia) — all of which are either closed with no public API, or offer only a paid partner/posting channel rather than a free read feed. Get on Board (LATAM) was the sole exception found with a genuine public API.</w:t>
      </w:r>
    </w:p>
    <w:p>
      <w:pPr>
        <w:spacing w:after="160"/>
      </w:pPr>
      <w:r>
        <w:t>The headline finding: the Adzuna key the project already holds is currently querying only the United States. Extending it to additional countries is, by a wide margin, the single highest-leverage change available — it touches five of the six target regions without any new integration work.</w:t>
      </w:r>
    </w:p>
    <w:p>
      <w:r>
        <w:br w:type="page"/>
      </w:r>
    </w:p>
    <w:p>
      <w:pPr>
        <w:pStyle w:val="Heading1"/>
        <w:spacing w:before="120" w:after="280"/>
      </w:pPr>
      <w:r>
        <w:rPr>
          <w:b/>
          <w:color w:val="2A78D6"/>
          <w:sz w:val="40"/>
        </w:rPr>
        <w:t>12. API Filter Optimization</w:t>
      </w:r>
    </w:p>
    <w:p>
      <w:pPr>
        <w:spacing w:after="160"/>
      </w:pPr>
      <w:r>
        <w:t>An audit of all 20 integrations found that most run deliberately unfiltered “browse everything” queries — the right choice for a first pass, but one that leaves three significant levers unused.</w:t>
      </w:r>
    </w:p>
    <w:p>
      <w:pPr>
        <w:pStyle w:val="ListBullet"/>
        <w:spacing w:after="80"/>
      </w:pPr>
      <w:r>
        <w:t>Date filters (e.g., Adzuna max_days_old, USAJOBS DatePosted, Jooble datecreatedfrom) are supported by at least six integrated providers but used by none — turning them on would cut the stale tail at ingest rather than after the fact.</w:t>
      </w:r>
    </w:p>
    <w:p>
      <w:pPr>
        <w:pStyle w:val="ListBullet"/>
        <w:spacing w:after="80"/>
      </w:pPr>
      <w:r>
        <w:t>Country/locale filters (Adzuna's country path, Careerjet's locale_code, Himalayas' country parameter) are supported but mostly unused — turning them on directly targets the weak regions identified in Section 6.</w:t>
      </w:r>
    </w:p>
    <w:p>
      <w:pPr>
        <w:pStyle w:val="ListBullet"/>
        <w:spacing w:after="80"/>
      </w:pPr>
      <w:r>
        <w:t>Query partitioning — splitting one broad query into several filtered ones by category, location, or date range — is the only way to exceed the hard result-window caps already reached by USAJOBS (10,000), Bundesagentur (10,000), Reed (~9,900), The Muse (2,000), Jooble (~1,100), and Himalayas (3,000 of a 90,000-job archive). This is the single largest coverage lever available without adding any new provider.</w:t>
      </w:r>
    </w:p>
    <w:p>
      <w:pPr>
        <w:spacing w:after="160"/>
      </w:pPr>
      <w:r>
        <w:t>Rough planning estimate: turning on these unused filters and partitioning the capped sources could add approximately 40,000 to 90,000 additional useful, fresher, and less-duplicated jobs without integrating a single new provider. Full per-provider filter detail is in research/api_analysis.md, Section 17.</w:t>
      </w:r>
    </w:p>
    <w:p>
      <w:r>
        <w:br w:type="page"/>
      </w:r>
    </w:p>
    <w:p>
      <w:pPr>
        <w:pStyle w:val="Heading1"/>
        <w:spacing w:before="120" w:after="280"/>
      </w:pPr>
      <w:r>
        <w:rPr>
          <w:b/>
          <w:color w:val="2A78D6"/>
          <w:sz w:val="40"/>
        </w:rPr>
        <w:t>13. Maximum Coverage from Existing Providers</w:t>
      </w:r>
    </w:p>
    <w:p>
      <w:pPr>
        <w:spacing w:after="160"/>
      </w:pPr>
      <w:r>
        <w:t>Every one of the 20 registered providers was audited individually to answer a narrower question than the rest of this report: is each provider we already have wired up already returning everything it realistically can, given its own API's own rules — and if not, how much more is obtainable using only capabilities that provider's API already exposes?</w:t>
      </w:r>
    </w:p>
    <w:p>
      <w:pPr>
        <w:spacing w:before="200" w:after="120"/>
      </w:pPr>
      <w:r>
        <w:rPr>
          <w:b/>
          <w:color w:val="0B0B0B"/>
          <w:sz w:val="26"/>
        </w:rPr>
        <w:t>Are we already extracting the maximum realistic number of jobs from each provider?</w:t>
      </w:r>
    </w:p>
    <w:p>
      <w:pPr>
        <w:spacing w:after="160"/>
      </w:pPr>
      <w:r>
        <w:t>For 17 of the 20 providers, no — meaningful additional volume is available using capabilities already present in the provider's own API, without any new authentication, scraping, or commercial agreement. Only three providers (Arbeitnow, RemoteOK, and TheirStack) are already at their practical ceiling, and one of those three (TheirStack) is capped by an account billing restriction rather than by the API itself.</w:t>
      </w:r>
    </w:p>
    <w:p>
      <w:pPr>
        <w:spacing w:before="200" w:after="120"/>
      </w:pPr>
      <w:r>
        <w:rPr>
          <w:b/>
          <w:color w:val="0B0B0B"/>
          <w:sz w:val="26"/>
        </w:rPr>
        <w:t>Which providers still have untapped potential?</w:t>
      </w:r>
    </w:p>
    <w:p>
      <w:pPr>
        <w:pStyle w:val="ListBullet"/>
        <w:spacing w:after="80"/>
      </w:pPr>
      <w:r>
        <w:t>Adzuna — by far the largest opportunity in the entire provider set. The current 2,000-job figure reflects querying a single country (the US) out of 10+ countries the existing API key already has access to.</w:t>
      </w:r>
    </w:p>
    <w:p>
      <w:pPr>
        <w:pStyle w:val="ListBullet"/>
        <w:spacing w:after="80"/>
      </w:pPr>
      <w:r>
        <w:t>Bundesagentur, USAJOBS, and Reed — each already sits at or near a hard per-query result-window ceiling (10,000, 10,000, and ~9,900 respectively), but each also supports a location or keyword filter that can open an independent window of similar size when the query is partitioned instead of run once, broadly.</w:t>
      </w:r>
    </w:p>
    <w:p>
      <w:pPr>
        <w:pStyle w:val="ListBullet"/>
        <w:spacing w:after="80"/>
      </w:pPr>
      <w:r>
        <w:t>Himalayas, The Muse, Jooble, and Careerjet — each is currently run as a single broad or wildcard query well below its real ceiling; switching to filtered, partitioned queries (by country, category, or real keywords instead of a wildcard) would meaningfully increase volume.</w:t>
      </w:r>
    </w:p>
    <w:p>
      <w:pPr>
        <w:spacing w:before="200" w:after="120"/>
      </w:pPr>
      <w:r>
        <w:rPr>
          <w:b/>
          <w:color w:val="0B0B0B"/>
          <w:sz w:val="26"/>
        </w:rPr>
        <w:t>Which providers have already reached their practical limits?</w:t>
      </w:r>
    </w:p>
    <w:p>
      <w:pPr>
        <w:pStyle w:val="ListBullet"/>
        <w:spacing w:after="80"/>
      </w:pPr>
      <w:r>
        <w:t>Arbeitnow — the entire current board is already fetched to exhaustion via full pagination, and the API offers no keyword, location, or category parameter to partition further.</w:t>
      </w:r>
    </w:p>
    <w:p>
      <w:pPr>
        <w:pStyle w:val="ListBullet"/>
        <w:spacing w:after="80"/>
      </w:pPr>
      <w:r>
        <w:t>RemoteOK — the documented public endpoint is a fixed ~100-job snapshot with no confirmed filtering or pagination mechanism.</w:t>
      </w:r>
    </w:p>
    <w:p>
      <w:pPr>
        <w:pStyle w:val="ListBullet"/>
        <w:spacing w:after="80"/>
      </w:pPr>
      <w:r>
        <w:t>TheirStack — effectively at zero due to an account plan restriction (HTTP 402), not because its API has been exhausted; this should be reassessed the moment Jobs API access is restored on the account.</w:t>
      </w:r>
    </w:p>
    <w:p>
      <w:pPr>
        <w:spacing w:before="200" w:after="120"/>
      </w:pPr>
      <w:r>
        <w:rPr>
          <w:b/>
          <w:color w:val="0B0B0B"/>
          <w:sz w:val="26"/>
        </w:rPr>
        <w:t>Which providers can be improved using existing API filters?</w:t>
      </w:r>
    </w:p>
    <w:p>
      <w:pPr>
        <w:spacing w:after="160"/>
      </w:pPr>
      <w:r>
        <w:t>Eight providers — Adzuna, Bundesagentur, USAJOBS, Reed, Himalayas, Jooble, Careerjet, and The Muse — already support date, country/locale, category, or location filters that the current integration does not use. Turning these on, or partitioning a single broad query into several filtered ones, is a pure configuration and query-logic change with no new credentials required.</w:t>
      </w:r>
    </w:p>
    <w:p>
      <w:pPr>
        <w:spacing w:before="200" w:after="120"/>
      </w:pPr>
      <w:r>
        <w:rPr>
          <w:b/>
          <w:color w:val="0B0B0B"/>
          <w:sz w:val="26"/>
        </w:rPr>
        <w:t>Which providers require adding additional companies rather than changing code?</w:t>
      </w:r>
    </w:p>
    <w:p>
      <w:pPr>
        <w:spacing w:after="160"/>
      </w:pPr>
      <w:r>
        <w:t>All six ATS providers — Greenhouse, Lever, Ashby, SmartRecruiters, Workable, and Teamtailor — expose no keyword, location, category, or date request filter at all; each is a full-board, per-company fetch. For these six, the API itself is already fully exploited for every currently configured company, so the entire opportunity lies in expanding the curated company-slug list, not in changing how the API is queried.</w:t>
      </w:r>
    </w:p>
    <w:p>
      <w:pPr>
        <w:spacing w:before="200" w:after="120"/>
      </w:pPr>
      <w:r>
        <w:rPr>
          <w:b/>
          <w:color w:val="0B0B0B"/>
          <w:sz w:val="26"/>
        </w:rPr>
        <w:t>Which providers cannot realistically return more jobs due to API limitations?</w:t>
      </w:r>
    </w:p>
    <w:p>
      <w:pPr>
        <w:spacing w:after="160"/>
      </w:pPr>
      <w:r>
        <w:t>Arbeitnow and RemoteOK. Both expose a complete, unfilterable snapshot of their respective boards with no query dimension to expand beyond what is already being collected — any further volume would depend on the boards themselves growing over time, not on anything this project can change.</w:t>
      </w:r>
    </w:p>
    <w:p>
      <w:pPr>
        <w:spacing w:before="200" w:after="120"/>
      </w:pPr>
      <w:r>
        <w:rPr>
          <w:b/>
          <w:color w:val="0B0B0B"/>
          <w:sz w:val="26"/>
        </w:rPr>
        <w:t>Provider-by-provider comparison</w:t>
      </w:r>
    </w:p>
    <w:tbl>
      <w:tblPr>
        <w:tblStyle w:val="TableGrid"/>
        <w:tblW w:type="auto" w:w="0"/>
        <w:jc w:val="center"/>
        <w:tblLayout w:type="autofit"/>
        <w:tblLook w:firstColumn="1" w:firstRow="1" w:lastColumn="0" w:lastRow="0" w:noHBand="0" w:noVBand="1" w:val="04A0"/>
      </w:tblPr>
      <w:tblGrid>
        <w:gridCol w:w="1949"/>
        <w:gridCol w:w="1949"/>
        <w:gridCol w:w="1949"/>
        <w:gridCol w:w="1949"/>
        <w:gridCol w:w="1949"/>
      </w:tblGrid>
      <w:tr>
        <w:tc>
          <w:tcPr>
            <w:tcW w:type="dxa" w:w="1949"/>
            <w:shd w:val="clear" w:color="auto" w:fill="2A78D6"/>
          </w:tcPr>
          <w:p>
            <w:r/>
            <w:r>
              <w:rPr>
                <w:b/>
                <w:color w:val="FFFFFF"/>
                <w:sz w:val="19"/>
              </w:rPr>
              <w:t>Provider</w:t>
            </w:r>
          </w:p>
        </w:tc>
        <w:tc>
          <w:tcPr>
            <w:tcW w:type="dxa" w:w="1949"/>
            <w:shd w:val="clear" w:color="auto" w:fill="2A78D6"/>
          </w:tcPr>
          <w:p>
            <w:r/>
            <w:r>
              <w:rPr>
                <w:b/>
                <w:color w:val="FFFFFF"/>
                <w:sz w:val="19"/>
              </w:rPr>
              <w:t>Current Jobs Collected</w:t>
            </w:r>
          </w:p>
        </w:tc>
        <w:tc>
          <w:tcPr>
            <w:tcW w:type="dxa" w:w="1949"/>
            <w:shd w:val="clear" w:color="auto" w:fill="2A78D6"/>
          </w:tcPr>
          <w:p>
            <w:r/>
            <w:r>
              <w:rPr>
                <w:b/>
                <w:color w:val="FFFFFF"/>
                <w:sz w:val="19"/>
              </w:rPr>
              <w:t>Estimated Practical Maximum</w:t>
            </w:r>
          </w:p>
        </w:tc>
        <w:tc>
          <w:tcPr>
            <w:tcW w:type="dxa" w:w="1949"/>
            <w:shd w:val="clear" w:color="auto" w:fill="2A78D6"/>
          </w:tcPr>
          <w:p>
            <w:r/>
            <w:r>
              <w:rPr>
                <w:b/>
                <w:color w:val="FFFFFF"/>
                <w:sz w:val="19"/>
              </w:rPr>
              <w:t>Additional Jobs Possible</w:t>
            </w:r>
          </w:p>
        </w:tc>
        <w:tc>
          <w:tcPr>
            <w:tcW w:type="dxa" w:w="1949"/>
            <w:shd w:val="clear" w:color="auto" w:fill="2A78D6"/>
          </w:tcPr>
          <w:p>
            <w:r/>
            <w:r>
              <w:rPr>
                <w:b/>
                <w:color w:val="FFFFFF"/>
                <w:sz w:val="19"/>
              </w:rPr>
              <w:t>Recommended Optimization Strategy</w:t>
            </w:r>
          </w:p>
        </w:tc>
      </w:tr>
      <w:tr>
        <w:tc>
          <w:tcPr>
            <w:tcW w:type="dxa" w:w="1949"/>
          </w:tcPr>
          <w:p>
            <w:r/>
            <w:r>
              <w:rPr>
                <w:color w:val="0B0B0B"/>
                <w:sz w:val="19"/>
              </w:rPr>
              <w:t>Arbeitnow</w:t>
            </w:r>
          </w:p>
        </w:tc>
        <w:tc>
          <w:tcPr>
            <w:tcW w:type="dxa" w:w="1949"/>
          </w:tcPr>
          <w:p>
            <w:r/>
            <w:r>
              <w:rPr>
                <w:color w:val="0B0B0B"/>
                <w:sz w:val="19"/>
              </w:rPr>
              <w:t>930</w:t>
            </w:r>
          </w:p>
        </w:tc>
        <w:tc>
          <w:tcPr>
            <w:tcW w:type="dxa" w:w="1949"/>
          </w:tcPr>
          <w:p>
            <w:r/>
            <w:r>
              <w:rPr>
                <w:color w:val="0B0B0B"/>
                <w:sz w:val="19"/>
              </w:rPr>
              <w:t>~950–1,000</w:t>
            </w:r>
          </w:p>
        </w:tc>
        <w:tc>
          <w:tcPr>
            <w:tcW w:type="dxa" w:w="1949"/>
          </w:tcPr>
          <w:p>
            <w:r/>
            <w:r>
              <w:rPr>
                <w:color w:val="0B0B0B"/>
                <w:sz w:val="19"/>
              </w:rPr>
              <w:t>~0–100</w:t>
            </w:r>
          </w:p>
        </w:tc>
        <w:tc>
          <w:tcPr>
            <w:tcW w:type="dxa" w:w="1949"/>
          </w:tcPr>
          <w:p>
            <w:r/>
            <w:r>
              <w:rPr>
                <w:color w:val="0B0B0B"/>
                <w:sz w:val="19"/>
              </w:rPr>
              <w:t>None — full board already exhausted</w:t>
            </w:r>
          </w:p>
        </w:tc>
      </w:tr>
      <w:tr>
        <w:tc>
          <w:tcPr>
            <w:tcW w:type="dxa" w:w="1949"/>
            <w:shd w:val="clear" w:color="auto" w:fill="F2F6FC"/>
          </w:tcPr>
          <w:p>
            <w:r/>
            <w:r>
              <w:rPr>
                <w:color w:val="0B0B0B"/>
                <w:sz w:val="19"/>
              </w:rPr>
              <w:t>Himalayas</w:t>
            </w:r>
          </w:p>
        </w:tc>
        <w:tc>
          <w:tcPr>
            <w:tcW w:type="dxa" w:w="1949"/>
            <w:shd w:val="clear" w:color="auto" w:fill="F2F6FC"/>
          </w:tcPr>
          <w:p>
            <w:r/>
            <w:r>
              <w:rPr>
                <w:color w:val="0B0B0B"/>
                <w:sz w:val="19"/>
              </w:rPr>
              <w:t>3,000</w:t>
            </w:r>
          </w:p>
        </w:tc>
        <w:tc>
          <w:tcPr>
            <w:tcW w:type="dxa" w:w="1949"/>
            <w:shd w:val="clear" w:color="auto" w:fill="F2F6FC"/>
          </w:tcPr>
          <w:p>
            <w:r/>
            <w:r>
              <w:rPr>
                <w:color w:val="0B0B0B"/>
                <w:sz w:val="19"/>
              </w:rPr>
              <w:t>13,000–23,000</w:t>
            </w:r>
          </w:p>
        </w:tc>
        <w:tc>
          <w:tcPr>
            <w:tcW w:type="dxa" w:w="1949"/>
            <w:shd w:val="clear" w:color="auto" w:fill="F2F6FC"/>
          </w:tcPr>
          <w:p>
            <w:r/>
            <w:r>
              <w:rPr>
                <w:color w:val="0B0B0B"/>
                <w:sz w:val="19"/>
              </w:rPr>
              <w:t>+10,000–20,000</w:t>
            </w:r>
          </w:p>
        </w:tc>
        <w:tc>
          <w:tcPr>
            <w:tcW w:type="dxa" w:w="1949"/>
            <w:shd w:val="clear" w:color="auto" w:fill="F2F6FC"/>
          </w:tcPr>
          <w:p>
            <w:r/>
            <w:r>
              <w:rPr>
                <w:color w:val="0B0B0B"/>
                <w:sz w:val="19"/>
              </w:rPr>
              <w:t>Switch to richer search endpoint; partition by country/category</w:t>
            </w:r>
          </w:p>
        </w:tc>
      </w:tr>
      <w:tr>
        <w:tc>
          <w:tcPr>
            <w:tcW w:type="dxa" w:w="1949"/>
          </w:tcPr>
          <w:p>
            <w:r/>
            <w:r>
              <w:rPr>
                <w:color w:val="0B0B0B"/>
                <w:sz w:val="19"/>
              </w:rPr>
              <w:t>RemoteOK</w:t>
            </w:r>
          </w:p>
        </w:tc>
        <w:tc>
          <w:tcPr>
            <w:tcW w:type="dxa" w:w="1949"/>
          </w:tcPr>
          <w:p>
            <w:r/>
            <w:r>
              <w:rPr>
                <w:color w:val="0B0B0B"/>
                <w:sz w:val="19"/>
              </w:rPr>
              <w:t>100</w:t>
            </w:r>
          </w:p>
        </w:tc>
        <w:tc>
          <w:tcPr>
            <w:tcW w:type="dxa" w:w="1949"/>
          </w:tcPr>
          <w:p>
            <w:r/>
            <w:r>
              <w:rPr>
                <w:color w:val="0B0B0B"/>
                <w:sz w:val="19"/>
              </w:rPr>
              <w:t>~100</w:t>
            </w:r>
          </w:p>
        </w:tc>
        <w:tc>
          <w:tcPr>
            <w:tcW w:type="dxa" w:w="1949"/>
          </w:tcPr>
          <w:p>
            <w:r/>
            <w:r>
              <w:rPr>
                <w:color w:val="0B0B0B"/>
                <w:sz w:val="19"/>
              </w:rPr>
              <w:t>~0</w:t>
            </w:r>
          </w:p>
        </w:tc>
        <w:tc>
          <w:tcPr>
            <w:tcW w:type="dxa" w:w="1949"/>
          </w:tcPr>
          <w:p>
            <w:r/>
            <w:r>
              <w:rPr>
                <w:color w:val="0B0B0B"/>
                <w:sz w:val="19"/>
              </w:rPr>
              <w:t>None confirmed; verify tag-scoped endpoints before assuming more</w:t>
            </w:r>
          </w:p>
        </w:tc>
      </w:tr>
      <w:tr>
        <w:tc>
          <w:tcPr>
            <w:tcW w:type="dxa" w:w="1949"/>
            <w:shd w:val="clear" w:color="auto" w:fill="F2F6FC"/>
          </w:tcPr>
          <w:p>
            <w:r/>
            <w:r>
              <w:rPr>
                <w:color w:val="0B0B0B"/>
                <w:sz w:val="19"/>
              </w:rPr>
              <w:t>Jobicy</w:t>
            </w:r>
          </w:p>
        </w:tc>
        <w:tc>
          <w:tcPr>
            <w:tcW w:type="dxa" w:w="1949"/>
            <w:shd w:val="clear" w:color="auto" w:fill="F2F6FC"/>
          </w:tcPr>
          <w:p>
            <w:r/>
            <w:r>
              <w:rPr>
                <w:color w:val="0B0B0B"/>
                <w:sz w:val="19"/>
              </w:rPr>
              <w:t>100</w:t>
            </w:r>
          </w:p>
        </w:tc>
        <w:tc>
          <w:tcPr>
            <w:tcW w:type="dxa" w:w="1949"/>
            <w:shd w:val="clear" w:color="auto" w:fill="F2F6FC"/>
          </w:tcPr>
          <w:p>
            <w:r/>
            <w:r>
              <w:rPr>
                <w:color w:val="0B0B0B"/>
                <w:sz w:val="19"/>
              </w:rPr>
              <w:t>300–500</w:t>
            </w:r>
          </w:p>
        </w:tc>
        <w:tc>
          <w:tcPr>
            <w:tcW w:type="dxa" w:w="1949"/>
            <w:shd w:val="clear" w:color="auto" w:fill="F2F6FC"/>
          </w:tcPr>
          <w:p>
            <w:r/>
            <w:r>
              <w:rPr>
                <w:color w:val="0B0B0B"/>
                <w:sz w:val="19"/>
              </w:rPr>
              <w:t>+200–400</w:t>
            </w:r>
          </w:p>
        </w:tc>
        <w:tc>
          <w:tcPr>
            <w:tcW w:type="dxa" w:w="1949"/>
            <w:shd w:val="clear" w:color="auto" w:fill="F2F6FC"/>
          </w:tcPr>
          <w:p>
            <w:r/>
            <w:r>
              <w:rPr>
                <w:color w:val="0B0B0B"/>
                <w:sz w:val="19"/>
              </w:rPr>
              <w:t>Partition by geo/industry/tag across multiple calls</w:t>
            </w:r>
          </w:p>
        </w:tc>
      </w:tr>
      <w:tr>
        <w:tc>
          <w:tcPr>
            <w:tcW w:type="dxa" w:w="1949"/>
          </w:tcPr>
          <w:p>
            <w:r/>
            <w:r>
              <w:rPr>
                <w:color w:val="0B0B0B"/>
                <w:sz w:val="19"/>
              </w:rPr>
              <w:t>The Muse</w:t>
            </w:r>
          </w:p>
        </w:tc>
        <w:tc>
          <w:tcPr>
            <w:tcW w:type="dxa" w:w="1949"/>
          </w:tcPr>
          <w:p>
            <w:r/>
            <w:r>
              <w:rPr>
                <w:color w:val="0B0B0B"/>
                <w:sz w:val="19"/>
              </w:rPr>
              <w:t>2,000</w:t>
            </w:r>
          </w:p>
        </w:tc>
        <w:tc>
          <w:tcPr>
            <w:tcW w:type="dxa" w:w="1949"/>
          </w:tcPr>
          <w:p>
            <w:r/>
            <w:r>
              <w:rPr>
                <w:color w:val="0B0B0B"/>
                <w:sz w:val="19"/>
              </w:rPr>
              <w:t>5,000–8,000</w:t>
            </w:r>
          </w:p>
        </w:tc>
        <w:tc>
          <w:tcPr>
            <w:tcW w:type="dxa" w:w="1949"/>
          </w:tcPr>
          <w:p>
            <w:r/>
            <w:r>
              <w:rPr>
                <w:color w:val="0B0B0B"/>
                <w:sz w:val="19"/>
              </w:rPr>
              <w:t>+3,000–6,000</w:t>
            </w:r>
          </w:p>
        </w:tc>
        <w:tc>
          <w:tcPr>
            <w:tcW w:type="dxa" w:w="1949"/>
          </w:tcPr>
          <w:p>
            <w:r/>
            <w:r>
              <w:rPr>
                <w:color w:val="0B0B0B"/>
                <w:sz w:val="19"/>
              </w:rPr>
              <w:t>Partition by category/location; consider an API key</w:t>
            </w:r>
          </w:p>
        </w:tc>
      </w:tr>
      <w:tr>
        <w:tc>
          <w:tcPr>
            <w:tcW w:type="dxa" w:w="1949"/>
            <w:shd w:val="clear" w:color="auto" w:fill="F2F6FC"/>
          </w:tcPr>
          <w:p>
            <w:r/>
            <w:r>
              <w:rPr>
                <w:color w:val="0B0B0B"/>
                <w:sz w:val="19"/>
              </w:rPr>
              <w:t>Bundesagentur</w:t>
            </w:r>
          </w:p>
        </w:tc>
        <w:tc>
          <w:tcPr>
            <w:tcW w:type="dxa" w:w="1949"/>
            <w:shd w:val="clear" w:color="auto" w:fill="F2F6FC"/>
          </w:tcPr>
          <w:p>
            <w:r/>
            <w:r>
              <w:rPr>
                <w:color w:val="0B0B0B"/>
                <w:sz w:val="19"/>
              </w:rPr>
              <w:t>10,000</w:t>
            </w:r>
          </w:p>
        </w:tc>
        <w:tc>
          <w:tcPr>
            <w:tcW w:type="dxa" w:w="1949"/>
            <w:shd w:val="clear" w:color="auto" w:fill="F2F6FC"/>
          </w:tcPr>
          <w:p>
            <w:r/>
            <w:r>
              <w:rPr>
                <w:color w:val="0B0B0B"/>
                <w:sz w:val="19"/>
              </w:rPr>
              <w:t>25,000–40,000</w:t>
            </w:r>
          </w:p>
        </w:tc>
        <w:tc>
          <w:tcPr>
            <w:tcW w:type="dxa" w:w="1949"/>
            <w:shd w:val="clear" w:color="auto" w:fill="F2F6FC"/>
          </w:tcPr>
          <w:p>
            <w:r/>
            <w:r>
              <w:rPr>
                <w:color w:val="0B0B0B"/>
                <w:sz w:val="19"/>
              </w:rPr>
              <w:t>+15,000–30,000</w:t>
            </w:r>
          </w:p>
        </w:tc>
        <w:tc>
          <w:tcPr>
            <w:tcW w:type="dxa" w:w="1949"/>
            <w:shd w:val="clear" w:color="auto" w:fill="F2F6FC"/>
          </w:tcPr>
          <w:p>
            <w:r/>
            <w:r>
              <w:rPr>
                <w:color w:val="0B0B0B"/>
                <w:sz w:val="19"/>
              </w:rPr>
              <w:t>Partition by region or keyword</w:t>
            </w:r>
          </w:p>
        </w:tc>
      </w:tr>
      <w:tr>
        <w:tc>
          <w:tcPr>
            <w:tcW w:type="dxa" w:w="1949"/>
          </w:tcPr>
          <w:p>
            <w:r/>
            <w:r>
              <w:rPr>
                <w:color w:val="0B0B0B"/>
                <w:sz w:val="19"/>
              </w:rPr>
              <w:t>Jooble</w:t>
            </w:r>
          </w:p>
        </w:tc>
        <w:tc>
          <w:tcPr>
            <w:tcW w:type="dxa" w:w="1949"/>
          </w:tcPr>
          <w:p>
            <w:r/>
            <w:r>
              <w:rPr>
                <w:color w:val="0B0B0B"/>
                <w:sz w:val="19"/>
              </w:rPr>
              <w:t>1,129</w:t>
            </w:r>
          </w:p>
        </w:tc>
        <w:tc>
          <w:tcPr>
            <w:tcW w:type="dxa" w:w="1949"/>
          </w:tcPr>
          <w:p>
            <w:r/>
            <w:r>
              <w:rPr>
                <w:color w:val="0B0B0B"/>
                <w:sz w:val="19"/>
              </w:rPr>
              <w:t>4,000–9,000</w:t>
            </w:r>
          </w:p>
        </w:tc>
        <w:tc>
          <w:tcPr>
            <w:tcW w:type="dxa" w:w="1949"/>
          </w:tcPr>
          <w:p>
            <w:r/>
            <w:r>
              <w:rPr>
                <w:color w:val="0B0B0B"/>
                <w:sz w:val="19"/>
              </w:rPr>
              <w:t>+3,000–8,000</w:t>
            </w:r>
          </w:p>
        </w:tc>
        <w:tc>
          <w:tcPr>
            <w:tcW w:type="dxa" w:w="1949"/>
          </w:tcPr>
          <w:p>
            <w:r/>
            <w:r>
              <w:rPr>
                <w:color w:val="0B0B0B"/>
                <w:sz w:val="19"/>
              </w:rPr>
              <w:t>Replace wildcard with targeted keywords/locations</w:t>
            </w:r>
          </w:p>
        </w:tc>
      </w:tr>
      <w:tr>
        <w:tc>
          <w:tcPr>
            <w:tcW w:type="dxa" w:w="1949"/>
            <w:shd w:val="clear" w:color="auto" w:fill="F2F6FC"/>
          </w:tcPr>
          <w:p>
            <w:r/>
            <w:r>
              <w:rPr>
                <w:color w:val="0B0B0B"/>
                <w:sz w:val="19"/>
              </w:rPr>
              <w:t>USAJOBS</w:t>
            </w:r>
          </w:p>
        </w:tc>
        <w:tc>
          <w:tcPr>
            <w:tcW w:type="dxa" w:w="1949"/>
            <w:shd w:val="clear" w:color="auto" w:fill="F2F6FC"/>
          </w:tcPr>
          <w:p>
            <w:r/>
            <w:r>
              <w:rPr>
                <w:color w:val="0B0B0B"/>
                <w:sz w:val="19"/>
              </w:rPr>
              <w:t>10,000</w:t>
            </w:r>
          </w:p>
        </w:tc>
        <w:tc>
          <w:tcPr>
            <w:tcW w:type="dxa" w:w="1949"/>
            <w:shd w:val="clear" w:color="auto" w:fill="F2F6FC"/>
          </w:tcPr>
          <w:p>
            <w:r/>
            <w:r>
              <w:rPr>
                <w:color w:val="0B0B0B"/>
                <w:sz w:val="19"/>
              </w:rPr>
              <w:t>20,000–30,000</w:t>
            </w:r>
          </w:p>
        </w:tc>
        <w:tc>
          <w:tcPr>
            <w:tcW w:type="dxa" w:w="1949"/>
            <w:shd w:val="clear" w:color="auto" w:fill="F2F6FC"/>
          </w:tcPr>
          <w:p>
            <w:r/>
            <w:r>
              <w:rPr>
                <w:color w:val="0B0B0B"/>
                <w:sz w:val="19"/>
              </w:rPr>
              <w:t>+10,000–20,000</w:t>
            </w:r>
          </w:p>
        </w:tc>
        <w:tc>
          <w:tcPr>
            <w:tcW w:type="dxa" w:w="1949"/>
            <w:shd w:val="clear" w:color="auto" w:fill="F2F6FC"/>
          </w:tcPr>
          <w:p>
            <w:r/>
            <w:r>
              <w:rPr>
                <w:color w:val="0B0B0B"/>
                <w:sz w:val="19"/>
              </w:rPr>
              <w:t>Partition by job category or location</w:t>
            </w:r>
          </w:p>
        </w:tc>
      </w:tr>
      <w:tr>
        <w:tc>
          <w:tcPr>
            <w:tcW w:type="dxa" w:w="1949"/>
          </w:tcPr>
          <w:p>
            <w:r/>
            <w:r>
              <w:rPr>
                <w:color w:val="0B0B0B"/>
                <w:sz w:val="19"/>
              </w:rPr>
              <w:t>Adzuna</w:t>
            </w:r>
          </w:p>
        </w:tc>
        <w:tc>
          <w:tcPr>
            <w:tcW w:type="dxa" w:w="1949"/>
          </w:tcPr>
          <w:p>
            <w:r/>
            <w:r>
              <w:rPr>
                <w:color w:val="0B0B0B"/>
                <w:sz w:val="19"/>
              </w:rPr>
              <w:t>2,000</w:t>
            </w:r>
          </w:p>
        </w:tc>
        <w:tc>
          <w:tcPr>
            <w:tcW w:type="dxa" w:w="1949"/>
          </w:tcPr>
          <w:p>
            <w:r/>
            <w:r>
              <w:rPr>
                <w:color w:val="0B0B0B"/>
                <w:sz w:val="19"/>
              </w:rPr>
              <w:t>22,000–42,000</w:t>
            </w:r>
          </w:p>
        </w:tc>
        <w:tc>
          <w:tcPr>
            <w:tcW w:type="dxa" w:w="1949"/>
          </w:tcPr>
          <w:p>
            <w:r/>
            <w:r>
              <w:rPr>
                <w:color w:val="0B0B0B"/>
                <w:sz w:val="19"/>
              </w:rPr>
              <w:t>+20,000–40,000</w:t>
            </w:r>
          </w:p>
        </w:tc>
        <w:tc>
          <w:tcPr>
            <w:tcW w:type="dxa" w:w="1949"/>
          </w:tcPr>
          <w:p>
            <w:r/>
            <w:r>
              <w:rPr>
                <w:color w:val="0B0B0B"/>
                <w:sz w:val="19"/>
              </w:rPr>
              <w:t>Query additional countries already covered by the existing key</w:t>
            </w:r>
          </w:p>
        </w:tc>
      </w:tr>
      <w:tr>
        <w:tc>
          <w:tcPr>
            <w:tcW w:type="dxa" w:w="1949"/>
            <w:shd w:val="clear" w:color="auto" w:fill="F2F6FC"/>
          </w:tcPr>
          <w:p>
            <w:r/>
            <w:r>
              <w:rPr>
                <w:color w:val="0B0B0B"/>
                <w:sz w:val="19"/>
              </w:rPr>
              <w:t>Reed</w:t>
            </w:r>
          </w:p>
        </w:tc>
        <w:tc>
          <w:tcPr>
            <w:tcW w:type="dxa" w:w="1949"/>
            <w:shd w:val="clear" w:color="auto" w:fill="F2F6FC"/>
          </w:tcPr>
          <w:p>
            <w:r/>
            <w:r>
              <w:rPr>
                <w:color w:val="0B0B0B"/>
                <w:sz w:val="19"/>
              </w:rPr>
              <w:t>9,000</w:t>
            </w:r>
          </w:p>
        </w:tc>
        <w:tc>
          <w:tcPr>
            <w:tcW w:type="dxa" w:w="1949"/>
            <w:shd w:val="clear" w:color="auto" w:fill="F2F6FC"/>
          </w:tcPr>
          <w:p>
            <w:r/>
            <w:r>
              <w:rPr>
                <w:color w:val="0B0B0B"/>
                <w:sz w:val="19"/>
              </w:rPr>
              <w:t>17,000–24,000</w:t>
            </w:r>
          </w:p>
        </w:tc>
        <w:tc>
          <w:tcPr>
            <w:tcW w:type="dxa" w:w="1949"/>
            <w:shd w:val="clear" w:color="auto" w:fill="F2F6FC"/>
          </w:tcPr>
          <w:p>
            <w:r/>
            <w:r>
              <w:rPr>
                <w:color w:val="0B0B0B"/>
                <w:sz w:val="19"/>
              </w:rPr>
              <w:t>+8,000–15,000</w:t>
            </w:r>
          </w:p>
        </w:tc>
        <w:tc>
          <w:tcPr>
            <w:tcW w:type="dxa" w:w="1949"/>
            <w:shd w:val="clear" w:color="auto" w:fill="F2F6FC"/>
          </w:tcPr>
          <w:p>
            <w:r/>
            <w:r>
              <w:rPr>
                <w:color w:val="0B0B0B"/>
                <w:sz w:val="19"/>
              </w:rPr>
              <w:t>Partition by UK region/keyword</w:t>
            </w:r>
          </w:p>
        </w:tc>
      </w:tr>
      <w:tr>
        <w:tc>
          <w:tcPr>
            <w:tcW w:type="dxa" w:w="1949"/>
          </w:tcPr>
          <w:p>
            <w:r/>
            <w:r>
              <w:rPr>
                <w:color w:val="0B0B0B"/>
                <w:sz w:val="19"/>
              </w:rPr>
              <w:t>SerpApi</w:t>
            </w:r>
          </w:p>
        </w:tc>
        <w:tc>
          <w:tcPr>
            <w:tcW w:type="dxa" w:w="1949"/>
          </w:tcPr>
          <w:p>
            <w:r/>
            <w:r>
              <w:rPr>
                <w:color w:val="0B0B0B"/>
                <w:sz w:val="19"/>
              </w:rPr>
              <w:t>50</w:t>
            </w:r>
          </w:p>
        </w:tc>
        <w:tc>
          <w:tcPr>
            <w:tcW w:type="dxa" w:w="1949"/>
          </w:tcPr>
          <w:p>
            <w:r/>
            <w:r>
              <w:rPr>
                <w:color w:val="0B0B0B"/>
                <w:sz w:val="19"/>
              </w:rPr>
              <w:t>~2,500/mo (budget-bound)</w:t>
            </w:r>
          </w:p>
        </w:tc>
        <w:tc>
          <w:tcPr>
            <w:tcW w:type="dxa" w:w="1949"/>
          </w:tcPr>
          <w:p>
            <w:r/>
            <w:r>
              <w:rPr>
                <w:color w:val="0B0B0B"/>
                <w:sz w:val="19"/>
              </w:rPr>
              <w:t>Budget-dependent</w:t>
            </w:r>
          </w:p>
        </w:tc>
        <w:tc>
          <w:tcPr>
            <w:tcW w:type="dxa" w:w="1949"/>
          </w:tcPr>
          <w:p>
            <w:r/>
            <w:r>
              <w:rPr>
                <w:color w:val="0B0B0B"/>
                <w:sz w:val="19"/>
              </w:rPr>
              <w:t>Reallocate quota to targeted location/date queries</w:t>
            </w:r>
          </w:p>
        </w:tc>
      </w:tr>
      <w:tr>
        <w:tc>
          <w:tcPr>
            <w:tcW w:type="dxa" w:w="1949"/>
            <w:shd w:val="clear" w:color="auto" w:fill="F2F6FC"/>
          </w:tcPr>
          <w:p>
            <w:r/>
            <w:r>
              <w:rPr>
                <w:color w:val="0B0B0B"/>
                <w:sz w:val="19"/>
              </w:rPr>
              <w:t>OpenWeb Ninja</w:t>
            </w:r>
          </w:p>
        </w:tc>
        <w:tc>
          <w:tcPr>
            <w:tcW w:type="dxa" w:w="1949"/>
            <w:shd w:val="clear" w:color="auto" w:fill="F2F6FC"/>
          </w:tcPr>
          <w:p>
            <w:r/>
            <w:r>
              <w:rPr>
                <w:color w:val="0B0B0B"/>
                <w:sz w:val="19"/>
              </w:rPr>
              <w:t>~47</w:t>
            </w:r>
          </w:p>
        </w:tc>
        <w:tc>
          <w:tcPr>
            <w:tcW w:type="dxa" w:w="1949"/>
            <w:shd w:val="clear" w:color="auto" w:fill="F2F6FC"/>
          </w:tcPr>
          <w:p>
            <w:r/>
            <w:r>
              <w:rPr>
                <w:color w:val="0B0B0B"/>
                <w:sz w:val="19"/>
              </w:rPr>
              <w:t>~200/mo (budget-bound)</w:t>
            </w:r>
          </w:p>
        </w:tc>
        <w:tc>
          <w:tcPr>
            <w:tcW w:type="dxa" w:w="1949"/>
            <w:shd w:val="clear" w:color="auto" w:fill="F2F6FC"/>
          </w:tcPr>
          <w:p>
            <w:r/>
            <w:r>
              <w:rPr>
                <w:color w:val="0B0B0B"/>
                <w:sz w:val="19"/>
              </w:rPr>
              <w:t>Budget-dependent</w:t>
            </w:r>
          </w:p>
        </w:tc>
        <w:tc>
          <w:tcPr>
            <w:tcW w:type="dxa" w:w="1949"/>
            <w:shd w:val="clear" w:color="auto" w:fill="F2F6FC"/>
          </w:tcPr>
          <w:p>
            <w:r/>
            <w:r>
              <w:rPr>
                <w:color w:val="0B0B0B"/>
                <w:sz w:val="19"/>
              </w:rPr>
              <w:t>Reallocate quota toward country-scoped (e.g. India) queries</w:t>
            </w:r>
          </w:p>
        </w:tc>
      </w:tr>
      <w:tr>
        <w:tc>
          <w:tcPr>
            <w:tcW w:type="dxa" w:w="1949"/>
          </w:tcPr>
          <w:p>
            <w:r/>
            <w:r>
              <w:rPr>
                <w:color w:val="0B0B0B"/>
                <w:sz w:val="19"/>
              </w:rPr>
              <w:t>Careerjet</w:t>
            </w:r>
          </w:p>
        </w:tc>
        <w:tc>
          <w:tcPr>
            <w:tcW w:type="dxa" w:w="1949"/>
          </w:tcPr>
          <w:p>
            <w:r/>
            <w:r>
              <w:rPr>
                <w:color w:val="0B0B0B"/>
                <w:sz w:val="19"/>
              </w:rPr>
              <w:t>2,000</w:t>
            </w:r>
          </w:p>
        </w:tc>
        <w:tc>
          <w:tcPr>
            <w:tcW w:type="dxa" w:w="1949"/>
          </w:tcPr>
          <w:p>
            <w:r/>
            <w:r>
              <w:rPr>
                <w:color w:val="0B0B0B"/>
                <w:sz w:val="19"/>
              </w:rPr>
              <w:t>7,000–12,000</w:t>
            </w:r>
          </w:p>
        </w:tc>
        <w:tc>
          <w:tcPr>
            <w:tcW w:type="dxa" w:w="1949"/>
          </w:tcPr>
          <w:p>
            <w:r/>
            <w:r>
              <w:rPr>
                <w:color w:val="0B0B0B"/>
                <w:sz w:val="19"/>
              </w:rPr>
              <w:t>+5,000–10,000</w:t>
            </w:r>
          </w:p>
        </w:tc>
        <w:tc>
          <w:tcPr>
            <w:tcW w:type="dxa" w:w="1949"/>
          </w:tcPr>
          <w:p>
            <w:r/>
            <w:r>
              <w:rPr>
                <w:color w:val="0B0B0B"/>
                <w:sz w:val="19"/>
              </w:rPr>
              <w:t>Add locale-scoped passes + real keywords</w:t>
            </w:r>
          </w:p>
        </w:tc>
      </w:tr>
      <w:tr>
        <w:tc>
          <w:tcPr>
            <w:tcW w:type="dxa" w:w="1949"/>
            <w:shd w:val="clear" w:color="auto" w:fill="F2F6FC"/>
          </w:tcPr>
          <w:p>
            <w:r/>
            <w:r>
              <w:rPr>
                <w:color w:val="0B0B0B"/>
                <w:sz w:val="19"/>
              </w:rPr>
              <w:t>TheirStack</w:t>
            </w:r>
          </w:p>
        </w:tc>
        <w:tc>
          <w:tcPr>
            <w:tcW w:type="dxa" w:w="1949"/>
            <w:shd w:val="clear" w:color="auto" w:fill="F2F6FC"/>
          </w:tcPr>
          <w:p>
            <w:r/>
            <w:r>
              <w:rPr>
                <w:color w:val="0B0B0B"/>
                <w:sz w:val="19"/>
              </w:rPr>
              <w:t>0</w:t>
            </w:r>
          </w:p>
        </w:tc>
        <w:tc>
          <w:tcPr>
            <w:tcW w:type="dxa" w:w="1949"/>
            <w:shd w:val="clear" w:color="auto" w:fill="F2F6FC"/>
          </w:tcPr>
          <w:p>
            <w:r/>
            <w:r>
              <w:rPr>
                <w:color w:val="0B0B0B"/>
                <w:sz w:val="19"/>
              </w:rPr>
              <w:t>0 (plan-gated)</w:t>
            </w:r>
          </w:p>
        </w:tc>
        <w:tc>
          <w:tcPr>
            <w:tcW w:type="dxa" w:w="1949"/>
            <w:shd w:val="clear" w:color="auto" w:fill="F2F6FC"/>
          </w:tcPr>
          <w:p>
            <w:r/>
            <w:r>
              <w:rPr>
                <w:color w:val="0B0B0B"/>
                <w:sz w:val="19"/>
              </w:rPr>
              <w:t>0 until plan restored</w:t>
            </w:r>
          </w:p>
        </w:tc>
        <w:tc>
          <w:tcPr>
            <w:tcW w:type="dxa" w:w="1949"/>
            <w:shd w:val="clear" w:color="auto" w:fill="F2F6FC"/>
          </w:tcPr>
          <w:p>
            <w:r/>
            <w:r>
              <w:rPr>
                <w:color w:val="0B0B0B"/>
                <w:sz w:val="19"/>
              </w:rPr>
              <w:t>Resolve the account/billing restriction first</w:t>
            </w:r>
          </w:p>
        </w:tc>
      </w:tr>
      <w:tr>
        <w:tc>
          <w:tcPr>
            <w:tcW w:type="dxa" w:w="1949"/>
          </w:tcPr>
          <w:p>
            <w:r/>
            <w:r>
              <w:rPr>
                <w:color w:val="0B0B0B"/>
                <w:sz w:val="19"/>
              </w:rPr>
              <w:t>Greenhouse</w:t>
            </w:r>
          </w:p>
        </w:tc>
        <w:tc>
          <w:tcPr>
            <w:tcW w:type="dxa" w:w="1949"/>
          </w:tcPr>
          <w:p>
            <w:r/>
            <w:r>
              <w:rPr>
                <w:color w:val="0B0B0B"/>
                <w:sz w:val="19"/>
              </w:rPr>
              <w:t>22,728</w:t>
            </w:r>
          </w:p>
        </w:tc>
        <w:tc>
          <w:tcPr>
            <w:tcW w:type="dxa" w:w="1949"/>
          </w:tcPr>
          <w:p>
            <w:r/>
            <w:r>
              <w:rPr>
                <w:color w:val="0B0B0B"/>
                <w:sz w:val="19"/>
              </w:rPr>
              <w:t>27,728–37,728</w:t>
            </w:r>
          </w:p>
        </w:tc>
        <w:tc>
          <w:tcPr>
            <w:tcW w:type="dxa" w:w="1949"/>
          </w:tcPr>
          <w:p>
            <w:r/>
            <w:r>
              <w:rPr>
                <w:color w:val="0B0B0B"/>
                <w:sz w:val="19"/>
              </w:rPr>
              <w:t>+5,000–15,000</w:t>
            </w:r>
          </w:p>
        </w:tc>
        <w:tc>
          <w:tcPr>
            <w:tcW w:type="dxa" w:w="1949"/>
          </w:tcPr>
          <w:p>
            <w:r/>
            <w:r>
              <w:rPr>
                <w:color w:val="0B0B0B"/>
                <w:sz w:val="19"/>
              </w:rPr>
              <w:t>Expand curated company-slug list</w:t>
            </w:r>
          </w:p>
        </w:tc>
      </w:tr>
      <w:tr>
        <w:tc>
          <w:tcPr>
            <w:tcW w:type="dxa" w:w="1949"/>
            <w:shd w:val="clear" w:color="auto" w:fill="F2F6FC"/>
          </w:tcPr>
          <w:p>
            <w:r/>
            <w:r>
              <w:rPr>
                <w:color w:val="0B0B0B"/>
                <w:sz w:val="19"/>
              </w:rPr>
              <w:t>Lever</w:t>
            </w:r>
          </w:p>
        </w:tc>
        <w:tc>
          <w:tcPr>
            <w:tcW w:type="dxa" w:w="1949"/>
            <w:shd w:val="clear" w:color="auto" w:fill="F2F6FC"/>
          </w:tcPr>
          <w:p>
            <w:r/>
            <w:r>
              <w:rPr>
                <w:color w:val="0B0B0B"/>
                <w:sz w:val="19"/>
              </w:rPr>
              <w:t>17,755</w:t>
            </w:r>
          </w:p>
        </w:tc>
        <w:tc>
          <w:tcPr>
            <w:tcW w:type="dxa" w:w="1949"/>
            <w:shd w:val="clear" w:color="auto" w:fill="F2F6FC"/>
          </w:tcPr>
          <w:p>
            <w:r/>
            <w:r>
              <w:rPr>
                <w:color w:val="0B0B0B"/>
                <w:sz w:val="19"/>
              </w:rPr>
              <w:t>22,755–27,755</w:t>
            </w:r>
          </w:p>
        </w:tc>
        <w:tc>
          <w:tcPr>
            <w:tcW w:type="dxa" w:w="1949"/>
            <w:shd w:val="clear" w:color="auto" w:fill="F2F6FC"/>
          </w:tcPr>
          <w:p>
            <w:r/>
            <w:r>
              <w:rPr>
                <w:color w:val="0B0B0B"/>
                <w:sz w:val="19"/>
              </w:rPr>
              <w:t>+5,000–10,000</w:t>
            </w:r>
          </w:p>
        </w:tc>
        <w:tc>
          <w:tcPr>
            <w:tcW w:type="dxa" w:w="1949"/>
            <w:shd w:val="clear" w:color="auto" w:fill="F2F6FC"/>
          </w:tcPr>
          <w:p>
            <w:r/>
            <w:r>
              <w:rPr>
                <w:color w:val="0B0B0B"/>
                <w:sz w:val="19"/>
              </w:rPr>
              <w:t>Expand curated company-slug list</w:t>
            </w:r>
          </w:p>
        </w:tc>
      </w:tr>
      <w:tr>
        <w:tc>
          <w:tcPr>
            <w:tcW w:type="dxa" w:w="1949"/>
          </w:tcPr>
          <w:p>
            <w:r/>
            <w:r>
              <w:rPr>
                <w:color w:val="0B0B0B"/>
                <w:sz w:val="19"/>
              </w:rPr>
              <w:t>Ashby</w:t>
            </w:r>
          </w:p>
        </w:tc>
        <w:tc>
          <w:tcPr>
            <w:tcW w:type="dxa" w:w="1949"/>
          </w:tcPr>
          <w:p>
            <w:r/>
            <w:r>
              <w:rPr>
                <w:color w:val="0B0B0B"/>
                <w:sz w:val="19"/>
              </w:rPr>
              <w:t>5,171</w:t>
            </w:r>
          </w:p>
        </w:tc>
        <w:tc>
          <w:tcPr>
            <w:tcW w:type="dxa" w:w="1949"/>
          </w:tcPr>
          <w:p>
            <w:r/>
            <w:r>
              <w:rPr>
                <w:color w:val="0B0B0B"/>
                <w:sz w:val="19"/>
              </w:rPr>
              <w:t>7,171–10,171</w:t>
            </w:r>
          </w:p>
        </w:tc>
        <w:tc>
          <w:tcPr>
            <w:tcW w:type="dxa" w:w="1949"/>
          </w:tcPr>
          <w:p>
            <w:r/>
            <w:r>
              <w:rPr>
                <w:color w:val="0B0B0B"/>
                <w:sz w:val="19"/>
              </w:rPr>
              <w:t>+2,000–5,000</w:t>
            </w:r>
          </w:p>
        </w:tc>
        <w:tc>
          <w:tcPr>
            <w:tcW w:type="dxa" w:w="1949"/>
          </w:tcPr>
          <w:p>
            <w:r/>
            <w:r>
              <w:rPr>
                <w:color w:val="0B0B0B"/>
                <w:sz w:val="19"/>
              </w:rPr>
              <w:t>Source additional slugs outside AI/SaaS/FinTech</w:t>
            </w:r>
          </w:p>
        </w:tc>
      </w:tr>
      <w:tr>
        <w:tc>
          <w:tcPr>
            <w:tcW w:type="dxa" w:w="1949"/>
            <w:shd w:val="clear" w:color="auto" w:fill="F2F6FC"/>
          </w:tcPr>
          <w:p>
            <w:r/>
            <w:r>
              <w:rPr>
                <w:color w:val="0B0B0B"/>
                <w:sz w:val="19"/>
              </w:rPr>
              <w:t>SmartRecruiters</w:t>
            </w:r>
          </w:p>
        </w:tc>
        <w:tc>
          <w:tcPr>
            <w:tcW w:type="dxa" w:w="1949"/>
            <w:shd w:val="clear" w:color="auto" w:fill="F2F6FC"/>
          </w:tcPr>
          <w:p>
            <w:r/>
            <w:r>
              <w:rPr>
                <w:color w:val="0B0B0B"/>
                <w:sz w:val="19"/>
              </w:rPr>
              <w:t>65,193</w:t>
            </w:r>
          </w:p>
        </w:tc>
        <w:tc>
          <w:tcPr>
            <w:tcW w:type="dxa" w:w="1949"/>
            <w:shd w:val="clear" w:color="auto" w:fill="F2F6FC"/>
          </w:tcPr>
          <w:p>
            <w:r/>
            <w:r>
              <w:rPr>
                <w:color w:val="0B0B0B"/>
                <w:sz w:val="19"/>
              </w:rPr>
              <w:t>70,193–80,193</w:t>
            </w:r>
          </w:p>
        </w:tc>
        <w:tc>
          <w:tcPr>
            <w:tcW w:type="dxa" w:w="1949"/>
            <w:shd w:val="clear" w:color="auto" w:fill="F2F6FC"/>
          </w:tcPr>
          <w:p>
            <w:r/>
            <w:r>
              <w:rPr>
                <w:color w:val="0B0B0B"/>
                <w:sz w:val="19"/>
              </w:rPr>
              <w:t>+5,000–15,000</w:t>
            </w:r>
          </w:p>
        </w:tc>
        <w:tc>
          <w:tcPr>
            <w:tcW w:type="dxa" w:w="1949"/>
            <w:shd w:val="clear" w:color="auto" w:fill="F2F6FC"/>
          </w:tcPr>
          <w:p>
            <w:r/>
            <w:r>
              <w:rPr>
                <w:color w:val="0B0B0B"/>
                <w:sz w:val="19"/>
              </w:rPr>
              <w:t>Expand slug list, but weigh against concentration risk</w:t>
            </w:r>
          </w:p>
        </w:tc>
      </w:tr>
      <w:tr>
        <w:tc>
          <w:tcPr>
            <w:tcW w:type="dxa" w:w="1949"/>
          </w:tcPr>
          <w:p>
            <w:r/>
            <w:r>
              <w:rPr>
                <w:color w:val="0B0B0B"/>
                <w:sz w:val="19"/>
              </w:rPr>
              <w:t>Workable</w:t>
            </w:r>
          </w:p>
        </w:tc>
        <w:tc>
          <w:tcPr>
            <w:tcW w:type="dxa" w:w="1949"/>
          </w:tcPr>
          <w:p>
            <w:r/>
            <w:r>
              <w:rPr>
                <w:color w:val="0B0B0B"/>
                <w:sz w:val="19"/>
              </w:rPr>
              <w:t>7,644</w:t>
            </w:r>
          </w:p>
        </w:tc>
        <w:tc>
          <w:tcPr>
            <w:tcW w:type="dxa" w:w="1949"/>
          </w:tcPr>
          <w:p>
            <w:r/>
            <w:r>
              <w:rPr>
                <w:color w:val="0B0B0B"/>
                <w:sz w:val="19"/>
              </w:rPr>
              <w:t>10,644–14,644</w:t>
            </w:r>
          </w:p>
        </w:tc>
        <w:tc>
          <w:tcPr>
            <w:tcW w:type="dxa" w:w="1949"/>
          </w:tcPr>
          <w:p>
            <w:r/>
            <w:r>
              <w:rPr>
                <w:color w:val="0B0B0B"/>
                <w:sz w:val="19"/>
              </w:rPr>
              <w:t>+3,000–7,000</w:t>
            </w:r>
          </w:p>
        </w:tc>
        <w:tc>
          <w:tcPr>
            <w:tcW w:type="dxa" w:w="1949"/>
          </w:tcPr>
          <w:p>
            <w:r/>
            <w:r>
              <w:rPr>
                <w:color w:val="0B0B0B"/>
                <w:sz w:val="19"/>
              </w:rPr>
              <w:t>Source slugs in staffing/consulting/fintech/healthcare</w:t>
            </w:r>
          </w:p>
        </w:tc>
      </w:tr>
      <w:tr>
        <w:tc>
          <w:tcPr>
            <w:tcW w:type="dxa" w:w="1949"/>
            <w:shd w:val="clear" w:color="auto" w:fill="F2F6FC"/>
          </w:tcPr>
          <w:p>
            <w:r/>
            <w:r>
              <w:rPr>
                <w:color w:val="0B0B0B"/>
                <w:sz w:val="19"/>
              </w:rPr>
              <w:t>Teamtailor</w:t>
            </w:r>
          </w:p>
        </w:tc>
        <w:tc>
          <w:tcPr>
            <w:tcW w:type="dxa" w:w="1949"/>
            <w:shd w:val="clear" w:color="auto" w:fill="F2F6FC"/>
          </w:tcPr>
          <w:p>
            <w:r/>
            <w:r>
              <w:rPr>
                <w:color w:val="0B0B0B"/>
                <w:sz w:val="19"/>
              </w:rPr>
              <w:t>474</w:t>
            </w:r>
          </w:p>
        </w:tc>
        <w:tc>
          <w:tcPr>
            <w:tcW w:type="dxa" w:w="1949"/>
            <w:shd w:val="clear" w:color="auto" w:fill="F2F6FC"/>
          </w:tcPr>
          <w:p>
            <w:r/>
            <w:r>
              <w:rPr>
                <w:color w:val="0B0B0B"/>
                <w:sz w:val="19"/>
              </w:rPr>
              <w:t>974–1,974</w:t>
            </w:r>
          </w:p>
        </w:tc>
        <w:tc>
          <w:tcPr>
            <w:tcW w:type="dxa" w:w="1949"/>
            <w:shd w:val="clear" w:color="auto" w:fill="F2F6FC"/>
          </w:tcPr>
          <w:p>
            <w:r/>
            <w:r>
              <w:rPr>
                <w:color w:val="0B0B0B"/>
                <w:sz w:val="19"/>
              </w:rPr>
              <w:t>+500–1,500</w:t>
            </w:r>
          </w:p>
        </w:tc>
        <w:tc>
          <w:tcPr>
            <w:tcW w:type="dxa" w:w="1949"/>
            <w:shd w:val="clear" w:color="auto" w:fill="F2F6FC"/>
          </w:tcPr>
          <w:p>
            <w:r/>
            <w:r>
              <w:rPr>
                <w:color w:val="0B0B0B"/>
                <w:sz w:val="19"/>
              </w:rPr>
              <w:t>Source additional career sites (highest candidate hit rate)</w:t>
            </w:r>
          </w:p>
        </w:tc>
      </w:tr>
    </w:tbl>
    <w:p>
      <w:pPr>
        <w:spacing w:after="80"/>
      </w:pPr>
    </w:p>
    <w:p>
      <w:pPr>
        <w:spacing w:before="200" w:after="120"/>
      </w:pPr>
      <w:r>
        <w:rPr>
          <w:b/>
          <w:color w:val="0B0B0B"/>
          <w:sz w:val="26"/>
        </w:rPr>
        <w:t>Summary</w:t>
      </w:r>
    </w:p>
    <w:p>
      <w:pPr>
        <w:pStyle w:val="ListBullet"/>
        <w:spacing w:after="80"/>
      </w:pPr>
      <w:r>
        <w:t>Highest ROI providers to optimize first: Adzuna (+20,000–40,000, no new integration, just additional countries on the existing key), followed by Bundesagentur, USAJOBS, Reed, Himalayas, Jooble, and Careerjet — together representing roughly 56,000–99,000 further jobs from filters and query partitioning these APIs already support.</w:t>
      </w:r>
    </w:p>
    <w:p>
      <w:pPr>
        <w:pStyle w:val="ListBullet"/>
        <w:spacing w:after="80"/>
      </w:pPr>
      <w:r>
        <w:t>Providers already operating near their maximum: Arbeitnow and RemoteOK have no remaining query-based lever; TheirStack is at zero solely due to a billing restriction rather than an API ceiling.</w:t>
      </w:r>
    </w:p>
    <w:p>
      <w:pPr>
        <w:pStyle w:val="ListBullet"/>
        <w:spacing w:after="80"/>
      </w:pPr>
      <w:r>
        <w:t>Expected increase in coverage before integrating additional APIs: on the order of 75,000–140,000 additional jobs are realistically obtainable from the eight already-integrated, already-credentialed providers with untapped filter capacity — before any new provider from the regional or India research in this report needs to be added.</w:t>
      </w:r>
    </w:p>
    <w:p>
      <w:r>
        <w:br w:type="page"/>
      </w:r>
    </w:p>
    <w:p>
      <w:pPr>
        <w:pStyle w:val="Heading1"/>
        <w:spacing w:before="120" w:after="280"/>
      </w:pPr>
      <w:r>
        <w:rPr>
          <w:b/>
          <w:color w:val="2A78D6"/>
          <w:sz w:val="40"/>
        </w:rPr>
        <w:t>14. Engineering Recommendations</w:t>
      </w:r>
    </w:p>
    <w:p>
      <w:pPr>
        <w:pStyle w:val="ListBullet"/>
        <w:spacing w:after="80"/>
      </w:pPr>
      <w:r>
        <w:t>Broaden regional balance — particularly Canada, UK resilience, and Singapore/Southeast Asia — by extending already-integrated providers rather than adding new integrations.</w:t>
      </w:r>
    </w:p>
    <w:p>
      <w:pPr>
        <w:pStyle w:val="ListBullet"/>
        <w:spacing w:after="80"/>
      </w:pPr>
      <w:r>
        <w:t>Introduce a scheduled refresh and expiry mechanism so the freshness ratio stops degrading between runs and closed postings are retired automatically.</w:t>
      </w:r>
    </w:p>
    <w:p>
      <w:pPr>
        <w:pStyle w:val="ListBullet"/>
        <w:spacing w:after="80"/>
      </w:pPr>
      <w:r>
        <w:t>Grow ATS company-slug lists for under-represented regions (Canada, SEA, LATAM, India) to rebalance provider and regional concentration.</w:t>
      </w:r>
    </w:p>
    <w:p>
      <w:pPr>
        <w:pStyle w:val="ListBullet"/>
        <w:spacing w:after="80"/>
      </w:pPr>
      <w:r>
        <w:t>Do not deduplicate on title+company alone — doing so would remove tens of thousands of legitimate multi-location jobs. Any future duplicate-reduction work should combine URL normalization with conservative, location-aware matching.</w:t>
      </w:r>
    </w:p>
    <w:p>
      <w:pPr>
        <w:pStyle w:val="ListBullet"/>
        <w:spacing w:after="80"/>
      </w:pPr>
      <w:r>
        <w:t>Improve location-text normalization to shrink the 18.2% unclassifiable bucket and make regional filtering and reporting more reliable.</w:t>
      </w:r>
    </w:p>
    <w:p>
      <w:pPr>
        <w:pStyle w:val="ListBullet"/>
        <w:spacing w:after="80"/>
      </w:pPr>
      <w:r>
        <w:t>Revisit the TheirStack account/plan to restore its contribution, or formally retire it from the active provider list if the restriction is permanent.</w:t>
      </w:r>
    </w:p>
    <w:p>
      <w:pPr>
        <w:pStyle w:val="ListBullet"/>
        <w:spacing w:after="80"/>
      </w:pPr>
      <w:r>
        <w:t>Monitor concentration risk — with 41.8% of jobs from one provider and 15.7% from one company, any change to SmartRecruiters' Domino's board would materially shift dataset-wide statistics.</w:t>
      </w:r>
    </w:p>
    <w:p>
      <w:pPr>
        <w:pStyle w:val="ListBullet"/>
        <w:spacing w:after="80"/>
      </w:pPr>
      <w:r>
        <w:t>Turn on already-supported date and country/locale filters (Section 12) before considering any new integration — this is free, low-risk, and high-impact.</w:t>
      </w:r>
    </w:p>
    <w:p>
      <w:r>
        <w:br w:type="page"/>
      </w:r>
    </w:p>
    <w:p>
      <w:pPr>
        <w:pStyle w:val="Heading1"/>
        <w:spacing w:before="120" w:after="280"/>
      </w:pPr>
      <w:r>
        <w:rPr>
          <w:b/>
          <w:color w:val="2A78D6"/>
          <w:sz w:val="40"/>
        </w:rPr>
        <w:t>15. Roadmap</w:t>
      </w:r>
    </w:p>
    <w:p>
      <w:pPr>
        <w:spacing w:after="160"/>
      </w:pPr>
      <w:r>
        <w:t>Recommendations are grouped into five priorities, each with an estimated coverage increase, engineering effort, and business value.</w:t>
      </w:r>
    </w:p>
    <w:tbl>
      <w:tblPr>
        <w:tblStyle w:val="TableGrid"/>
        <w:tblW w:type="auto" w:w="0"/>
        <w:jc w:val="center"/>
        <w:tblLayout w:type="autofit"/>
        <w:tblLook w:firstColumn="1" w:firstRow="1" w:lastColumn="0" w:lastRow="0" w:noHBand="0" w:noVBand="1" w:val="04A0"/>
      </w:tblPr>
      <w:tblGrid>
        <w:gridCol w:w="1949"/>
        <w:gridCol w:w="1949"/>
        <w:gridCol w:w="1949"/>
        <w:gridCol w:w="1949"/>
        <w:gridCol w:w="1949"/>
      </w:tblGrid>
      <w:tr>
        <w:tc>
          <w:tcPr>
            <w:tcW w:type="dxa" w:w="1949"/>
            <w:shd w:val="clear" w:color="auto" w:fill="2A78D6"/>
          </w:tcPr>
          <w:p>
            <w:r/>
            <w:r>
              <w:rPr>
                <w:b/>
                <w:color w:val="FFFFFF"/>
                <w:sz w:val="19"/>
              </w:rPr>
              <w:t>Priority</w:t>
            </w:r>
          </w:p>
        </w:tc>
        <w:tc>
          <w:tcPr>
            <w:tcW w:type="dxa" w:w="1949"/>
            <w:shd w:val="clear" w:color="auto" w:fill="2A78D6"/>
          </w:tcPr>
          <w:p>
            <w:r/>
            <w:r>
              <w:rPr>
                <w:b/>
                <w:color w:val="FFFFFF"/>
                <w:sz w:val="19"/>
              </w:rPr>
              <w:t>Focus</w:t>
            </w:r>
          </w:p>
        </w:tc>
        <w:tc>
          <w:tcPr>
            <w:tcW w:type="dxa" w:w="1949"/>
            <w:shd w:val="clear" w:color="auto" w:fill="2A78D6"/>
          </w:tcPr>
          <w:p>
            <w:r/>
            <w:r>
              <w:rPr>
                <w:b/>
                <w:color w:val="FFFFFF"/>
                <w:sz w:val="19"/>
              </w:rPr>
              <w:t>Net-new jobs</w:t>
            </w:r>
          </w:p>
        </w:tc>
        <w:tc>
          <w:tcPr>
            <w:tcW w:type="dxa" w:w="1949"/>
            <w:shd w:val="clear" w:color="auto" w:fill="2A78D6"/>
          </w:tcPr>
          <w:p>
            <w:r/>
            <w:r>
              <w:rPr>
                <w:b/>
                <w:color w:val="FFFFFF"/>
                <w:sz w:val="19"/>
              </w:rPr>
              <w:t>Effort</w:t>
            </w:r>
          </w:p>
        </w:tc>
        <w:tc>
          <w:tcPr>
            <w:tcW w:type="dxa" w:w="1949"/>
            <w:shd w:val="clear" w:color="auto" w:fill="2A78D6"/>
          </w:tcPr>
          <w:p>
            <w:r/>
            <w:r>
              <w:rPr>
                <w:b/>
                <w:color w:val="FFFFFF"/>
                <w:sz w:val="19"/>
              </w:rPr>
              <w:t>Business value</w:t>
            </w:r>
          </w:p>
        </w:tc>
      </w:tr>
      <w:tr>
        <w:tc>
          <w:tcPr>
            <w:tcW w:type="dxa" w:w="1949"/>
          </w:tcPr>
          <w:p>
            <w:r/>
            <w:r>
              <w:rPr>
                <w:color w:val="0B0B0B"/>
                <w:sz w:val="19"/>
              </w:rPr>
              <w:t>P1</w:t>
            </w:r>
          </w:p>
        </w:tc>
        <w:tc>
          <w:tcPr>
            <w:tcW w:type="dxa" w:w="1949"/>
          </w:tcPr>
          <w:p>
            <w:r/>
            <w:r>
              <w:rPr>
                <w:color w:val="0B0B0B"/>
                <w:sz w:val="19"/>
              </w:rPr>
              <w:t>Adzuna multi-country + date filter</w:t>
            </w:r>
          </w:p>
        </w:tc>
        <w:tc>
          <w:tcPr>
            <w:tcW w:type="dxa" w:w="1949"/>
          </w:tcPr>
          <w:p>
            <w:r/>
            <w:r>
              <w:rPr>
                <w:color w:val="0B0B0B"/>
                <w:sz w:val="19"/>
              </w:rPr>
              <w:t>15,000–25,000</w:t>
            </w:r>
          </w:p>
        </w:tc>
        <w:tc>
          <w:tcPr>
            <w:tcW w:type="dxa" w:w="1949"/>
          </w:tcPr>
          <w:p>
            <w:r/>
            <w:r>
              <w:rPr>
                <w:color w:val="0B0B0B"/>
                <w:sz w:val="19"/>
              </w:rPr>
              <w:t>Low</w:t>
            </w:r>
          </w:p>
        </w:tc>
        <w:tc>
          <w:tcPr>
            <w:tcW w:type="dxa" w:w="1949"/>
          </w:tcPr>
          <w:p>
            <w:r/>
            <w:r>
              <w:rPr>
                <w:color w:val="0B0B0B"/>
                <w:sz w:val="19"/>
              </w:rPr>
              <w:t>Very High</w:t>
            </w:r>
          </w:p>
        </w:tc>
      </w:tr>
      <w:tr>
        <w:tc>
          <w:tcPr>
            <w:tcW w:type="dxa" w:w="1949"/>
            <w:shd w:val="clear" w:color="auto" w:fill="F2F6FC"/>
          </w:tcPr>
          <w:p>
            <w:r/>
            <w:r>
              <w:rPr>
                <w:color w:val="0B0B0B"/>
                <w:sz w:val="19"/>
              </w:rPr>
              <w:t>P2</w:t>
            </w:r>
          </w:p>
        </w:tc>
        <w:tc>
          <w:tcPr>
            <w:tcW w:type="dxa" w:w="1949"/>
            <w:shd w:val="clear" w:color="auto" w:fill="F2F6FC"/>
          </w:tcPr>
          <w:p>
            <w:r/>
            <w:r>
              <w:rPr>
                <w:color w:val="0B0B0B"/>
                <w:sz w:val="19"/>
              </w:rPr>
              <w:t>Freshness foundation (scheduling + expiry)</w:t>
            </w:r>
          </w:p>
        </w:tc>
        <w:tc>
          <w:tcPr>
            <w:tcW w:type="dxa" w:w="1949"/>
            <w:shd w:val="clear" w:color="auto" w:fill="F2F6FC"/>
          </w:tcPr>
          <w:p>
            <w:r/>
            <w:r>
              <w:rPr>
                <w:color w:val="0B0B0B"/>
                <w:sz w:val="19"/>
              </w:rPr>
              <w:t>0 (quality fix)</w:t>
            </w:r>
          </w:p>
        </w:tc>
        <w:tc>
          <w:tcPr>
            <w:tcW w:type="dxa" w:w="1949"/>
            <w:shd w:val="clear" w:color="auto" w:fill="F2F6FC"/>
          </w:tcPr>
          <w:p>
            <w:r/>
            <w:r>
              <w:rPr>
                <w:color w:val="0B0B0B"/>
                <w:sz w:val="19"/>
              </w:rPr>
              <w:t>Medium</w:t>
            </w:r>
          </w:p>
        </w:tc>
        <w:tc>
          <w:tcPr>
            <w:tcW w:type="dxa" w:w="1949"/>
            <w:shd w:val="clear" w:color="auto" w:fill="F2F6FC"/>
          </w:tcPr>
          <w:p>
            <w:r/>
            <w:r>
              <w:rPr>
                <w:color w:val="0B0B0B"/>
                <w:sz w:val="19"/>
              </w:rPr>
              <w:t>Very High</w:t>
            </w:r>
          </w:p>
        </w:tc>
      </w:tr>
      <w:tr>
        <w:tc>
          <w:tcPr>
            <w:tcW w:type="dxa" w:w="1949"/>
          </w:tcPr>
          <w:p>
            <w:r/>
            <w:r>
              <w:rPr>
                <w:color w:val="0B0B0B"/>
                <w:sz w:val="19"/>
              </w:rPr>
              <w:t>P3</w:t>
            </w:r>
          </w:p>
        </w:tc>
        <w:tc>
          <w:tcPr>
            <w:tcW w:type="dxa" w:w="1949"/>
          </w:tcPr>
          <w:p>
            <w:r/>
            <w:r>
              <w:rPr>
                <w:color w:val="0B0B0B"/>
                <w:sz w:val="19"/>
              </w:rPr>
              <w:t>Weak regions: MyCareersFuture + ATS slugs + India query</w:t>
            </w:r>
          </w:p>
        </w:tc>
        <w:tc>
          <w:tcPr>
            <w:tcW w:type="dxa" w:w="1949"/>
          </w:tcPr>
          <w:p>
            <w:r/>
            <w:r>
              <w:rPr>
                <w:color w:val="0B0B0B"/>
                <w:sz w:val="19"/>
              </w:rPr>
              <w:t>40,000–70,000</w:t>
            </w:r>
          </w:p>
        </w:tc>
        <w:tc>
          <w:tcPr>
            <w:tcW w:type="dxa" w:w="1949"/>
          </w:tcPr>
          <w:p>
            <w:r/>
            <w:r>
              <w:rPr>
                <w:color w:val="0B0B0B"/>
                <w:sz w:val="19"/>
              </w:rPr>
              <w:t>Low–Medium</w:t>
            </w:r>
          </w:p>
        </w:tc>
        <w:tc>
          <w:tcPr>
            <w:tcW w:type="dxa" w:w="1949"/>
          </w:tcPr>
          <w:p>
            <w:r/>
            <w:r>
              <w:rPr>
                <w:color w:val="0B0B0B"/>
                <w:sz w:val="19"/>
              </w:rPr>
              <w:t>High</w:t>
            </w:r>
          </w:p>
        </w:tc>
      </w:tr>
      <w:tr>
        <w:tc>
          <w:tcPr>
            <w:tcW w:type="dxa" w:w="1949"/>
            <w:shd w:val="clear" w:color="auto" w:fill="F2F6FC"/>
          </w:tcPr>
          <w:p>
            <w:r/>
            <w:r>
              <w:rPr>
                <w:color w:val="0B0B0B"/>
                <w:sz w:val="19"/>
              </w:rPr>
              <w:t>P4</w:t>
            </w:r>
          </w:p>
        </w:tc>
        <w:tc>
          <w:tcPr>
            <w:tcW w:type="dxa" w:w="1949"/>
            <w:shd w:val="clear" w:color="auto" w:fill="F2F6FC"/>
          </w:tcPr>
          <w:p>
            <w:r/>
            <w:r>
              <w:rPr>
                <w:color w:val="0B0B0B"/>
                <w:sz w:val="19"/>
              </w:rPr>
              <w:t>Result-window bypass via partitioning + France Travail</w:t>
            </w:r>
          </w:p>
        </w:tc>
        <w:tc>
          <w:tcPr>
            <w:tcW w:type="dxa" w:w="1949"/>
            <w:shd w:val="clear" w:color="auto" w:fill="F2F6FC"/>
          </w:tcPr>
          <w:p>
            <w:r/>
            <w:r>
              <w:rPr>
                <w:color w:val="0B0B0B"/>
                <w:sz w:val="19"/>
              </w:rPr>
              <w:t>20,000–50,000</w:t>
            </w:r>
          </w:p>
        </w:tc>
        <w:tc>
          <w:tcPr>
            <w:tcW w:type="dxa" w:w="1949"/>
            <w:shd w:val="clear" w:color="auto" w:fill="F2F6FC"/>
          </w:tcPr>
          <w:p>
            <w:r/>
            <w:r>
              <w:rPr>
                <w:color w:val="0B0B0B"/>
                <w:sz w:val="19"/>
              </w:rPr>
              <w:t>Medium</w:t>
            </w:r>
          </w:p>
        </w:tc>
        <w:tc>
          <w:tcPr>
            <w:tcW w:type="dxa" w:w="1949"/>
            <w:shd w:val="clear" w:color="auto" w:fill="F2F6FC"/>
          </w:tcPr>
          <w:p>
            <w:r/>
            <w:r>
              <w:rPr>
                <w:color w:val="0B0B0B"/>
                <w:sz w:val="19"/>
              </w:rPr>
              <w:t>High</w:t>
            </w:r>
          </w:p>
        </w:tc>
      </w:tr>
      <w:tr>
        <w:tc>
          <w:tcPr>
            <w:tcW w:type="dxa" w:w="1949"/>
          </w:tcPr>
          <w:p>
            <w:r/>
            <w:r>
              <w:rPr>
                <w:color w:val="0B0B0B"/>
                <w:sz w:val="19"/>
              </w:rPr>
              <w:t>P5</w:t>
            </w:r>
          </w:p>
        </w:tc>
        <w:tc>
          <w:tcPr>
            <w:tcW w:type="dxa" w:w="1949"/>
          </w:tcPr>
          <w:p>
            <w:r/>
            <w:r>
              <w:rPr>
                <w:color w:val="0B0B0B"/>
                <w:sz w:val="19"/>
              </w:rPr>
              <w:t>Dedup/location normalization + optional paid aggregator</w:t>
            </w:r>
          </w:p>
        </w:tc>
        <w:tc>
          <w:tcPr>
            <w:tcW w:type="dxa" w:w="1949"/>
          </w:tcPr>
          <w:p>
            <w:r/>
            <w:r>
              <w:rPr>
                <w:color w:val="0B0B0B"/>
                <w:sz w:val="19"/>
              </w:rPr>
              <w:t>Quality (+50,000 optional)</w:t>
            </w:r>
          </w:p>
        </w:tc>
        <w:tc>
          <w:tcPr>
            <w:tcW w:type="dxa" w:w="1949"/>
          </w:tcPr>
          <w:p>
            <w:r/>
            <w:r>
              <w:rPr>
                <w:color w:val="0B0B0B"/>
                <w:sz w:val="19"/>
              </w:rPr>
              <w:t>Medium</w:t>
            </w:r>
          </w:p>
        </w:tc>
        <w:tc>
          <w:tcPr>
            <w:tcW w:type="dxa" w:w="1949"/>
          </w:tcPr>
          <w:p>
            <w:r/>
            <w:r>
              <w:rPr>
                <w:color w:val="0B0B0B"/>
                <w:sz w:val="19"/>
              </w:rPr>
              <w:t>Medium–High</w:t>
            </w:r>
          </w:p>
        </w:tc>
      </w:tr>
    </w:tbl>
    <w:p>
      <w:pPr>
        <w:spacing w:after="80"/>
      </w:pPr>
    </w:p>
    <w:p>
      <w:pPr>
        <w:spacing w:before="200" w:after="120"/>
      </w:pPr>
      <w:r>
        <w:rPr>
          <w:b/>
          <w:color w:val="0B0B0B"/>
          <w:sz w:val="26"/>
        </w:rPr>
        <w:t>If only two weeks of engineering time were available</w:t>
      </w:r>
    </w:p>
    <w:p>
      <w:pPr>
        <w:pStyle w:val="ListBullet"/>
        <w:spacing w:after="80"/>
      </w:pPr>
      <w:r>
        <w:t>Days 1–2: Ship Adzuna multi-country + max_days_old (Priority 1).</w:t>
      </w:r>
    </w:p>
    <w:p>
      <w:pPr>
        <w:pStyle w:val="ListBullet"/>
        <w:spacing w:after="80"/>
      </w:pPr>
      <w:r>
        <w:t>Days 2–3: Capture a fetched_at timestamp and surface a “data as of” signal.</w:t>
      </w:r>
    </w:p>
    <w:p>
      <w:pPr>
        <w:pStyle w:val="ListBullet"/>
        <w:spacing w:after="80"/>
      </w:pPr>
      <w:r>
        <w:t>Days 3–6: Build the scheduling + presence-diff expiry core (Priority 2).</w:t>
      </w:r>
    </w:p>
    <w:p>
      <w:pPr>
        <w:pStyle w:val="ListBullet"/>
        <w:spacing w:after="80"/>
      </w:pPr>
      <w:r>
        <w:t>Days 6–9: Add MyCareersFuture (Singapore) and a first batch of Indian/SEA/Canada ATS slugs (Priority 3).</w:t>
      </w:r>
    </w:p>
    <w:p>
      <w:pPr>
        <w:pStyle w:val="ListBullet"/>
        <w:spacing w:after="80"/>
      </w:pPr>
      <w:r>
        <w:t>Days 9–12: Prove out one result-window partition (e.g., Reed or The Muse) plus URL normalization in dedup.</w:t>
      </w:r>
    </w:p>
    <w:p>
      <w:pPr>
        <w:pStyle w:val="ListBullet"/>
        <w:spacing w:after="80"/>
      </w:pPr>
      <w:r>
        <w:t>Days 12–14: Integration testing, dedup verification, and rate-limit/budget tuning across the newly added passes.</w:t>
      </w:r>
    </w:p>
    <w:p>
      <w:pPr>
        <w:spacing w:after="160"/>
      </w:pPr>
      <w:r>
        <w:t>This sequence realistically adds ~40,000–70,000 net-new, better-distributed jobs and fixes freshness within two weeks, without any scraping or new commercial contracts.</w:t>
      </w:r>
    </w:p>
    <w:p>
      <w:r>
        <w:br w:type="page"/>
      </w:r>
    </w:p>
    <w:p>
      <w:pPr>
        <w:pStyle w:val="Heading1"/>
        <w:spacing w:before="120" w:after="280"/>
      </w:pPr>
      <w:r>
        <w:rPr>
          <w:b/>
          <w:color w:val="2A78D6"/>
          <w:sz w:val="40"/>
        </w:rPr>
        <w:t>16. Future Improvements</w:t>
      </w:r>
    </w:p>
    <w:p>
      <w:pPr>
        <w:spacing w:after="160"/>
      </w:pPr>
      <w:r>
        <w:t>Beyond the two-week roadmap, several structural investments would compound the platform's value as the dataset grows:</w:t>
      </w:r>
    </w:p>
    <w:p>
      <w:pPr>
        <w:pStyle w:val="ListBullet"/>
        <w:spacing w:after="80"/>
      </w:pPr>
      <w:r>
        <w:t>A persistent datastore (e.g., Postgres or OpenSearch) replacing the single jobs.json file, paired with a paginated, queryable search API — the current design of loading the entire file into the browser will not scale past the low hundreds of thousands of jobs.</w:t>
      </w:r>
    </w:p>
    <w:p>
      <w:pPr>
        <w:pStyle w:val="ListBullet"/>
        <w:spacing w:after="80"/>
      </w:pPr>
      <w:r>
        <w:t>Incremental/delta ingestion with per-job first_seen/last_seen tracking and automated expiry, replacing the current full-overwrite snapshot model.</w:t>
      </w:r>
    </w:p>
    <w:p>
      <w:pPr>
        <w:pStyle w:val="ListBullet"/>
        <w:spacing w:after="80"/>
      </w:pPr>
      <w:r>
        <w:t>Scalable deduplication — normalized-URL keys plus blocked fuzzy/locality-sensitive-hash matching — to handle cross-provider overlap at higher volume, and description-based matching once job descriptions are added to the schema.</w:t>
      </w:r>
    </w:p>
    <w:p>
      <w:pPr>
        <w:pStyle w:val="ListBullet"/>
        <w:spacing w:after="80"/>
      </w:pPr>
      <w:r>
        <w:t>Automated ATS company/slug discovery and health monitoring, so coverage grows without linear manual curation effort.</w:t>
      </w:r>
    </w:p>
    <w:p>
      <w:pPr>
        <w:pStyle w:val="ListBullet"/>
        <w:spacing w:after="80"/>
      </w:pPr>
      <w:r>
        <w:t>A decoupled, per-source pipeline with queueing and rate-limit budgeting, so one slow or large provider cannot stall an entire run, with observability on volume, freshness, and duplicate rate per source per run.</w:t>
      </w:r>
    </w:p>
    <w:p>
      <w:pPr>
        <w:pStyle w:val="ListBullet"/>
        <w:spacing w:after="80"/>
      </w:pPr>
      <w:r>
        <w:t>Optional adoption of a paid aggregator (e.g., Fantastic Jobs' Active Jobs DB) for a step-change in both volume and freshness once budget allows.</w:t>
      </w:r>
    </w:p>
    <w:p>
      <w:r>
        <w:br w:type="page"/>
      </w:r>
    </w:p>
    <w:p>
      <w:pPr>
        <w:pStyle w:val="Heading1"/>
        <w:spacing w:before="120" w:after="280"/>
      </w:pPr>
      <w:r>
        <w:rPr>
          <w:b/>
          <w:color w:val="2A78D6"/>
          <w:sz w:val="40"/>
        </w:rPr>
        <w:t>17. Recent Job Market Analysis (Last 30 Days)</w:t>
      </w:r>
    </w:p>
    <w:p>
      <w:pPr>
        <w:spacing w:after="160"/>
      </w:pPr>
      <w:r>
        <w:t>This section restricts analysis to the 84,077 jobs posted within 30 days of the dataset's 2026-07-03 collection date — 54.0% of the full 155,794-job dataset — the same &lt;=30-day slice already established in Section 7 (Job Freshness). Jobs older than 30 days are excluded entirely from every figure below.</w:t>
      </w:r>
    </w:p>
    <w:p>
      <w:pPr>
        <w:spacing w:before="200" w:after="120"/>
      </w:pPr>
      <w:r>
        <w:rPr>
          <w:b/>
          <w:color w:val="0B0B0B"/>
          <w:sz w:val="26"/>
        </w:rPr>
        <w:t>1. Job Category Distribution</w:t>
      </w:r>
    </w:p>
    <w:p>
      <w:pPr>
        <w:spacing w:after="160"/>
      </w:pPr>
      <w:r>
        <w:t>Every recent job was classified into a business-friendly category from its title (and tags where informative). Because this dataset is heavily weighted toward retail, hospitality, food-service, and driving/logistics postings, a large share does not map cleanly onto a professional/technical taxonomy and is honestly reported as Other rather than forced into a poor-fitting bucket.</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val="clear" w:color="auto" w:fill="2A78D6"/>
          </w:tcPr>
          <w:p>
            <w:r/>
            <w:r>
              <w:rPr>
                <w:b/>
                <w:color w:val="FFFFFF"/>
                <w:sz w:val="19"/>
              </w:rPr>
              <w:t>Category</w:t>
            </w:r>
          </w:p>
        </w:tc>
        <w:tc>
          <w:tcPr>
            <w:tcW w:type="dxa" w:w="3249"/>
            <w:shd w:val="clear" w:color="auto" w:fill="2A78D6"/>
          </w:tcPr>
          <w:p>
            <w:r/>
            <w:r>
              <w:rPr>
                <w:b/>
                <w:color w:val="FFFFFF"/>
                <w:sz w:val="19"/>
              </w:rPr>
              <w:t>Recent Jobs</w:t>
            </w:r>
          </w:p>
        </w:tc>
        <w:tc>
          <w:tcPr>
            <w:tcW w:type="dxa" w:w="3249"/>
            <w:shd w:val="clear" w:color="auto" w:fill="2A78D6"/>
          </w:tcPr>
          <w:p>
            <w:r/>
            <w:r>
              <w:rPr>
                <w:b/>
                <w:color w:val="FFFFFF"/>
                <w:sz w:val="19"/>
              </w:rPr>
              <w:t>% of recent</w:t>
            </w:r>
          </w:p>
        </w:tc>
      </w:tr>
      <w:tr>
        <w:tc>
          <w:tcPr>
            <w:tcW w:type="dxa" w:w="3249"/>
          </w:tcPr>
          <w:p>
            <w:r/>
            <w:r>
              <w:rPr>
                <w:color w:val="0B0B0B"/>
                <w:sz w:val="19"/>
              </w:rPr>
              <w:t>Other</w:t>
            </w:r>
          </w:p>
        </w:tc>
        <w:tc>
          <w:tcPr>
            <w:tcW w:type="dxa" w:w="3249"/>
          </w:tcPr>
          <w:p>
            <w:r/>
            <w:r>
              <w:rPr>
                <w:color w:val="0B0B0B"/>
                <w:sz w:val="19"/>
              </w:rPr>
              <w:t>44,858</w:t>
            </w:r>
          </w:p>
        </w:tc>
        <w:tc>
          <w:tcPr>
            <w:tcW w:type="dxa" w:w="3249"/>
          </w:tcPr>
          <w:p>
            <w:r/>
            <w:r>
              <w:rPr>
                <w:color w:val="0B0B0B"/>
                <w:sz w:val="19"/>
              </w:rPr>
              <w:t>53.4%</w:t>
            </w:r>
          </w:p>
        </w:tc>
      </w:tr>
      <w:tr>
        <w:tc>
          <w:tcPr>
            <w:tcW w:type="dxa" w:w="3249"/>
            <w:shd w:val="clear" w:color="auto" w:fill="F2F6FC"/>
          </w:tcPr>
          <w:p>
            <w:r/>
            <w:r>
              <w:rPr>
                <w:color w:val="0B0B0B"/>
                <w:sz w:val="19"/>
              </w:rPr>
              <w:t>Supply Chain</w:t>
            </w:r>
          </w:p>
        </w:tc>
        <w:tc>
          <w:tcPr>
            <w:tcW w:type="dxa" w:w="3249"/>
            <w:shd w:val="clear" w:color="auto" w:fill="F2F6FC"/>
          </w:tcPr>
          <w:p>
            <w:r/>
            <w:r>
              <w:rPr>
                <w:color w:val="0B0B0B"/>
                <w:sz w:val="19"/>
              </w:rPr>
              <w:t>7,531</w:t>
            </w:r>
          </w:p>
        </w:tc>
        <w:tc>
          <w:tcPr>
            <w:tcW w:type="dxa" w:w="3249"/>
            <w:shd w:val="clear" w:color="auto" w:fill="F2F6FC"/>
          </w:tcPr>
          <w:p>
            <w:r/>
            <w:r>
              <w:rPr>
                <w:color w:val="0B0B0B"/>
                <w:sz w:val="19"/>
              </w:rPr>
              <w:t>9.0%</w:t>
            </w:r>
          </w:p>
        </w:tc>
      </w:tr>
      <w:tr>
        <w:tc>
          <w:tcPr>
            <w:tcW w:type="dxa" w:w="3249"/>
          </w:tcPr>
          <w:p>
            <w:r/>
            <w:r>
              <w:rPr>
                <w:color w:val="0B0B0B"/>
                <w:sz w:val="19"/>
              </w:rPr>
              <w:t>Software Engineering</w:t>
            </w:r>
          </w:p>
        </w:tc>
        <w:tc>
          <w:tcPr>
            <w:tcW w:type="dxa" w:w="3249"/>
          </w:tcPr>
          <w:p>
            <w:r/>
            <w:r>
              <w:rPr>
                <w:color w:val="0B0B0B"/>
                <w:sz w:val="19"/>
              </w:rPr>
              <w:t>5,571</w:t>
            </w:r>
          </w:p>
        </w:tc>
        <w:tc>
          <w:tcPr>
            <w:tcW w:type="dxa" w:w="3249"/>
          </w:tcPr>
          <w:p>
            <w:r/>
            <w:r>
              <w:rPr>
                <w:color w:val="0B0B0B"/>
                <w:sz w:val="19"/>
              </w:rPr>
              <w:t>6.6%</w:t>
            </w:r>
          </w:p>
        </w:tc>
      </w:tr>
      <w:tr>
        <w:tc>
          <w:tcPr>
            <w:tcW w:type="dxa" w:w="3249"/>
            <w:shd w:val="clear" w:color="auto" w:fill="F2F6FC"/>
          </w:tcPr>
          <w:p>
            <w:r/>
            <w:r>
              <w:rPr>
                <w:color w:val="0B0B0B"/>
                <w:sz w:val="19"/>
              </w:rPr>
              <w:t>Customer Support</w:t>
            </w:r>
          </w:p>
        </w:tc>
        <w:tc>
          <w:tcPr>
            <w:tcW w:type="dxa" w:w="3249"/>
            <w:shd w:val="clear" w:color="auto" w:fill="F2F6FC"/>
          </w:tcPr>
          <w:p>
            <w:r/>
            <w:r>
              <w:rPr>
                <w:color w:val="0B0B0B"/>
                <w:sz w:val="19"/>
              </w:rPr>
              <w:t>5,264</w:t>
            </w:r>
          </w:p>
        </w:tc>
        <w:tc>
          <w:tcPr>
            <w:tcW w:type="dxa" w:w="3249"/>
            <w:shd w:val="clear" w:color="auto" w:fill="F2F6FC"/>
          </w:tcPr>
          <w:p>
            <w:r/>
            <w:r>
              <w:rPr>
                <w:color w:val="0B0B0B"/>
                <w:sz w:val="19"/>
              </w:rPr>
              <w:t>6.3%</w:t>
            </w:r>
          </w:p>
        </w:tc>
      </w:tr>
      <w:tr>
        <w:tc>
          <w:tcPr>
            <w:tcW w:type="dxa" w:w="3249"/>
          </w:tcPr>
          <w:p>
            <w:r/>
            <w:r>
              <w:rPr>
                <w:color w:val="0B0B0B"/>
                <w:sz w:val="19"/>
              </w:rPr>
              <w:t>Healthcare</w:t>
            </w:r>
          </w:p>
        </w:tc>
        <w:tc>
          <w:tcPr>
            <w:tcW w:type="dxa" w:w="3249"/>
          </w:tcPr>
          <w:p>
            <w:r/>
            <w:r>
              <w:rPr>
                <w:color w:val="0B0B0B"/>
                <w:sz w:val="19"/>
              </w:rPr>
              <w:t>3,505</w:t>
            </w:r>
          </w:p>
        </w:tc>
        <w:tc>
          <w:tcPr>
            <w:tcW w:type="dxa" w:w="3249"/>
          </w:tcPr>
          <w:p>
            <w:r/>
            <w:r>
              <w:rPr>
                <w:color w:val="0B0B0B"/>
                <w:sz w:val="19"/>
              </w:rPr>
              <w:t>4.2%</w:t>
            </w:r>
          </w:p>
        </w:tc>
      </w:tr>
      <w:tr>
        <w:tc>
          <w:tcPr>
            <w:tcW w:type="dxa" w:w="3249"/>
            <w:shd w:val="clear" w:color="auto" w:fill="F2F6FC"/>
          </w:tcPr>
          <w:p>
            <w:r/>
            <w:r>
              <w:rPr>
                <w:color w:val="0B0B0B"/>
                <w:sz w:val="19"/>
              </w:rPr>
              <w:t>Sales</w:t>
            </w:r>
          </w:p>
        </w:tc>
        <w:tc>
          <w:tcPr>
            <w:tcW w:type="dxa" w:w="3249"/>
            <w:shd w:val="clear" w:color="auto" w:fill="F2F6FC"/>
          </w:tcPr>
          <w:p>
            <w:r/>
            <w:r>
              <w:rPr>
                <w:color w:val="0B0B0B"/>
                <w:sz w:val="19"/>
              </w:rPr>
              <w:t>2,888</w:t>
            </w:r>
          </w:p>
        </w:tc>
        <w:tc>
          <w:tcPr>
            <w:tcW w:type="dxa" w:w="3249"/>
            <w:shd w:val="clear" w:color="auto" w:fill="F2F6FC"/>
          </w:tcPr>
          <w:p>
            <w:r/>
            <w:r>
              <w:rPr>
                <w:color w:val="0B0B0B"/>
                <w:sz w:val="19"/>
              </w:rPr>
              <w:t>3.4%</w:t>
            </w:r>
          </w:p>
        </w:tc>
      </w:tr>
      <w:tr>
        <w:tc>
          <w:tcPr>
            <w:tcW w:type="dxa" w:w="3249"/>
          </w:tcPr>
          <w:p>
            <w:r/>
            <w:r>
              <w:rPr>
                <w:color w:val="0B0B0B"/>
                <w:sz w:val="19"/>
              </w:rPr>
              <w:t>Executive</w:t>
            </w:r>
          </w:p>
        </w:tc>
        <w:tc>
          <w:tcPr>
            <w:tcW w:type="dxa" w:w="3249"/>
          </w:tcPr>
          <w:p>
            <w:r/>
            <w:r>
              <w:rPr>
                <w:color w:val="0B0B0B"/>
                <w:sz w:val="19"/>
              </w:rPr>
              <w:t>1,570</w:t>
            </w:r>
          </w:p>
        </w:tc>
        <w:tc>
          <w:tcPr>
            <w:tcW w:type="dxa" w:w="3249"/>
          </w:tcPr>
          <w:p>
            <w:r/>
            <w:r>
              <w:rPr>
                <w:color w:val="0B0B0B"/>
                <w:sz w:val="19"/>
              </w:rPr>
              <w:t>1.9%</w:t>
            </w:r>
          </w:p>
        </w:tc>
      </w:tr>
      <w:tr>
        <w:tc>
          <w:tcPr>
            <w:tcW w:type="dxa" w:w="3249"/>
            <w:shd w:val="clear" w:color="auto" w:fill="F2F6FC"/>
          </w:tcPr>
          <w:p>
            <w:r/>
            <w:r>
              <w:rPr>
                <w:color w:val="0B0B0B"/>
                <w:sz w:val="19"/>
              </w:rPr>
              <w:t>Education</w:t>
            </w:r>
          </w:p>
        </w:tc>
        <w:tc>
          <w:tcPr>
            <w:tcW w:type="dxa" w:w="3249"/>
            <w:shd w:val="clear" w:color="auto" w:fill="F2F6FC"/>
          </w:tcPr>
          <w:p>
            <w:r/>
            <w:r>
              <w:rPr>
                <w:color w:val="0B0B0B"/>
                <w:sz w:val="19"/>
              </w:rPr>
              <w:t>1,474</w:t>
            </w:r>
          </w:p>
        </w:tc>
        <w:tc>
          <w:tcPr>
            <w:tcW w:type="dxa" w:w="3249"/>
            <w:shd w:val="clear" w:color="auto" w:fill="F2F6FC"/>
          </w:tcPr>
          <w:p>
            <w:r/>
            <w:r>
              <w:rPr>
                <w:color w:val="0B0B0B"/>
                <w:sz w:val="19"/>
              </w:rPr>
              <w:t>1.8%</w:t>
            </w:r>
          </w:p>
        </w:tc>
      </w:tr>
      <w:tr>
        <w:tc>
          <w:tcPr>
            <w:tcW w:type="dxa" w:w="3249"/>
          </w:tcPr>
          <w:p>
            <w:r/>
            <w:r>
              <w:rPr>
                <w:color w:val="0B0B0B"/>
                <w:sz w:val="19"/>
              </w:rPr>
              <w:t>Accounting</w:t>
            </w:r>
          </w:p>
        </w:tc>
        <w:tc>
          <w:tcPr>
            <w:tcW w:type="dxa" w:w="3249"/>
          </w:tcPr>
          <w:p>
            <w:r/>
            <w:r>
              <w:rPr>
                <w:color w:val="0B0B0B"/>
                <w:sz w:val="19"/>
              </w:rPr>
              <w:t>1,224</w:t>
            </w:r>
          </w:p>
        </w:tc>
        <w:tc>
          <w:tcPr>
            <w:tcW w:type="dxa" w:w="3249"/>
          </w:tcPr>
          <w:p>
            <w:r/>
            <w:r>
              <w:rPr>
                <w:color w:val="0B0B0B"/>
                <w:sz w:val="19"/>
              </w:rPr>
              <w:t>1.5%</w:t>
            </w:r>
          </w:p>
        </w:tc>
      </w:tr>
      <w:tr>
        <w:tc>
          <w:tcPr>
            <w:tcW w:type="dxa" w:w="3249"/>
            <w:shd w:val="clear" w:color="auto" w:fill="F2F6FC"/>
          </w:tcPr>
          <w:p>
            <w:r/>
            <w:r>
              <w:rPr>
                <w:color w:val="0B0B0B"/>
                <w:sz w:val="19"/>
              </w:rPr>
              <w:t>Project Management</w:t>
            </w:r>
          </w:p>
        </w:tc>
        <w:tc>
          <w:tcPr>
            <w:tcW w:type="dxa" w:w="3249"/>
            <w:shd w:val="clear" w:color="auto" w:fill="F2F6FC"/>
          </w:tcPr>
          <w:p>
            <w:r/>
            <w:r>
              <w:rPr>
                <w:color w:val="0B0B0B"/>
                <w:sz w:val="19"/>
              </w:rPr>
              <w:t>994</w:t>
            </w:r>
          </w:p>
        </w:tc>
        <w:tc>
          <w:tcPr>
            <w:tcW w:type="dxa" w:w="3249"/>
            <w:shd w:val="clear" w:color="auto" w:fill="F2F6FC"/>
          </w:tcPr>
          <w:p>
            <w:r/>
            <w:r>
              <w:rPr>
                <w:color w:val="0B0B0B"/>
                <w:sz w:val="19"/>
              </w:rPr>
              <w:t>1.2%</w:t>
            </w:r>
          </w:p>
        </w:tc>
      </w:tr>
      <w:tr>
        <w:tc>
          <w:tcPr>
            <w:tcW w:type="dxa" w:w="3249"/>
          </w:tcPr>
          <w:p>
            <w:r/>
            <w:r>
              <w:rPr>
                <w:color w:val="0B0B0B"/>
                <w:sz w:val="19"/>
              </w:rPr>
              <w:t>Internship / Graduate</w:t>
            </w:r>
          </w:p>
        </w:tc>
        <w:tc>
          <w:tcPr>
            <w:tcW w:type="dxa" w:w="3249"/>
          </w:tcPr>
          <w:p>
            <w:r/>
            <w:r>
              <w:rPr>
                <w:color w:val="0B0B0B"/>
                <w:sz w:val="19"/>
              </w:rPr>
              <w:t>911</w:t>
            </w:r>
          </w:p>
        </w:tc>
        <w:tc>
          <w:tcPr>
            <w:tcW w:type="dxa" w:w="3249"/>
          </w:tcPr>
          <w:p>
            <w:r/>
            <w:r>
              <w:rPr>
                <w:color w:val="0B0B0B"/>
                <w:sz w:val="19"/>
              </w:rPr>
              <w:t>1.1%</w:t>
            </w:r>
          </w:p>
        </w:tc>
      </w:tr>
      <w:tr>
        <w:tc>
          <w:tcPr>
            <w:tcW w:type="dxa" w:w="3249"/>
            <w:shd w:val="clear" w:color="auto" w:fill="F2F6FC"/>
          </w:tcPr>
          <w:p>
            <w:r/>
            <w:r>
              <w:rPr>
                <w:color w:val="0B0B0B"/>
                <w:sz w:val="19"/>
              </w:rPr>
              <w:t>Manufacturing</w:t>
            </w:r>
          </w:p>
        </w:tc>
        <w:tc>
          <w:tcPr>
            <w:tcW w:type="dxa" w:w="3249"/>
            <w:shd w:val="clear" w:color="auto" w:fill="F2F6FC"/>
          </w:tcPr>
          <w:p>
            <w:r/>
            <w:r>
              <w:rPr>
                <w:color w:val="0B0B0B"/>
                <w:sz w:val="19"/>
              </w:rPr>
              <w:t>792</w:t>
            </w:r>
          </w:p>
        </w:tc>
        <w:tc>
          <w:tcPr>
            <w:tcW w:type="dxa" w:w="3249"/>
            <w:shd w:val="clear" w:color="auto" w:fill="F2F6FC"/>
          </w:tcPr>
          <w:p>
            <w:r/>
            <w:r>
              <w:rPr>
                <w:color w:val="0B0B0B"/>
                <w:sz w:val="19"/>
              </w:rPr>
              <w:t>0.9%</w:t>
            </w:r>
          </w:p>
        </w:tc>
      </w:tr>
      <w:tr>
        <w:tc>
          <w:tcPr>
            <w:tcW w:type="dxa" w:w="3249"/>
          </w:tcPr>
          <w:p>
            <w:r/>
            <w:r>
              <w:rPr>
                <w:color w:val="0B0B0B"/>
                <w:sz w:val="19"/>
              </w:rPr>
              <w:t>Human Resources</w:t>
            </w:r>
          </w:p>
        </w:tc>
        <w:tc>
          <w:tcPr>
            <w:tcW w:type="dxa" w:w="3249"/>
          </w:tcPr>
          <w:p>
            <w:r/>
            <w:r>
              <w:rPr>
                <w:color w:val="0B0B0B"/>
                <w:sz w:val="19"/>
              </w:rPr>
              <w:t>779</w:t>
            </w:r>
          </w:p>
        </w:tc>
        <w:tc>
          <w:tcPr>
            <w:tcW w:type="dxa" w:w="3249"/>
          </w:tcPr>
          <w:p>
            <w:r/>
            <w:r>
              <w:rPr>
                <w:color w:val="0B0B0B"/>
                <w:sz w:val="19"/>
              </w:rPr>
              <w:t>0.9%</w:t>
            </w:r>
          </w:p>
        </w:tc>
      </w:tr>
      <w:tr>
        <w:tc>
          <w:tcPr>
            <w:tcW w:type="dxa" w:w="3249"/>
            <w:shd w:val="clear" w:color="auto" w:fill="F2F6FC"/>
          </w:tcPr>
          <w:p>
            <w:r/>
            <w:r>
              <w:rPr>
                <w:color w:val="0B0B0B"/>
                <w:sz w:val="19"/>
              </w:rPr>
              <w:t>Marketing</w:t>
            </w:r>
          </w:p>
        </w:tc>
        <w:tc>
          <w:tcPr>
            <w:tcW w:type="dxa" w:w="3249"/>
            <w:shd w:val="clear" w:color="auto" w:fill="F2F6FC"/>
          </w:tcPr>
          <w:p>
            <w:r/>
            <w:r>
              <w:rPr>
                <w:color w:val="0B0B0B"/>
                <w:sz w:val="19"/>
              </w:rPr>
              <w:t>755</w:t>
            </w:r>
          </w:p>
        </w:tc>
        <w:tc>
          <w:tcPr>
            <w:tcW w:type="dxa" w:w="3249"/>
            <w:shd w:val="clear" w:color="auto" w:fill="F2F6FC"/>
          </w:tcPr>
          <w:p>
            <w:r/>
            <w:r>
              <w:rPr>
                <w:color w:val="0B0B0B"/>
                <w:sz w:val="19"/>
              </w:rPr>
              <w:t>0.9%</w:t>
            </w:r>
          </w:p>
        </w:tc>
      </w:tr>
      <w:tr>
        <w:tc>
          <w:tcPr>
            <w:tcW w:type="dxa" w:w="3249"/>
          </w:tcPr>
          <w:p>
            <w:r/>
            <w:r>
              <w:rPr>
                <w:color w:val="0B0B0B"/>
                <w:sz w:val="19"/>
              </w:rPr>
              <w:t>Product Management</w:t>
            </w:r>
          </w:p>
        </w:tc>
        <w:tc>
          <w:tcPr>
            <w:tcW w:type="dxa" w:w="3249"/>
          </w:tcPr>
          <w:p>
            <w:r/>
            <w:r>
              <w:rPr>
                <w:color w:val="0B0B0B"/>
                <w:sz w:val="19"/>
              </w:rPr>
              <w:t>576</w:t>
            </w:r>
          </w:p>
        </w:tc>
        <w:tc>
          <w:tcPr>
            <w:tcW w:type="dxa" w:w="3249"/>
          </w:tcPr>
          <w:p>
            <w:r/>
            <w:r>
              <w:rPr>
                <w:color w:val="0B0B0B"/>
                <w:sz w:val="19"/>
              </w:rPr>
              <w:t>0.7%</w:t>
            </w:r>
          </w:p>
        </w:tc>
      </w:tr>
      <w:tr>
        <w:tc>
          <w:tcPr>
            <w:tcW w:type="dxa" w:w="3249"/>
            <w:shd w:val="clear" w:color="auto" w:fill="F2F6FC"/>
          </w:tcPr>
          <w:p>
            <w:r/>
            <w:r>
              <w:rPr>
                <w:color w:val="0B0B0B"/>
                <w:sz w:val="19"/>
              </w:rPr>
              <w:t>Finance</w:t>
            </w:r>
          </w:p>
        </w:tc>
        <w:tc>
          <w:tcPr>
            <w:tcW w:type="dxa" w:w="3249"/>
            <w:shd w:val="clear" w:color="auto" w:fill="F2F6FC"/>
          </w:tcPr>
          <w:p>
            <w:r/>
            <w:r>
              <w:rPr>
                <w:color w:val="0B0B0B"/>
                <w:sz w:val="19"/>
              </w:rPr>
              <w:t>525</w:t>
            </w:r>
          </w:p>
        </w:tc>
        <w:tc>
          <w:tcPr>
            <w:tcW w:type="dxa" w:w="3249"/>
            <w:shd w:val="clear" w:color="auto" w:fill="F2F6FC"/>
          </w:tcPr>
          <w:p>
            <w:r/>
            <w:r>
              <w:rPr>
                <w:color w:val="0B0B0B"/>
                <w:sz w:val="19"/>
              </w:rPr>
              <w:t>0.6%</w:t>
            </w:r>
          </w:p>
        </w:tc>
      </w:tr>
      <w:tr>
        <w:tc>
          <w:tcPr>
            <w:tcW w:type="dxa" w:w="3249"/>
          </w:tcPr>
          <w:p>
            <w:r/>
            <w:r>
              <w:rPr>
                <w:color w:val="0B0B0B"/>
                <w:sz w:val="19"/>
              </w:rPr>
              <w:t>DevOps / Cloud</w:t>
            </w:r>
          </w:p>
        </w:tc>
        <w:tc>
          <w:tcPr>
            <w:tcW w:type="dxa" w:w="3249"/>
          </w:tcPr>
          <w:p>
            <w:r/>
            <w:r>
              <w:rPr>
                <w:color w:val="0B0B0B"/>
                <w:sz w:val="19"/>
              </w:rPr>
              <w:t>517</w:t>
            </w:r>
          </w:p>
        </w:tc>
        <w:tc>
          <w:tcPr>
            <w:tcW w:type="dxa" w:w="3249"/>
          </w:tcPr>
          <w:p>
            <w:r/>
            <w:r>
              <w:rPr>
                <w:color w:val="0B0B0B"/>
                <w:sz w:val="19"/>
              </w:rPr>
              <w:t>0.6%</w:t>
            </w:r>
          </w:p>
        </w:tc>
      </w:tr>
      <w:tr>
        <w:tc>
          <w:tcPr>
            <w:tcW w:type="dxa" w:w="3249"/>
            <w:shd w:val="clear" w:color="auto" w:fill="F2F6FC"/>
          </w:tcPr>
          <w:p>
            <w:r/>
            <w:r>
              <w:rPr>
                <w:color w:val="0B0B0B"/>
                <w:sz w:val="19"/>
              </w:rPr>
              <w:t>Data Science / Analytics</w:t>
            </w:r>
          </w:p>
        </w:tc>
        <w:tc>
          <w:tcPr>
            <w:tcW w:type="dxa" w:w="3249"/>
            <w:shd w:val="clear" w:color="auto" w:fill="F2F6FC"/>
          </w:tcPr>
          <w:p>
            <w:r/>
            <w:r>
              <w:rPr>
                <w:color w:val="0B0B0B"/>
                <w:sz w:val="19"/>
              </w:rPr>
              <w:t>511</w:t>
            </w:r>
          </w:p>
        </w:tc>
        <w:tc>
          <w:tcPr>
            <w:tcW w:type="dxa" w:w="3249"/>
            <w:shd w:val="clear" w:color="auto" w:fill="F2F6FC"/>
          </w:tcPr>
          <w:p>
            <w:r/>
            <w:r>
              <w:rPr>
                <w:color w:val="0B0B0B"/>
                <w:sz w:val="19"/>
              </w:rPr>
              <w:t>0.6%</w:t>
            </w:r>
          </w:p>
        </w:tc>
      </w:tr>
      <w:tr>
        <w:tc>
          <w:tcPr>
            <w:tcW w:type="dxa" w:w="3249"/>
          </w:tcPr>
          <w:p>
            <w:r/>
            <w:r>
              <w:rPr>
                <w:color w:val="0B0B0B"/>
                <w:sz w:val="19"/>
              </w:rPr>
              <w:t>Legal</w:t>
            </w:r>
          </w:p>
        </w:tc>
        <w:tc>
          <w:tcPr>
            <w:tcW w:type="dxa" w:w="3249"/>
          </w:tcPr>
          <w:p>
            <w:r/>
            <w:r>
              <w:rPr>
                <w:color w:val="0B0B0B"/>
                <w:sz w:val="19"/>
              </w:rPr>
              <w:t>399</w:t>
            </w:r>
          </w:p>
        </w:tc>
        <w:tc>
          <w:tcPr>
            <w:tcW w:type="dxa" w:w="3249"/>
          </w:tcPr>
          <w:p>
            <w:r/>
            <w:r>
              <w:rPr>
                <w:color w:val="0B0B0B"/>
                <w:sz w:val="19"/>
              </w:rPr>
              <w:t>0.5%</w:t>
            </w:r>
          </w:p>
        </w:tc>
      </w:tr>
      <w:tr>
        <w:tc>
          <w:tcPr>
            <w:tcW w:type="dxa" w:w="3249"/>
            <w:shd w:val="clear" w:color="auto" w:fill="F2F6FC"/>
          </w:tcPr>
          <w:p>
            <w:r/>
            <w:r>
              <w:rPr>
                <w:color w:val="0B0B0B"/>
                <w:sz w:val="19"/>
              </w:rPr>
              <w:t>Business Development</w:t>
            </w:r>
          </w:p>
        </w:tc>
        <w:tc>
          <w:tcPr>
            <w:tcW w:type="dxa" w:w="3249"/>
            <w:shd w:val="clear" w:color="auto" w:fill="F2F6FC"/>
          </w:tcPr>
          <w:p>
            <w:r/>
            <w:r>
              <w:rPr>
                <w:color w:val="0B0B0B"/>
                <w:sz w:val="19"/>
              </w:rPr>
              <w:t>392</w:t>
            </w:r>
          </w:p>
        </w:tc>
        <w:tc>
          <w:tcPr>
            <w:tcW w:type="dxa" w:w="3249"/>
            <w:shd w:val="clear" w:color="auto" w:fill="F2F6FC"/>
          </w:tcPr>
          <w:p>
            <w:r/>
            <w:r>
              <w:rPr>
                <w:color w:val="0B0B0B"/>
                <w:sz w:val="19"/>
              </w:rPr>
              <w:t>0.5%</w:t>
            </w:r>
          </w:p>
        </w:tc>
      </w:tr>
      <w:tr>
        <w:tc>
          <w:tcPr>
            <w:tcW w:type="dxa" w:w="3249"/>
          </w:tcPr>
          <w:p>
            <w:r/>
            <w:r>
              <w:rPr>
                <w:color w:val="0B0B0B"/>
                <w:sz w:val="19"/>
              </w:rPr>
              <w:t>Cybersecurity</w:t>
            </w:r>
          </w:p>
        </w:tc>
        <w:tc>
          <w:tcPr>
            <w:tcW w:type="dxa" w:w="3249"/>
          </w:tcPr>
          <w:p>
            <w:r/>
            <w:r>
              <w:rPr>
                <w:color w:val="0B0B0B"/>
                <w:sz w:val="19"/>
              </w:rPr>
              <w:t>374</w:t>
            </w:r>
          </w:p>
        </w:tc>
        <w:tc>
          <w:tcPr>
            <w:tcW w:type="dxa" w:w="3249"/>
          </w:tcPr>
          <w:p>
            <w:r/>
            <w:r>
              <w:rPr>
                <w:color w:val="0B0B0B"/>
                <w:sz w:val="19"/>
              </w:rPr>
              <w:t>0.4%</w:t>
            </w:r>
          </w:p>
        </w:tc>
      </w:tr>
      <w:tr>
        <w:tc>
          <w:tcPr>
            <w:tcW w:type="dxa" w:w="3249"/>
            <w:shd w:val="clear" w:color="auto" w:fill="F2F6FC"/>
          </w:tcPr>
          <w:p>
            <w:r/>
            <w:r>
              <w:rPr>
                <w:color w:val="0B0B0B"/>
                <w:sz w:val="19"/>
              </w:rPr>
              <w:t>Administrative</w:t>
            </w:r>
          </w:p>
        </w:tc>
        <w:tc>
          <w:tcPr>
            <w:tcW w:type="dxa" w:w="3249"/>
            <w:shd w:val="clear" w:color="auto" w:fill="F2F6FC"/>
          </w:tcPr>
          <w:p>
            <w:r/>
            <w:r>
              <w:rPr>
                <w:color w:val="0B0B0B"/>
                <w:sz w:val="19"/>
              </w:rPr>
              <w:t>334</w:t>
            </w:r>
          </w:p>
        </w:tc>
        <w:tc>
          <w:tcPr>
            <w:tcW w:type="dxa" w:w="3249"/>
            <w:shd w:val="clear" w:color="auto" w:fill="F2F6FC"/>
          </w:tcPr>
          <w:p>
            <w:r/>
            <w:r>
              <w:rPr>
                <w:color w:val="0B0B0B"/>
                <w:sz w:val="19"/>
              </w:rPr>
              <w:t>0.4%</w:t>
            </w:r>
          </w:p>
        </w:tc>
      </w:tr>
      <w:tr>
        <w:tc>
          <w:tcPr>
            <w:tcW w:type="dxa" w:w="3249"/>
          </w:tcPr>
          <w:p>
            <w:r/>
            <w:r>
              <w:rPr>
                <w:color w:val="0B0B0B"/>
                <w:sz w:val="19"/>
              </w:rPr>
              <w:t>Customer Success</w:t>
            </w:r>
          </w:p>
        </w:tc>
        <w:tc>
          <w:tcPr>
            <w:tcW w:type="dxa" w:w="3249"/>
          </w:tcPr>
          <w:p>
            <w:r/>
            <w:r>
              <w:rPr>
                <w:color w:val="0B0B0B"/>
                <w:sz w:val="19"/>
              </w:rPr>
              <w:t>302</w:t>
            </w:r>
          </w:p>
        </w:tc>
        <w:tc>
          <w:tcPr>
            <w:tcW w:type="dxa" w:w="3249"/>
          </w:tcPr>
          <w:p>
            <w:r/>
            <w:r>
              <w:rPr>
                <w:color w:val="0B0B0B"/>
                <w:sz w:val="19"/>
              </w:rPr>
              <w:t>0.4%</w:t>
            </w:r>
          </w:p>
        </w:tc>
      </w:tr>
      <w:tr>
        <w:tc>
          <w:tcPr>
            <w:tcW w:type="dxa" w:w="3249"/>
            <w:shd w:val="clear" w:color="auto" w:fill="F2F6FC"/>
          </w:tcPr>
          <w:p>
            <w:r/>
            <w:r>
              <w:rPr>
                <w:color w:val="0B0B0B"/>
                <w:sz w:val="19"/>
              </w:rPr>
              <w:t>AI / Machine Learning</w:t>
            </w:r>
          </w:p>
        </w:tc>
        <w:tc>
          <w:tcPr>
            <w:tcW w:type="dxa" w:w="3249"/>
            <w:shd w:val="clear" w:color="auto" w:fill="F2F6FC"/>
          </w:tcPr>
          <w:p>
            <w:r/>
            <w:r>
              <w:rPr>
                <w:color w:val="0B0B0B"/>
                <w:sz w:val="19"/>
              </w:rPr>
              <w:t>299</w:t>
            </w:r>
          </w:p>
        </w:tc>
        <w:tc>
          <w:tcPr>
            <w:tcW w:type="dxa" w:w="3249"/>
            <w:shd w:val="clear" w:color="auto" w:fill="F2F6FC"/>
          </w:tcPr>
          <w:p>
            <w:r/>
            <w:r>
              <w:rPr>
                <w:color w:val="0B0B0B"/>
                <w:sz w:val="19"/>
              </w:rPr>
              <w:t>0.4%</w:t>
            </w:r>
          </w:p>
        </w:tc>
      </w:tr>
      <w:tr>
        <w:tc>
          <w:tcPr>
            <w:tcW w:type="dxa" w:w="3249"/>
          </w:tcPr>
          <w:p>
            <w:r/>
            <w:r>
              <w:rPr>
                <w:color w:val="0B0B0B"/>
                <w:sz w:val="19"/>
              </w:rPr>
              <w:t>Digital Marketing</w:t>
            </w:r>
          </w:p>
        </w:tc>
        <w:tc>
          <w:tcPr>
            <w:tcW w:type="dxa" w:w="3249"/>
          </w:tcPr>
          <w:p>
            <w:r/>
            <w:r>
              <w:rPr>
                <w:color w:val="0B0B0B"/>
                <w:sz w:val="19"/>
              </w:rPr>
              <w:t>293</w:t>
            </w:r>
          </w:p>
        </w:tc>
        <w:tc>
          <w:tcPr>
            <w:tcW w:type="dxa" w:w="3249"/>
          </w:tcPr>
          <w:p>
            <w:r/>
            <w:r>
              <w:rPr>
                <w:color w:val="0B0B0B"/>
                <w:sz w:val="19"/>
              </w:rPr>
              <w:t>0.3%</w:t>
            </w:r>
          </w:p>
        </w:tc>
      </w:tr>
      <w:tr>
        <w:tc>
          <w:tcPr>
            <w:tcW w:type="dxa" w:w="3249"/>
            <w:shd w:val="clear" w:color="auto" w:fill="F2F6FC"/>
          </w:tcPr>
          <w:p>
            <w:r/>
            <w:r>
              <w:rPr>
                <w:color w:val="0B0B0B"/>
                <w:sz w:val="19"/>
              </w:rPr>
              <w:t>Operations</w:t>
            </w:r>
          </w:p>
        </w:tc>
        <w:tc>
          <w:tcPr>
            <w:tcW w:type="dxa" w:w="3249"/>
            <w:shd w:val="clear" w:color="auto" w:fill="F2F6FC"/>
          </w:tcPr>
          <w:p>
            <w:r/>
            <w:r>
              <w:rPr>
                <w:color w:val="0B0B0B"/>
                <w:sz w:val="19"/>
              </w:rPr>
              <w:t>274</w:t>
            </w:r>
          </w:p>
        </w:tc>
        <w:tc>
          <w:tcPr>
            <w:tcW w:type="dxa" w:w="3249"/>
            <w:shd w:val="clear" w:color="auto" w:fill="F2F6FC"/>
          </w:tcPr>
          <w:p>
            <w:r/>
            <w:r>
              <w:rPr>
                <w:color w:val="0B0B0B"/>
                <w:sz w:val="19"/>
              </w:rPr>
              <w:t>0.3%</w:t>
            </w:r>
          </w:p>
        </w:tc>
      </w:tr>
      <w:tr>
        <w:tc>
          <w:tcPr>
            <w:tcW w:type="dxa" w:w="3249"/>
          </w:tcPr>
          <w:p>
            <w:r/>
            <w:r>
              <w:rPr>
                <w:color w:val="0B0B0B"/>
                <w:sz w:val="19"/>
              </w:rPr>
              <w:t>Procurement</w:t>
            </w:r>
          </w:p>
        </w:tc>
        <w:tc>
          <w:tcPr>
            <w:tcW w:type="dxa" w:w="3249"/>
          </w:tcPr>
          <w:p>
            <w:r/>
            <w:r>
              <w:rPr>
                <w:color w:val="0B0B0B"/>
                <w:sz w:val="19"/>
              </w:rPr>
              <w:t>272</w:t>
            </w:r>
          </w:p>
        </w:tc>
        <w:tc>
          <w:tcPr>
            <w:tcW w:type="dxa" w:w="3249"/>
          </w:tcPr>
          <w:p>
            <w:r/>
            <w:r>
              <w:rPr>
                <w:color w:val="0B0B0B"/>
                <w:sz w:val="19"/>
              </w:rPr>
              <w:t>0.3%</w:t>
            </w:r>
          </w:p>
        </w:tc>
      </w:tr>
      <w:tr>
        <w:tc>
          <w:tcPr>
            <w:tcW w:type="dxa" w:w="3249"/>
            <w:shd w:val="clear" w:color="auto" w:fill="F2F6FC"/>
          </w:tcPr>
          <w:p>
            <w:r/>
            <w:r>
              <w:rPr>
                <w:color w:val="0B0B0B"/>
                <w:sz w:val="19"/>
              </w:rPr>
              <w:t>Recruiting</w:t>
            </w:r>
          </w:p>
        </w:tc>
        <w:tc>
          <w:tcPr>
            <w:tcW w:type="dxa" w:w="3249"/>
            <w:shd w:val="clear" w:color="auto" w:fill="F2F6FC"/>
          </w:tcPr>
          <w:p>
            <w:r/>
            <w:r>
              <w:rPr>
                <w:color w:val="0B0B0B"/>
                <w:sz w:val="19"/>
              </w:rPr>
              <w:t>250</w:t>
            </w:r>
          </w:p>
        </w:tc>
        <w:tc>
          <w:tcPr>
            <w:tcW w:type="dxa" w:w="3249"/>
            <w:shd w:val="clear" w:color="auto" w:fill="F2F6FC"/>
          </w:tcPr>
          <w:p>
            <w:r/>
            <w:r>
              <w:rPr>
                <w:color w:val="0B0B0B"/>
                <w:sz w:val="19"/>
              </w:rPr>
              <w:t>0.3%</w:t>
            </w:r>
          </w:p>
        </w:tc>
      </w:tr>
      <w:tr>
        <w:tc>
          <w:tcPr>
            <w:tcW w:type="dxa" w:w="3249"/>
          </w:tcPr>
          <w:p>
            <w:r/>
            <w:r>
              <w:rPr>
                <w:color w:val="0B0B0B"/>
                <w:sz w:val="19"/>
              </w:rPr>
              <w:t>IT Support</w:t>
            </w:r>
          </w:p>
        </w:tc>
        <w:tc>
          <w:tcPr>
            <w:tcW w:type="dxa" w:w="3249"/>
          </w:tcPr>
          <w:p>
            <w:r/>
            <w:r>
              <w:rPr>
                <w:color w:val="0B0B0B"/>
                <w:sz w:val="19"/>
              </w:rPr>
              <w:t>219</w:t>
            </w:r>
          </w:p>
        </w:tc>
        <w:tc>
          <w:tcPr>
            <w:tcW w:type="dxa" w:w="3249"/>
          </w:tcPr>
          <w:p>
            <w:r/>
            <w:r>
              <w:rPr>
                <w:color w:val="0B0B0B"/>
                <w:sz w:val="19"/>
              </w:rPr>
              <w:t>0.3%</w:t>
            </w:r>
          </w:p>
        </w:tc>
      </w:tr>
      <w:tr>
        <w:tc>
          <w:tcPr>
            <w:tcW w:type="dxa" w:w="3249"/>
            <w:shd w:val="clear" w:color="auto" w:fill="F2F6FC"/>
          </w:tcPr>
          <w:p>
            <w:r/>
            <w:r>
              <w:rPr>
                <w:color w:val="0B0B0B"/>
                <w:sz w:val="19"/>
              </w:rPr>
              <w:t>UI / UX Design</w:t>
            </w:r>
          </w:p>
        </w:tc>
        <w:tc>
          <w:tcPr>
            <w:tcW w:type="dxa" w:w="3249"/>
            <w:shd w:val="clear" w:color="auto" w:fill="F2F6FC"/>
          </w:tcPr>
          <w:p>
            <w:r/>
            <w:r>
              <w:rPr>
                <w:color w:val="0B0B0B"/>
                <w:sz w:val="19"/>
              </w:rPr>
              <w:t>174</w:t>
            </w:r>
          </w:p>
        </w:tc>
        <w:tc>
          <w:tcPr>
            <w:tcW w:type="dxa" w:w="3249"/>
            <w:shd w:val="clear" w:color="auto" w:fill="F2F6FC"/>
          </w:tcPr>
          <w:p>
            <w:r/>
            <w:r>
              <w:rPr>
                <w:color w:val="0B0B0B"/>
                <w:sz w:val="19"/>
              </w:rPr>
              <w:t>0.2%</w:t>
            </w:r>
          </w:p>
        </w:tc>
      </w:tr>
      <w:tr>
        <w:tc>
          <w:tcPr>
            <w:tcW w:type="dxa" w:w="3249"/>
          </w:tcPr>
          <w:p>
            <w:r/>
            <w:r>
              <w:rPr>
                <w:color w:val="0B0B0B"/>
                <w:sz w:val="19"/>
              </w:rPr>
              <w:t>Government</w:t>
            </w:r>
          </w:p>
        </w:tc>
        <w:tc>
          <w:tcPr>
            <w:tcW w:type="dxa" w:w="3249"/>
          </w:tcPr>
          <w:p>
            <w:r/>
            <w:r>
              <w:rPr>
                <w:color w:val="0B0B0B"/>
                <w:sz w:val="19"/>
              </w:rPr>
              <w:t>102</w:t>
            </w:r>
          </w:p>
        </w:tc>
        <w:tc>
          <w:tcPr>
            <w:tcW w:type="dxa" w:w="3249"/>
          </w:tcPr>
          <w:p>
            <w:r/>
            <w:r>
              <w:rPr>
                <w:color w:val="0B0B0B"/>
                <w:sz w:val="19"/>
              </w:rPr>
              <w:t>0.1%</w:t>
            </w:r>
          </w:p>
        </w:tc>
      </w:tr>
      <w:tr>
        <w:tc>
          <w:tcPr>
            <w:tcW w:type="dxa" w:w="3249"/>
            <w:shd w:val="clear" w:color="auto" w:fill="F2F6FC"/>
          </w:tcPr>
          <w:p>
            <w:r/>
            <w:r>
              <w:rPr>
                <w:color w:val="0B0B0B"/>
                <w:sz w:val="19"/>
              </w:rPr>
              <w:t>Pharmaceutical</w:t>
            </w:r>
          </w:p>
        </w:tc>
        <w:tc>
          <w:tcPr>
            <w:tcW w:type="dxa" w:w="3249"/>
            <w:shd w:val="clear" w:color="auto" w:fill="F2F6FC"/>
          </w:tcPr>
          <w:p>
            <w:r/>
            <w:r>
              <w:rPr>
                <w:color w:val="0B0B0B"/>
                <w:sz w:val="19"/>
              </w:rPr>
              <w:t>77</w:t>
            </w:r>
          </w:p>
        </w:tc>
        <w:tc>
          <w:tcPr>
            <w:tcW w:type="dxa" w:w="3249"/>
            <w:shd w:val="clear" w:color="auto" w:fill="F2F6FC"/>
          </w:tcPr>
          <w:p>
            <w:r/>
            <w:r>
              <w:rPr>
                <w:color w:val="0B0B0B"/>
                <w:sz w:val="19"/>
              </w:rPr>
              <w:t>0.1%</w:t>
            </w:r>
          </w:p>
        </w:tc>
      </w:tr>
      <w:tr>
        <w:tc>
          <w:tcPr>
            <w:tcW w:type="dxa" w:w="3249"/>
          </w:tcPr>
          <w:p>
            <w:r/>
            <w:r>
              <w:rPr>
                <w:color w:val="0B0B0B"/>
                <w:sz w:val="19"/>
              </w:rPr>
              <w:t>Graphic Design</w:t>
            </w:r>
          </w:p>
        </w:tc>
        <w:tc>
          <w:tcPr>
            <w:tcW w:type="dxa" w:w="3249"/>
          </w:tcPr>
          <w:p>
            <w:r/>
            <w:r>
              <w:rPr>
                <w:color w:val="0B0B0B"/>
                <w:sz w:val="19"/>
              </w:rPr>
              <w:t>71</w:t>
            </w:r>
          </w:p>
        </w:tc>
        <w:tc>
          <w:tcPr>
            <w:tcW w:type="dxa" w:w="3249"/>
          </w:tcPr>
          <w:p>
            <w:r/>
            <w:r>
              <w:rPr>
                <w:color w:val="0B0B0B"/>
                <w:sz w:val="19"/>
              </w:rPr>
              <w:t>0.1%</w:t>
            </w:r>
          </w:p>
        </w:tc>
      </w:tr>
    </w:tbl>
    <w:p>
      <w:pPr>
        <w:spacing w:after="80"/>
      </w:pPr>
    </w:p>
    <w:p>
      <w:pPr>
        <w:jc w:val="center"/>
      </w:pPr>
      <w:r>
        <w:drawing>
          <wp:inline xmlns:a="http://schemas.openxmlformats.org/drawingml/2006/main" xmlns:pic="http://schemas.openxmlformats.org/drawingml/2006/picture">
            <wp:extent cx="5760720" cy="4411568"/>
            <wp:docPr id="9" name="Picture 9"/>
            <wp:cNvGraphicFramePr>
              <a:graphicFrameLocks noChangeAspect="1"/>
            </wp:cNvGraphicFramePr>
            <a:graphic>
              <a:graphicData uri="http://schemas.openxmlformats.org/drawingml/2006/picture">
                <pic:pic>
                  <pic:nvPicPr>
                    <pic:cNvPr id="0" name="recent_category_distribution.png"/>
                    <pic:cNvPicPr/>
                  </pic:nvPicPr>
                  <pic:blipFill>
                    <a:blip r:embed="rId18"/>
                    <a:stretch>
                      <a:fillRect/>
                    </a:stretch>
                  </pic:blipFill>
                  <pic:spPr>
                    <a:xfrm>
                      <a:off x="0" y="0"/>
                      <a:ext cx="5760720" cy="4411568"/>
                    </a:xfrm>
                    <a:prstGeom prst="rect"/>
                  </pic:spPr>
                </pic:pic>
              </a:graphicData>
            </a:graphic>
          </wp:inline>
        </w:drawing>
      </w:r>
    </w:p>
    <w:p>
      <w:pPr>
        <w:spacing w:after="240"/>
        <w:jc w:val="center"/>
      </w:pPr>
      <w:r>
        <w:rPr>
          <w:i/>
          <w:color w:val="52514E"/>
          <w:sz w:val="18"/>
        </w:rPr>
        <w:t>Figure 9. Recent job category distribution (posted within 30 days).</w:t>
      </w:r>
    </w:p>
    <w:p>
      <w:pPr>
        <w:spacing w:after="160"/>
      </w:pPr>
      <w:r>
        <w:t>Excluding the Other catch-all, Supply Chain (9.0% — driven by delivery-driver and warehouse/despatch roles), Software Engineering (6.6%), and Customer Support (6.3%) are the three largest identifiable categories among recent postings, followed by Healthcare (4.2%) and Sales (3.4%). The Other bucket is dominated by retail, hospitality, and food-service titles ("Barista," "Tesco Colleague," "Kitchen Porter," "Assistant Manager") that fall outside the given taxonomy — a data-composition finding, not a classification gap.</w:t>
      </w:r>
    </w:p>
    <w:p>
      <w:pPr>
        <w:spacing w:before="200" w:after="120"/>
      </w:pPr>
      <w:r>
        <w:rPr>
          <w:b/>
          <w:color w:val="0B0B0B"/>
          <w:sz w:val="26"/>
        </w:rPr>
        <w:t>2. Recent Jobs by Region</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val="clear" w:color="auto" w:fill="2A78D6"/>
          </w:tcPr>
          <w:p>
            <w:r/>
            <w:r>
              <w:rPr>
                <w:b/>
                <w:color w:val="FFFFFF"/>
                <w:sz w:val="19"/>
              </w:rPr>
              <w:t>Region</w:t>
            </w:r>
          </w:p>
        </w:tc>
        <w:tc>
          <w:tcPr>
            <w:tcW w:type="dxa" w:w="3249"/>
            <w:shd w:val="clear" w:color="auto" w:fill="2A78D6"/>
          </w:tcPr>
          <w:p>
            <w:r/>
            <w:r>
              <w:rPr>
                <w:b/>
                <w:color w:val="FFFFFF"/>
                <w:sz w:val="19"/>
              </w:rPr>
              <w:t>Recent Jobs</w:t>
            </w:r>
          </w:p>
        </w:tc>
        <w:tc>
          <w:tcPr>
            <w:tcW w:type="dxa" w:w="3249"/>
            <w:shd w:val="clear" w:color="auto" w:fill="2A78D6"/>
          </w:tcPr>
          <w:p>
            <w:r/>
            <w:r>
              <w:rPr>
                <w:b/>
                <w:color w:val="FFFFFF"/>
                <w:sz w:val="19"/>
              </w:rPr>
              <w:t>% of recent</w:t>
            </w:r>
          </w:p>
        </w:tc>
      </w:tr>
      <w:tr>
        <w:tc>
          <w:tcPr>
            <w:tcW w:type="dxa" w:w="3249"/>
          </w:tcPr>
          <w:p>
            <w:r/>
            <w:r>
              <w:rPr>
                <w:color w:val="0B0B0B"/>
                <w:sz w:val="19"/>
              </w:rPr>
              <w:t>United States</w:t>
            </w:r>
          </w:p>
        </w:tc>
        <w:tc>
          <w:tcPr>
            <w:tcW w:type="dxa" w:w="3249"/>
          </w:tcPr>
          <w:p>
            <w:r/>
            <w:r>
              <w:rPr>
                <w:color w:val="0B0B0B"/>
                <w:sz w:val="19"/>
              </w:rPr>
              <w:t>39,124</w:t>
            </w:r>
          </w:p>
        </w:tc>
        <w:tc>
          <w:tcPr>
            <w:tcW w:type="dxa" w:w="3249"/>
          </w:tcPr>
          <w:p>
            <w:r/>
            <w:r>
              <w:rPr>
                <w:color w:val="0B0B0B"/>
                <w:sz w:val="19"/>
              </w:rPr>
              <w:t>46.5%</w:t>
            </w:r>
          </w:p>
        </w:tc>
      </w:tr>
      <w:tr>
        <w:tc>
          <w:tcPr>
            <w:tcW w:type="dxa" w:w="3249"/>
            <w:shd w:val="clear" w:color="auto" w:fill="F2F6FC"/>
          </w:tcPr>
          <w:p>
            <w:r/>
            <w:r>
              <w:rPr>
                <w:color w:val="0B0B0B"/>
                <w:sz w:val="19"/>
              </w:rPr>
              <w:t>Europe</w:t>
            </w:r>
          </w:p>
        </w:tc>
        <w:tc>
          <w:tcPr>
            <w:tcW w:type="dxa" w:w="3249"/>
            <w:shd w:val="clear" w:color="auto" w:fill="F2F6FC"/>
          </w:tcPr>
          <w:p>
            <w:r/>
            <w:r>
              <w:rPr>
                <w:color w:val="0B0B0B"/>
                <w:sz w:val="19"/>
              </w:rPr>
              <w:t>15,721</w:t>
            </w:r>
          </w:p>
        </w:tc>
        <w:tc>
          <w:tcPr>
            <w:tcW w:type="dxa" w:w="3249"/>
            <w:shd w:val="clear" w:color="auto" w:fill="F2F6FC"/>
          </w:tcPr>
          <w:p>
            <w:r/>
            <w:r>
              <w:rPr>
                <w:color w:val="0B0B0B"/>
                <w:sz w:val="19"/>
              </w:rPr>
              <w:t>18.7%</w:t>
            </w:r>
          </w:p>
        </w:tc>
      </w:tr>
      <w:tr>
        <w:tc>
          <w:tcPr>
            <w:tcW w:type="dxa" w:w="3249"/>
          </w:tcPr>
          <w:p>
            <w:r/>
            <w:r>
              <w:rPr>
                <w:color w:val="0B0B0B"/>
                <w:sz w:val="19"/>
              </w:rPr>
              <w:t>Other</w:t>
            </w:r>
          </w:p>
        </w:tc>
        <w:tc>
          <w:tcPr>
            <w:tcW w:type="dxa" w:w="3249"/>
          </w:tcPr>
          <w:p>
            <w:r/>
            <w:r>
              <w:rPr>
                <w:color w:val="0B0B0B"/>
                <w:sz w:val="19"/>
              </w:rPr>
              <w:t>14,372</w:t>
            </w:r>
          </w:p>
        </w:tc>
        <w:tc>
          <w:tcPr>
            <w:tcW w:type="dxa" w:w="3249"/>
          </w:tcPr>
          <w:p>
            <w:r/>
            <w:r>
              <w:rPr>
                <w:color w:val="0B0B0B"/>
                <w:sz w:val="19"/>
              </w:rPr>
              <w:t>17.1%</w:t>
            </w:r>
          </w:p>
        </w:tc>
      </w:tr>
      <w:tr>
        <w:tc>
          <w:tcPr>
            <w:tcW w:type="dxa" w:w="3249"/>
            <w:shd w:val="clear" w:color="auto" w:fill="F2F6FC"/>
          </w:tcPr>
          <w:p>
            <w:r/>
            <w:r>
              <w:rPr>
                <w:color w:val="0B0B0B"/>
                <w:sz w:val="19"/>
              </w:rPr>
              <w:t>United Kingdom</w:t>
            </w:r>
          </w:p>
        </w:tc>
        <w:tc>
          <w:tcPr>
            <w:tcW w:type="dxa" w:w="3249"/>
            <w:shd w:val="clear" w:color="auto" w:fill="F2F6FC"/>
          </w:tcPr>
          <w:p>
            <w:r/>
            <w:r>
              <w:rPr>
                <w:color w:val="0B0B0B"/>
                <w:sz w:val="19"/>
              </w:rPr>
              <w:t>6,925</w:t>
            </w:r>
          </w:p>
        </w:tc>
        <w:tc>
          <w:tcPr>
            <w:tcW w:type="dxa" w:w="3249"/>
            <w:shd w:val="clear" w:color="auto" w:fill="F2F6FC"/>
          </w:tcPr>
          <w:p>
            <w:r/>
            <w:r>
              <w:rPr>
                <w:color w:val="0B0B0B"/>
                <w:sz w:val="19"/>
              </w:rPr>
              <w:t>8.2%</w:t>
            </w:r>
          </w:p>
        </w:tc>
      </w:tr>
      <w:tr>
        <w:tc>
          <w:tcPr>
            <w:tcW w:type="dxa" w:w="3249"/>
          </w:tcPr>
          <w:p>
            <w:r/>
            <w:r>
              <w:rPr>
                <w:color w:val="0B0B0B"/>
                <w:sz w:val="19"/>
              </w:rPr>
              <w:t>LATAM</w:t>
            </w:r>
          </w:p>
        </w:tc>
        <w:tc>
          <w:tcPr>
            <w:tcW w:type="dxa" w:w="3249"/>
          </w:tcPr>
          <w:p>
            <w:r/>
            <w:r>
              <w:rPr>
                <w:color w:val="0B0B0B"/>
                <w:sz w:val="19"/>
              </w:rPr>
              <w:t>2,886</w:t>
            </w:r>
          </w:p>
        </w:tc>
        <w:tc>
          <w:tcPr>
            <w:tcW w:type="dxa" w:w="3249"/>
          </w:tcPr>
          <w:p>
            <w:r/>
            <w:r>
              <w:rPr>
                <w:color w:val="0B0B0B"/>
                <w:sz w:val="19"/>
              </w:rPr>
              <w:t>3.4%</w:t>
            </w:r>
          </w:p>
        </w:tc>
      </w:tr>
      <w:tr>
        <w:tc>
          <w:tcPr>
            <w:tcW w:type="dxa" w:w="3249"/>
            <w:shd w:val="clear" w:color="auto" w:fill="F2F6FC"/>
          </w:tcPr>
          <w:p>
            <w:r/>
            <w:r>
              <w:rPr>
                <w:color w:val="0B0B0B"/>
                <w:sz w:val="19"/>
              </w:rPr>
              <w:t>Singapore / Southeast Asia</w:t>
            </w:r>
          </w:p>
        </w:tc>
        <w:tc>
          <w:tcPr>
            <w:tcW w:type="dxa" w:w="3249"/>
            <w:shd w:val="clear" w:color="auto" w:fill="F2F6FC"/>
          </w:tcPr>
          <w:p>
            <w:r/>
            <w:r>
              <w:rPr>
                <w:color w:val="0B0B0B"/>
                <w:sz w:val="19"/>
              </w:rPr>
              <w:t>1,744</w:t>
            </w:r>
          </w:p>
        </w:tc>
        <w:tc>
          <w:tcPr>
            <w:tcW w:type="dxa" w:w="3249"/>
            <w:shd w:val="clear" w:color="auto" w:fill="F2F6FC"/>
          </w:tcPr>
          <w:p>
            <w:r/>
            <w:r>
              <w:rPr>
                <w:color w:val="0B0B0B"/>
                <w:sz w:val="19"/>
              </w:rPr>
              <w:t>2.1%</w:t>
            </w:r>
          </w:p>
        </w:tc>
      </w:tr>
      <w:tr>
        <w:tc>
          <w:tcPr>
            <w:tcW w:type="dxa" w:w="3249"/>
          </w:tcPr>
          <w:p>
            <w:r/>
            <w:r>
              <w:rPr>
                <w:color w:val="0B0B0B"/>
                <w:sz w:val="19"/>
              </w:rPr>
              <w:t>India</w:t>
            </w:r>
          </w:p>
        </w:tc>
        <w:tc>
          <w:tcPr>
            <w:tcW w:type="dxa" w:w="3249"/>
          </w:tcPr>
          <w:p>
            <w:r/>
            <w:r>
              <w:rPr>
                <w:color w:val="0B0B0B"/>
                <w:sz w:val="19"/>
              </w:rPr>
              <w:t>1,656</w:t>
            </w:r>
          </w:p>
        </w:tc>
        <w:tc>
          <w:tcPr>
            <w:tcW w:type="dxa" w:w="3249"/>
          </w:tcPr>
          <w:p>
            <w:r/>
            <w:r>
              <w:rPr>
                <w:color w:val="0B0B0B"/>
                <w:sz w:val="19"/>
              </w:rPr>
              <w:t>2.0%</w:t>
            </w:r>
          </w:p>
        </w:tc>
      </w:tr>
      <w:tr>
        <w:tc>
          <w:tcPr>
            <w:tcW w:type="dxa" w:w="3249"/>
            <w:shd w:val="clear" w:color="auto" w:fill="F2F6FC"/>
          </w:tcPr>
          <w:p>
            <w:r/>
            <w:r>
              <w:rPr>
                <w:color w:val="0B0B0B"/>
                <w:sz w:val="19"/>
              </w:rPr>
              <w:t>Canada</w:t>
            </w:r>
          </w:p>
        </w:tc>
        <w:tc>
          <w:tcPr>
            <w:tcW w:type="dxa" w:w="3249"/>
            <w:shd w:val="clear" w:color="auto" w:fill="F2F6FC"/>
          </w:tcPr>
          <w:p>
            <w:r/>
            <w:r>
              <w:rPr>
                <w:color w:val="0B0B0B"/>
                <w:sz w:val="19"/>
              </w:rPr>
              <w:t>1,649</w:t>
            </w:r>
          </w:p>
        </w:tc>
        <w:tc>
          <w:tcPr>
            <w:tcW w:type="dxa" w:w="3249"/>
            <w:shd w:val="clear" w:color="auto" w:fill="F2F6FC"/>
          </w:tcPr>
          <w:p>
            <w:r/>
            <w:r>
              <w:rPr>
                <w:color w:val="0B0B0B"/>
                <w:sz w:val="19"/>
              </w:rPr>
              <w:t>2.0%</w:t>
            </w:r>
          </w:p>
        </w:tc>
      </w:tr>
    </w:tbl>
    <w:p>
      <w:pPr>
        <w:spacing w:after="80"/>
      </w:pPr>
    </w:p>
    <w:p>
      <w:pPr>
        <w:jc w:val="center"/>
      </w:pPr>
      <w:r>
        <w:drawing>
          <wp:inline xmlns:a="http://schemas.openxmlformats.org/drawingml/2006/main" xmlns:pic="http://schemas.openxmlformats.org/drawingml/2006/picture">
            <wp:extent cx="5760720" cy="4420935"/>
            <wp:docPr id="10" name="Picture 10"/>
            <wp:cNvGraphicFramePr>
              <a:graphicFrameLocks noChangeAspect="1"/>
            </wp:cNvGraphicFramePr>
            <a:graphic>
              <a:graphicData uri="http://schemas.openxmlformats.org/drawingml/2006/picture">
                <pic:pic>
                  <pic:nvPicPr>
                    <pic:cNvPr id="0" name="recent_region_distribution.png"/>
                    <pic:cNvPicPr/>
                  </pic:nvPicPr>
                  <pic:blipFill>
                    <a:blip r:embed="rId19"/>
                    <a:stretch>
                      <a:fillRect/>
                    </a:stretch>
                  </pic:blipFill>
                  <pic:spPr>
                    <a:xfrm>
                      <a:off x="0" y="0"/>
                      <a:ext cx="5760720" cy="4420935"/>
                    </a:xfrm>
                    <a:prstGeom prst="rect"/>
                  </pic:spPr>
                </pic:pic>
              </a:graphicData>
            </a:graphic>
          </wp:inline>
        </w:drawing>
      </w:r>
    </w:p>
    <w:p>
      <w:pPr>
        <w:spacing w:after="240"/>
        <w:jc w:val="center"/>
      </w:pPr>
      <w:r>
        <w:rPr>
          <w:i/>
          <w:color w:val="52514E"/>
          <w:sz w:val="18"/>
        </w:rPr>
        <w:t>Figure 10. Recent jobs by region (posted within 30 days).</w:t>
      </w:r>
    </w:p>
    <w:p>
      <w:pPr>
        <w:spacing w:after="160"/>
      </w:pPr>
      <w:r>
        <w:t>The United States dominates recent postings (46.5%), followed by Europe (18.7%, still Germany-heavy via Bundesagentur) and the UK (8.2%, almost entirely Reed, which is 96.2% fresh). Canada, India, and Singapore/Southeast Asia each sit at only ~2% of recent volume — these regions are thin in both total volume and freshness, reinforcing the coverage gaps identified in Section 6 and in research/api_analysis.md.</w:t>
      </w:r>
    </w:p>
    <w:p>
      <w:pPr>
        <w:spacing w:before="200" w:after="120"/>
      </w:pPr>
      <w:r>
        <w:rPr>
          <w:b/>
          <w:color w:val="0B0B0B"/>
          <w:sz w:val="26"/>
        </w:rPr>
        <w:t>3. Recent Jobs by Provider</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c>
          <w:tcPr>
            <w:tcW w:type="dxa" w:w="2436"/>
            <w:shd w:val="clear" w:color="auto" w:fill="2A78D6"/>
          </w:tcPr>
          <w:p>
            <w:r/>
            <w:r>
              <w:rPr>
                <w:b/>
                <w:color w:val="FFFFFF"/>
                <w:sz w:val="19"/>
              </w:rPr>
              <w:t>Provider</w:t>
            </w:r>
          </w:p>
        </w:tc>
        <w:tc>
          <w:tcPr>
            <w:tcW w:type="dxa" w:w="2436"/>
            <w:shd w:val="clear" w:color="auto" w:fill="2A78D6"/>
          </w:tcPr>
          <w:p>
            <w:r/>
            <w:r>
              <w:rPr>
                <w:b/>
                <w:color w:val="FFFFFF"/>
                <w:sz w:val="19"/>
              </w:rPr>
              <w:t>Recent Jobs</w:t>
            </w:r>
          </w:p>
        </w:tc>
        <w:tc>
          <w:tcPr>
            <w:tcW w:type="dxa" w:w="2436"/>
            <w:shd w:val="clear" w:color="auto" w:fill="2A78D6"/>
          </w:tcPr>
          <w:p>
            <w:r/>
            <w:r>
              <w:rPr>
                <w:b/>
                <w:color w:val="FFFFFF"/>
                <w:sz w:val="19"/>
              </w:rPr>
              <w:t>% of recent</w:t>
            </w:r>
          </w:p>
        </w:tc>
        <w:tc>
          <w:tcPr>
            <w:tcW w:type="dxa" w:w="2436"/>
            <w:shd w:val="clear" w:color="auto" w:fill="2A78D6"/>
          </w:tcPr>
          <w:p>
            <w:r/>
            <w:r>
              <w:rPr>
                <w:b/>
                <w:color w:val="FFFFFF"/>
                <w:sz w:val="19"/>
              </w:rPr>
              <w:t>Freshness rate (of provider's own total)</w:t>
            </w:r>
          </w:p>
        </w:tc>
      </w:tr>
      <w:tr>
        <w:tc>
          <w:tcPr>
            <w:tcW w:type="dxa" w:w="2436"/>
          </w:tcPr>
          <w:p>
            <w:r/>
            <w:r>
              <w:rPr>
                <w:color w:val="0B0B0B"/>
                <w:sz w:val="19"/>
              </w:rPr>
              <w:t>SmartRecruiters</w:t>
            </w:r>
          </w:p>
        </w:tc>
        <w:tc>
          <w:tcPr>
            <w:tcW w:type="dxa" w:w="2436"/>
          </w:tcPr>
          <w:p>
            <w:r/>
            <w:r>
              <w:rPr>
                <w:color w:val="0B0B0B"/>
                <w:sz w:val="19"/>
              </w:rPr>
              <w:t>36,479</w:t>
            </w:r>
          </w:p>
        </w:tc>
        <w:tc>
          <w:tcPr>
            <w:tcW w:type="dxa" w:w="2436"/>
          </w:tcPr>
          <w:p>
            <w:r/>
            <w:r>
              <w:rPr>
                <w:color w:val="0B0B0B"/>
                <w:sz w:val="19"/>
              </w:rPr>
              <w:t>43.4%</w:t>
            </w:r>
          </w:p>
        </w:tc>
        <w:tc>
          <w:tcPr>
            <w:tcW w:type="dxa" w:w="2436"/>
          </w:tcPr>
          <w:p>
            <w:r/>
            <w:r>
              <w:rPr>
                <w:color w:val="0B0B0B"/>
                <w:sz w:val="19"/>
              </w:rPr>
              <w:t>56.0%</w:t>
            </w:r>
          </w:p>
        </w:tc>
      </w:tr>
      <w:tr>
        <w:tc>
          <w:tcPr>
            <w:tcW w:type="dxa" w:w="2436"/>
            <w:shd w:val="clear" w:color="auto" w:fill="F2F6FC"/>
          </w:tcPr>
          <w:p>
            <w:r/>
            <w:r>
              <w:rPr>
                <w:color w:val="0B0B0B"/>
                <w:sz w:val="19"/>
              </w:rPr>
              <w:t>Reed</w:t>
            </w:r>
          </w:p>
        </w:tc>
        <w:tc>
          <w:tcPr>
            <w:tcW w:type="dxa" w:w="2436"/>
            <w:shd w:val="clear" w:color="auto" w:fill="F2F6FC"/>
          </w:tcPr>
          <w:p>
            <w:r/>
            <w:r>
              <w:rPr>
                <w:color w:val="0B0B0B"/>
                <w:sz w:val="19"/>
              </w:rPr>
              <w:t>8,658</w:t>
            </w:r>
          </w:p>
        </w:tc>
        <w:tc>
          <w:tcPr>
            <w:tcW w:type="dxa" w:w="2436"/>
            <w:shd w:val="clear" w:color="auto" w:fill="F2F6FC"/>
          </w:tcPr>
          <w:p>
            <w:r/>
            <w:r>
              <w:rPr>
                <w:color w:val="0B0B0B"/>
                <w:sz w:val="19"/>
              </w:rPr>
              <w:t>10.3%</w:t>
            </w:r>
          </w:p>
        </w:tc>
        <w:tc>
          <w:tcPr>
            <w:tcW w:type="dxa" w:w="2436"/>
            <w:shd w:val="clear" w:color="auto" w:fill="F2F6FC"/>
          </w:tcPr>
          <w:p>
            <w:r/>
            <w:r>
              <w:rPr>
                <w:color w:val="0B0B0B"/>
                <w:sz w:val="19"/>
              </w:rPr>
              <w:t>96.2%</w:t>
            </w:r>
          </w:p>
        </w:tc>
      </w:tr>
      <w:tr>
        <w:tc>
          <w:tcPr>
            <w:tcW w:type="dxa" w:w="2436"/>
          </w:tcPr>
          <w:p>
            <w:r/>
            <w:r>
              <w:rPr>
                <w:color w:val="0B0B0B"/>
                <w:sz w:val="19"/>
              </w:rPr>
              <w:t>Bundesagentur</w:t>
            </w:r>
          </w:p>
        </w:tc>
        <w:tc>
          <w:tcPr>
            <w:tcW w:type="dxa" w:w="2436"/>
          </w:tcPr>
          <w:p>
            <w:r/>
            <w:r>
              <w:rPr>
                <w:color w:val="0B0B0B"/>
                <w:sz w:val="19"/>
              </w:rPr>
              <w:t>7,800</w:t>
            </w:r>
          </w:p>
        </w:tc>
        <w:tc>
          <w:tcPr>
            <w:tcW w:type="dxa" w:w="2436"/>
          </w:tcPr>
          <w:p>
            <w:r/>
            <w:r>
              <w:rPr>
                <w:color w:val="0B0B0B"/>
                <w:sz w:val="19"/>
              </w:rPr>
              <w:t>9.3%</w:t>
            </w:r>
          </w:p>
        </w:tc>
        <w:tc>
          <w:tcPr>
            <w:tcW w:type="dxa" w:w="2436"/>
          </w:tcPr>
          <w:p>
            <w:r/>
            <w:r>
              <w:rPr>
                <w:color w:val="0B0B0B"/>
                <w:sz w:val="19"/>
              </w:rPr>
              <w:t>100.0%</w:t>
            </w:r>
          </w:p>
        </w:tc>
      </w:tr>
      <w:tr>
        <w:tc>
          <w:tcPr>
            <w:tcW w:type="dxa" w:w="2436"/>
            <w:shd w:val="clear" w:color="auto" w:fill="F2F6FC"/>
          </w:tcPr>
          <w:p>
            <w:r/>
            <w:r>
              <w:rPr>
                <w:color w:val="0B0B0B"/>
                <w:sz w:val="19"/>
              </w:rPr>
              <w:t>USAJOBS</w:t>
            </w:r>
          </w:p>
        </w:tc>
        <w:tc>
          <w:tcPr>
            <w:tcW w:type="dxa" w:w="2436"/>
            <w:shd w:val="clear" w:color="auto" w:fill="F2F6FC"/>
          </w:tcPr>
          <w:p>
            <w:r/>
            <w:r>
              <w:rPr>
                <w:color w:val="0B0B0B"/>
                <w:sz w:val="19"/>
              </w:rPr>
              <w:t>6,138</w:t>
            </w:r>
          </w:p>
        </w:tc>
        <w:tc>
          <w:tcPr>
            <w:tcW w:type="dxa" w:w="2436"/>
            <w:shd w:val="clear" w:color="auto" w:fill="F2F6FC"/>
          </w:tcPr>
          <w:p>
            <w:r/>
            <w:r>
              <w:rPr>
                <w:color w:val="0B0B0B"/>
                <w:sz w:val="19"/>
              </w:rPr>
              <w:t>7.3%</w:t>
            </w:r>
          </w:p>
        </w:tc>
        <w:tc>
          <w:tcPr>
            <w:tcW w:type="dxa" w:w="2436"/>
            <w:shd w:val="clear" w:color="auto" w:fill="F2F6FC"/>
          </w:tcPr>
          <w:p>
            <w:r/>
            <w:r>
              <w:rPr>
                <w:color w:val="0B0B0B"/>
                <w:sz w:val="19"/>
              </w:rPr>
              <w:t>61.4%</w:t>
            </w:r>
          </w:p>
        </w:tc>
      </w:tr>
      <w:tr>
        <w:tc>
          <w:tcPr>
            <w:tcW w:type="dxa" w:w="2436"/>
          </w:tcPr>
          <w:p>
            <w:r/>
            <w:r>
              <w:rPr>
                <w:color w:val="0B0B0B"/>
                <w:sz w:val="19"/>
              </w:rPr>
              <w:t>Other (SerpApi, OpenWeb Ninja, CareerJet, TheirStack, misc.)</w:t>
            </w:r>
          </w:p>
        </w:tc>
        <w:tc>
          <w:tcPr>
            <w:tcW w:type="dxa" w:w="2436"/>
          </w:tcPr>
          <w:p>
            <w:r/>
            <w:r>
              <w:rPr>
                <w:color w:val="0B0B0B"/>
                <w:sz w:val="19"/>
              </w:rPr>
              <w:t>5,091</w:t>
            </w:r>
          </w:p>
        </w:tc>
        <w:tc>
          <w:tcPr>
            <w:tcW w:type="dxa" w:w="2436"/>
          </w:tcPr>
          <w:p>
            <w:r/>
            <w:r>
              <w:rPr>
                <w:color w:val="0B0B0B"/>
                <w:sz w:val="19"/>
              </w:rPr>
              <w:t>6.1%</w:t>
            </w:r>
          </w:p>
        </w:tc>
        <w:tc>
          <w:tcPr>
            <w:tcW w:type="dxa" w:w="2436"/>
          </w:tcPr>
          <w:p>
            <w:r/>
            <w:r>
              <w:rPr>
                <w:color w:val="0B0B0B"/>
                <w:sz w:val="19"/>
              </w:rPr>
              <w:t>50.4%</w:t>
            </w:r>
          </w:p>
        </w:tc>
      </w:tr>
      <w:tr>
        <w:tc>
          <w:tcPr>
            <w:tcW w:type="dxa" w:w="2436"/>
            <w:shd w:val="clear" w:color="auto" w:fill="F2F6FC"/>
          </w:tcPr>
          <w:p>
            <w:r/>
            <w:r>
              <w:rPr>
                <w:color w:val="0B0B0B"/>
                <w:sz w:val="19"/>
              </w:rPr>
              <w:t>Greenhouse</w:t>
            </w:r>
          </w:p>
        </w:tc>
        <w:tc>
          <w:tcPr>
            <w:tcW w:type="dxa" w:w="2436"/>
            <w:shd w:val="clear" w:color="auto" w:fill="F2F6FC"/>
          </w:tcPr>
          <w:p>
            <w:r/>
            <w:r>
              <w:rPr>
                <w:color w:val="0B0B0B"/>
                <w:sz w:val="19"/>
              </w:rPr>
              <w:t>5,013</w:t>
            </w:r>
          </w:p>
        </w:tc>
        <w:tc>
          <w:tcPr>
            <w:tcW w:type="dxa" w:w="2436"/>
            <w:shd w:val="clear" w:color="auto" w:fill="F2F6FC"/>
          </w:tcPr>
          <w:p>
            <w:r/>
            <w:r>
              <w:rPr>
                <w:color w:val="0B0B0B"/>
                <w:sz w:val="19"/>
              </w:rPr>
              <w:t>6.0%</w:t>
            </w:r>
          </w:p>
        </w:tc>
        <w:tc>
          <w:tcPr>
            <w:tcW w:type="dxa" w:w="2436"/>
            <w:shd w:val="clear" w:color="auto" w:fill="F2F6FC"/>
          </w:tcPr>
          <w:p>
            <w:r/>
            <w:r>
              <w:rPr>
                <w:color w:val="0B0B0B"/>
                <w:sz w:val="19"/>
              </w:rPr>
              <w:t>33.6%</w:t>
            </w:r>
          </w:p>
        </w:tc>
      </w:tr>
      <w:tr>
        <w:tc>
          <w:tcPr>
            <w:tcW w:type="dxa" w:w="2436"/>
          </w:tcPr>
          <w:p>
            <w:r/>
            <w:r>
              <w:rPr>
                <w:color w:val="0B0B0B"/>
                <w:sz w:val="19"/>
              </w:rPr>
              <w:t>Jooble</w:t>
            </w:r>
          </w:p>
        </w:tc>
        <w:tc>
          <w:tcPr>
            <w:tcW w:type="dxa" w:w="2436"/>
          </w:tcPr>
          <w:p>
            <w:r/>
            <w:r>
              <w:rPr>
                <w:color w:val="0B0B0B"/>
                <w:sz w:val="19"/>
              </w:rPr>
              <w:t>2,973</w:t>
            </w:r>
          </w:p>
        </w:tc>
        <w:tc>
          <w:tcPr>
            <w:tcW w:type="dxa" w:w="2436"/>
          </w:tcPr>
          <w:p>
            <w:r/>
            <w:r>
              <w:rPr>
                <w:color w:val="0B0B0B"/>
                <w:sz w:val="19"/>
              </w:rPr>
              <w:t>3.5%</w:t>
            </w:r>
          </w:p>
        </w:tc>
        <w:tc>
          <w:tcPr>
            <w:tcW w:type="dxa" w:w="2436"/>
          </w:tcPr>
          <w:p>
            <w:r/>
            <w:r>
              <w:rPr>
                <w:color w:val="0B0B0B"/>
                <w:sz w:val="19"/>
              </w:rPr>
              <w:t>95.1%</w:t>
            </w:r>
          </w:p>
        </w:tc>
      </w:tr>
      <w:tr>
        <w:tc>
          <w:tcPr>
            <w:tcW w:type="dxa" w:w="2436"/>
            <w:shd w:val="clear" w:color="auto" w:fill="F2F6FC"/>
          </w:tcPr>
          <w:p>
            <w:r/>
            <w:r>
              <w:rPr>
                <w:color w:val="0B0B0B"/>
                <w:sz w:val="19"/>
              </w:rPr>
              <w:t>Himalayas</w:t>
            </w:r>
          </w:p>
        </w:tc>
        <w:tc>
          <w:tcPr>
            <w:tcW w:type="dxa" w:w="2436"/>
            <w:shd w:val="clear" w:color="auto" w:fill="F2F6FC"/>
          </w:tcPr>
          <w:p>
            <w:r/>
            <w:r>
              <w:rPr>
                <w:color w:val="0B0B0B"/>
                <w:sz w:val="19"/>
              </w:rPr>
              <w:t>2,964</w:t>
            </w:r>
          </w:p>
        </w:tc>
        <w:tc>
          <w:tcPr>
            <w:tcW w:type="dxa" w:w="2436"/>
            <w:shd w:val="clear" w:color="auto" w:fill="F2F6FC"/>
          </w:tcPr>
          <w:p>
            <w:r/>
            <w:r>
              <w:rPr>
                <w:color w:val="0B0B0B"/>
                <w:sz w:val="19"/>
              </w:rPr>
              <w:t>3.5%</w:t>
            </w:r>
          </w:p>
        </w:tc>
        <w:tc>
          <w:tcPr>
            <w:tcW w:type="dxa" w:w="2436"/>
            <w:shd w:val="clear" w:color="auto" w:fill="F2F6FC"/>
          </w:tcPr>
          <w:p>
            <w:r/>
            <w:r>
              <w:rPr>
                <w:color w:val="0B0B0B"/>
                <w:sz w:val="19"/>
              </w:rPr>
              <w:t>100.0%</w:t>
            </w:r>
          </w:p>
        </w:tc>
      </w:tr>
      <w:tr>
        <w:tc>
          <w:tcPr>
            <w:tcW w:type="dxa" w:w="2436"/>
          </w:tcPr>
          <w:p>
            <w:r/>
            <w:r>
              <w:rPr>
                <w:color w:val="0B0B0B"/>
                <w:sz w:val="19"/>
              </w:rPr>
              <w:t>Lever</w:t>
            </w:r>
          </w:p>
        </w:tc>
        <w:tc>
          <w:tcPr>
            <w:tcW w:type="dxa" w:w="2436"/>
          </w:tcPr>
          <w:p>
            <w:r/>
            <w:r>
              <w:rPr>
                <w:color w:val="0B0B0B"/>
                <w:sz w:val="19"/>
              </w:rPr>
              <w:t>2,653</w:t>
            </w:r>
          </w:p>
        </w:tc>
        <w:tc>
          <w:tcPr>
            <w:tcW w:type="dxa" w:w="2436"/>
          </w:tcPr>
          <w:p>
            <w:r/>
            <w:r>
              <w:rPr>
                <w:color w:val="0B0B0B"/>
                <w:sz w:val="19"/>
              </w:rPr>
              <w:t>3.2%</w:t>
            </w:r>
          </w:p>
        </w:tc>
        <w:tc>
          <w:tcPr>
            <w:tcW w:type="dxa" w:w="2436"/>
          </w:tcPr>
          <w:p>
            <w:r/>
            <w:r>
              <w:rPr>
                <w:color w:val="0B0B0B"/>
                <w:sz w:val="19"/>
              </w:rPr>
              <w:t>14.9%</w:t>
            </w:r>
          </w:p>
        </w:tc>
      </w:tr>
      <w:tr>
        <w:tc>
          <w:tcPr>
            <w:tcW w:type="dxa" w:w="2436"/>
            <w:shd w:val="clear" w:color="auto" w:fill="F2F6FC"/>
          </w:tcPr>
          <w:p>
            <w:r/>
            <w:r>
              <w:rPr>
                <w:color w:val="0B0B0B"/>
                <w:sz w:val="19"/>
              </w:rPr>
              <w:t>Ashby</w:t>
            </w:r>
          </w:p>
        </w:tc>
        <w:tc>
          <w:tcPr>
            <w:tcW w:type="dxa" w:w="2436"/>
            <w:shd w:val="clear" w:color="auto" w:fill="F2F6FC"/>
          </w:tcPr>
          <w:p>
            <w:r/>
            <w:r>
              <w:rPr>
                <w:color w:val="0B0B0B"/>
                <w:sz w:val="19"/>
              </w:rPr>
              <w:t>1,688</w:t>
            </w:r>
          </w:p>
        </w:tc>
        <w:tc>
          <w:tcPr>
            <w:tcW w:type="dxa" w:w="2436"/>
            <w:shd w:val="clear" w:color="auto" w:fill="F2F6FC"/>
          </w:tcPr>
          <w:p>
            <w:r/>
            <w:r>
              <w:rPr>
                <w:color w:val="0B0B0B"/>
                <w:sz w:val="19"/>
              </w:rPr>
              <w:t>2.0%</w:t>
            </w:r>
          </w:p>
        </w:tc>
        <w:tc>
          <w:tcPr>
            <w:tcW w:type="dxa" w:w="2436"/>
            <w:shd w:val="clear" w:color="auto" w:fill="F2F6FC"/>
          </w:tcPr>
          <w:p>
            <w:r/>
            <w:r>
              <w:rPr>
                <w:color w:val="0B0B0B"/>
                <w:sz w:val="19"/>
              </w:rPr>
              <w:t>32.6%</w:t>
            </w:r>
          </w:p>
        </w:tc>
      </w:tr>
      <w:tr>
        <w:tc>
          <w:tcPr>
            <w:tcW w:type="dxa" w:w="2436"/>
          </w:tcPr>
          <w:p>
            <w:r/>
            <w:r>
              <w:rPr>
                <w:color w:val="0B0B0B"/>
                <w:sz w:val="19"/>
              </w:rPr>
              <w:t>Adzuna</w:t>
            </w:r>
          </w:p>
        </w:tc>
        <w:tc>
          <w:tcPr>
            <w:tcW w:type="dxa" w:w="2436"/>
          </w:tcPr>
          <w:p>
            <w:r/>
            <w:r>
              <w:rPr>
                <w:color w:val="0B0B0B"/>
                <w:sz w:val="19"/>
              </w:rPr>
              <w:t>1,467</w:t>
            </w:r>
          </w:p>
        </w:tc>
        <w:tc>
          <w:tcPr>
            <w:tcW w:type="dxa" w:w="2436"/>
          </w:tcPr>
          <w:p>
            <w:r/>
            <w:r>
              <w:rPr>
                <w:color w:val="0B0B0B"/>
                <w:sz w:val="19"/>
              </w:rPr>
              <w:t>1.7%</w:t>
            </w:r>
          </w:p>
        </w:tc>
        <w:tc>
          <w:tcPr>
            <w:tcW w:type="dxa" w:w="2436"/>
          </w:tcPr>
          <w:p>
            <w:r/>
            <w:r>
              <w:rPr>
                <w:color w:val="0B0B0B"/>
                <w:sz w:val="19"/>
              </w:rPr>
              <w:t>73.3%</w:t>
            </w:r>
          </w:p>
        </w:tc>
      </w:tr>
      <w:tr>
        <w:tc>
          <w:tcPr>
            <w:tcW w:type="dxa" w:w="2436"/>
            <w:shd w:val="clear" w:color="auto" w:fill="F2F6FC"/>
          </w:tcPr>
          <w:p>
            <w:r/>
            <w:r>
              <w:rPr>
                <w:color w:val="0B0B0B"/>
                <w:sz w:val="19"/>
              </w:rPr>
              <w:t>Workable</w:t>
            </w:r>
          </w:p>
        </w:tc>
        <w:tc>
          <w:tcPr>
            <w:tcW w:type="dxa" w:w="2436"/>
            <w:shd w:val="clear" w:color="auto" w:fill="F2F6FC"/>
          </w:tcPr>
          <w:p>
            <w:r/>
            <w:r>
              <w:rPr>
                <w:color w:val="0B0B0B"/>
                <w:sz w:val="19"/>
              </w:rPr>
              <w:t>1,232</w:t>
            </w:r>
          </w:p>
        </w:tc>
        <w:tc>
          <w:tcPr>
            <w:tcW w:type="dxa" w:w="2436"/>
            <w:shd w:val="clear" w:color="auto" w:fill="F2F6FC"/>
          </w:tcPr>
          <w:p>
            <w:r/>
            <w:r>
              <w:rPr>
                <w:color w:val="0B0B0B"/>
                <w:sz w:val="19"/>
              </w:rPr>
              <w:t>1.5%</w:t>
            </w:r>
          </w:p>
        </w:tc>
        <w:tc>
          <w:tcPr>
            <w:tcW w:type="dxa" w:w="2436"/>
            <w:shd w:val="clear" w:color="auto" w:fill="F2F6FC"/>
          </w:tcPr>
          <w:p>
            <w:r/>
            <w:r>
              <w:rPr>
                <w:color w:val="0B0B0B"/>
                <w:sz w:val="19"/>
              </w:rPr>
              <w:t>29.6%</w:t>
            </w:r>
          </w:p>
        </w:tc>
      </w:tr>
      <w:tr>
        <w:tc>
          <w:tcPr>
            <w:tcW w:type="dxa" w:w="2436"/>
          </w:tcPr>
          <w:p>
            <w:r/>
            <w:r>
              <w:rPr>
                <w:color w:val="0B0B0B"/>
                <w:sz w:val="19"/>
              </w:rPr>
              <w:t>Arbeitnow</w:t>
            </w:r>
          </w:p>
        </w:tc>
        <w:tc>
          <w:tcPr>
            <w:tcW w:type="dxa" w:w="2436"/>
          </w:tcPr>
          <w:p>
            <w:r/>
            <w:r>
              <w:rPr>
                <w:color w:val="0B0B0B"/>
                <w:sz w:val="19"/>
              </w:rPr>
              <w:t>930</w:t>
            </w:r>
          </w:p>
        </w:tc>
        <w:tc>
          <w:tcPr>
            <w:tcW w:type="dxa" w:w="2436"/>
          </w:tcPr>
          <w:p>
            <w:r/>
            <w:r>
              <w:rPr>
                <w:color w:val="0B0B0B"/>
                <w:sz w:val="19"/>
              </w:rPr>
              <w:t>1.1%</w:t>
            </w:r>
          </w:p>
        </w:tc>
        <w:tc>
          <w:tcPr>
            <w:tcW w:type="dxa" w:w="2436"/>
          </w:tcPr>
          <w:p>
            <w:r/>
            <w:r>
              <w:rPr>
                <w:color w:val="0B0B0B"/>
                <w:sz w:val="19"/>
              </w:rPr>
              <w:t>100.0%</w:t>
            </w:r>
          </w:p>
        </w:tc>
      </w:tr>
      <w:tr>
        <w:tc>
          <w:tcPr>
            <w:tcW w:type="dxa" w:w="2436"/>
            <w:shd w:val="clear" w:color="auto" w:fill="F2F6FC"/>
          </w:tcPr>
          <w:p>
            <w:r/>
            <w:r>
              <w:rPr>
                <w:color w:val="0B0B0B"/>
                <w:sz w:val="19"/>
              </w:rPr>
              <w:t>The Muse</w:t>
            </w:r>
          </w:p>
        </w:tc>
        <w:tc>
          <w:tcPr>
            <w:tcW w:type="dxa" w:w="2436"/>
            <w:shd w:val="clear" w:color="auto" w:fill="F2F6FC"/>
          </w:tcPr>
          <w:p>
            <w:r/>
            <w:r>
              <w:rPr>
                <w:color w:val="0B0B0B"/>
                <w:sz w:val="19"/>
              </w:rPr>
              <w:t>615</w:t>
            </w:r>
          </w:p>
        </w:tc>
        <w:tc>
          <w:tcPr>
            <w:tcW w:type="dxa" w:w="2436"/>
            <w:shd w:val="clear" w:color="auto" w:fill="F2F6FC"/>
          </w:tcPr>
          <w:p>
            <w:r/>
            <w:r>
              <w:rPr>
                <w:color w:val="0B0B0B"/>
                <w:sz w:val="19"/>
              </w:rPr>
              <w:t>0.7%</w:t>
            </w:r>
          </w:p>
        </w:tc>
        <w:tc>
          <w:tcPr>
            <w:tcW w:type="dxa" w:w="2436"/>
            <w:shd w:val="clear" w:color="auto" w:fill="F2F6FC"/>
          </w:tcPr>
          <w:p>
            <w:r/>
            <w:r>
              <w:rPr>
                <w:color w:val="0B0B0B"/>
                <w:sz w:val="19"/>
              </w:rPr>
              <w:t>30.8%</w:t>
            </w:r>
          </w:p>
        </w:tc>
      </w:tr>
      <w:tr>
        <w:tc>
          <w:tcPr>
            <w:tcW w:type="dxa" w:w="2436"/>
          </w:tcPr>
          <w:p>
            <w:r/>
            <w:r>
              <w:rPr>
                <w:color w:val="0B0B0B"/>
                <w:sz w:val="19"/>
              </w:rPr>
              <w:t>Teamtailor</w:t>
            </w:r>
          </w:p>
        </w:tc>
        <w:tc>
          <w:tcPr>
            <w:tcW w:type="dxa" w:w="2436"/>
          </w:tcPr>
          <w:p>
            <w:r/>
            <w:r>
              <w:rPr>
                <w:color w:val="0B0B0B"/>
                <w:sz w:val="19"/>
              </w:rPr>
              <w:t>176</w:t>
            </w:r>
          </w:p>
        </w:tc>
        <w:tc>
          <w:tcPr>
            <w:tcW w:type="dxa" w:w="2436"/>
          </w:tcPr>
          <w:p>
            <w:r/>
            <w:r>
              <w:rPr>
                <w:color w:val="0B0B0B"/>
                <w:sz w:val="19"/>
              </w:rPr>
              <w:t>0.2%</w:t>
            </w:r>
          </w:p>
        </w:tc>
        <w:tc>
          <w:tcPr>
            <w:tcW w:type="dxa" w:w="2436"/>
          </w:tcPr>
          <w:p>
            <w:r/>
            <w:r>
              <w:rPr>
                <w:color w:val="0B0B0B"/>
                <w:sz w:val="19"/>
              </w:rPr>
              <w:t>38.6%</w:t>
            </w:r>
          </w:p>
        </w:tc>
      </w:tr>
      <w:tr>
        <w:tc>
          <w:tcPr>
            <w:tcW w:type="dxa" w:w="2436"/>
            <w:shd w:val="clear" w:color="auto" w:fill="F2F6FC"/>
          </w:tcPr>
          <w:p>
            <w:r/>
            <w:r>
              <w:rPr>
                <w:color w:val="0B0B0B"/>
                <w:sz w:val="19"/>
              </w:rPr>
              <w:t>Jobicy</w:t>
            </w:r>
          </w:p>
        </w:tc>
        <w:tc>
          <w:tcPr>
            <w:tcW w:type="dxa" w:w="2436"/>
            <w:shd w:val="clear" w:color="auto" w:fill="F2F6FC"/>
          </w:tcPr>
          <w:p>
            <w:r/>
            <w:r>
              <w:rPr>
                <w:color w:val="0B0B0B"/>
                <w:sz w:val="19"/>
              </w:rPr>
              <w:t>100</w:t>
            </w:r>
          </w:p>
        </w:tc>
        <w:tc>
          <w:tcPr>
            <w:tcW w:type="dxa" w:w="2436"/>
            <w:shd w:val="clear" w:color="auto" w:fill="F2F6FC"/>
          </w:tcPr>
          <w:p>
            <w:r/>
            <w:r>
              <w:rPr>
                <w:color w:val="0B0B0B"/>
                <w:sz w:val="19"/>
              </w:rPr>
              <w:t>0.1%</w:t>
            </w:r>
          </w:p>
        </w:tc>
        <w:tc>
          <w:tcPr>
            <w:tcW w:type="dxa" w:w="2436"/>
            <w:shd w:val="clear" w:color="auto" w:fill="F2F6FC"/>
          </w:tcPr>
          <w:p>
            <w:r/>
            <w:r>
              <w:rPr>
                <w:color w:val="0B0B0B"/>
                <w:sz w:val="19"/>
              </w:rPr>
              <w:t>100.0%</w:t>
            </w:r>
          </w:p>
        </w:tc>
      </w:tr>
      <w:tr>
        <w:tc>
          <w:tcPr>
            <w:tcW w:type="dxa" w:w="2436"/>
          </w:tcPr>
          <w:p>
            <w:r/>
            <w:r>
              <w:rPr>
                <w:color w:val="0B0B0B"/>
                <w:sz w:val="19"/>
              </w:rPr>
              <w:t>RemoteOK</w:t>
            </w:r>
          </w:p>
        </w:tc>
        <w:tc>
          <w:tcPr>
            <w:tcW w:type="dxa" w:w="2436"/>
          </w:tcPr>
          <w:p>
            <w:r/>
            <w:r>
              <w:rPr>
                <w:color w:val="0B0B0B"/>
                <w:sz w:val="19"/>
              </w:rPr>
              <w:t>100</w:t>
            </w:r>
          </w:p>
        </w:tc>
        <w:tc>
          <w:tcPr>
            <w:tcW w:type="dxa" w:w="2436"/>
          </w:tcPr>
          <w:p>
            <w:r/>
            <w:r>
              <w:rPr>
                <w:color w:val="0B0B0B"/>
                <w:sz w:val="19"/>
              </w:rPr>
              <w:t>0.1%</w:t>
            </w:r>
          </w:p>
        </w:tc>
        <w:tc>
          <w:tcPr>
            <w:tcW w:type="dxa" w:w="2436"/>
          </w:tcPr>
          <w:p>
            <w:r/>
            <w:r>
              <w:rPr>
                <w:color w:val="0B0B0B"/>
                <w:sz w:val="19"/>
              </w:rPr>
              <w:t>100.0%</w:t>
            </w:r>
          </w:p>
        </w:tc>
      </w:tr>
    </w:tbl>
    <w:p>
      <w:pPr>
        <w:spacing w:after="80"/>
      </w:pPr>
    </w:p>
    <w:p>
      <w:pPr>
        <w:jc w:val="center"/>
      </w:pPr>
      <w:r>
        <w:drawing>
          <wp:inline xmlns:a="http://schemas.openxmlformats.org/drawingml/2006/main" xmlns:pic="http://schemas.openxmlformats.org/drawingml/2006/picture">
            <wp:extent cx="5760720" cy="4620152"/>
            <wp:docPr id="11" name="Picture 11"/>
            <wp:cNvGraphicFramePr>
              <a:graphicFrameLocks noChangeAspect="1"/>
            </wp:cNvGraphicFramePr>
            <a:graphic>
              <a:graphicData uri="http://schemas.openxmlformats.org/drawingml/2006/picture">
                <pic:pic>
                  <pic:nvPicPr>
                    <pic:cNvPr id="0" name="recent_provider_distribution.png"/>
                    <pic:cNvPicPr/>
                  </pic:nvPicPr>
                  <pic:blipFill>
                    <a:blip r:embed="rId20"/>
                    <a:stretch>
                      <a:fillRect/>
                    </a:stretch>
                  </pic:blipFill>
                  <pic:spPr>
                    <a:xfrm>
                      <a:off x="0" y="0"/>
                      <a:ext cx="5760720" cy="4620152"/>
                    </a:xfrm>
                    <a:prstGeom prst="rect"/>
                  </pic:spPr>
                </pic:pic>
              </a:graphicData>
            </a:graphic>
          </wp:inline>
        </w:drawing>
      </w:r>
    </w:p>
    <w:p>
      <w:pPr>
        <w:spacing w:after="240"/>
        <w:jc w:val="center"/>
      </w:pPr>
      <w:r>
        <w:rPr>
          <w:i/>
          <w:color w:val="52514E"/>
          <w:sz w:val="18"/>
        </w:rPr>
        <w:t>Figure 11. Recent jobs by provider (posted within 30 days).</w:t>
      </w:r>
    </w:p>
    <w:p>
      <w:pPr>
        <w:spacing w:after="160"/>
      </w:pPr>
      <w:r>
        <w:t>By share of recent volume, SmartRecruiters (43.4%), Reed (10.3%), and Bundesagentur (9.3%) contribute the most fresh jobs in absolute terms. By freshness rate — the share of a provider's own total inventory that is recent, a more diagnostic metric — five providers are effectively 100% fresh: Bundesagentur, Himalayas, Arbeitnow, RemoteOK, and Jobicy, each a newest-first or short-window API by construction. Reed (96.2%) and Jooble (95.1%) are also excellent. Lever (14.9%), Workable (29.6%), The Muse (30.8%), Ashby (32.6%), and Greenhouse (33.6%) have the lowest freshness rates — consistent with ATS boards returning every open requisition regardless of age.</w:t>
      </w:r>
    </w:p>
    <w:p>
      <w:pPr>
        <w:spacing w:before="200" w:after="120"/>
      </w:pPr>
      <w:r>
        <w:rPr>
          <w:b/>
          <w:color w:val="0B0B0B"/>
          <w:sz w:val="26"/>
        </w:rPr>
        <w:t>4. Recent Jobs by Company</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c>
          <w:tcPr>
            <w:tcW w:type="dxa" w:w="2436"/>
            <w:shd w:val="clear" w:color="auto" w:fill="2A78D6"/>
          </w:tcPr>
          <w:p>
            <w:r/>
            <w:r>
              <w:rPr>
                <w:b/>
                <w:color w:val="FFFFFF"/>
                <w:sz w:val="19"/>
              </w:rPr>
              <w:t>Rank</w:t>
            </w:r>
          </w:p>
        </w:tc>
        <w:tc>
          <w:tcPr>
            <w:tcW w:type="dxa" w:w="2436"/>
            <w:shd w:val="clear" w:color="auto" w:fill="2A78D6"/>
          </w:tcPr>
          <w:p>
            <w:r/>
            <w:r>
              <w:rPr>
                <w:b/>
                <w:color w:val="FFFFFF"/>
                <w:sz w:val="19"/>
              </w:rPr>
              <w:t>Company</w:t>
            </w:r>
          </w:p>
        </w:tc>
        <w:tc>
          <w:tcPr>
            <w:tcW w:type="dxa" w:w="2436"/>
            <w:shd w:val="clear" w:color="auto" w:fill="2A78D6"/>
          </w:tcPr>
          <w:p>
            <w:r/>
            <w:r>
              <w:rPr>
                <w:b/>
                <w:color w:val="FFFFFF"/>
                <w:sz w:val="19"/>
              </w:rPr>
              <w:t>Recent Jobs</w:t>
            </w:r>
          </w:p>
        </w:tc>
        <w:tc>
          <w:tcPr>
            <w:tcW w:type="dxa" w:w="2436"/>
            <w:shd w:val="clear" w:color="auto" w:fill="2A78D6"/>
          </w:tcPr>
          <w:p>
            <w:r/>
            <w:r>
              <w:rPr>
                <w:b/>
                <w:color w:val="FFFFFF"/>
                <w:sz w:val="19"/>
              </w:rPr>
              <w:t>% of recent</w:t>
            </w:r>
          </w:p>
        </w:tc>
      </w:tr>
      <w:tr>
        <w:tc>
          <w:tcPr>
            <w:tcW w:type="dxa" w:w="2436"/>
          </w:tcPr>
          <w:p>
            <w:r/>
            <w:r>
              <w:rPr>
                <w:color w:val="0B0B0B"/>
                <w:sz w:val="19"/>
              </w:rPr>
              <w:t>1</w:t>
            </w:r>
          </w:p>
        </w:tc>
        <w:tc>
          <w:tcPr>
            <w:tcW w:type="dxa" w:w="2436"/>
          </w:tcPr>
          <w:p>
            <w:r/>
            <w:r>
              <w:rPr>
                <w:color w:val="0B0B0B"/>
                <w:sz w:val="19"/>
              </w:rPr>
              <w:t>Domino's</w:t>
            </w:r>
          </w:p>
        </w:tc>
        <w:tc>
          <w:tcPr>
            <w:tcW w:type="dxa" w:w="2436"/>
          </w:tcPr>
          <w:p>
            <w:r/>
            <w:r>
              <w:rPr>
                <w:color w:val="0B0B0B"/>
                <w:sz w:val="19"/>
              </w:rPr>
              <w:t>20,620</w:t>
            </w:r>
          </w:p>
        </w:tc>
        <w:tc>
          <w:tcPr>
            <w:tcW w:type="dxa" w:w="2436"/>
          </w:tcPr>
          <w:p>
            <w:r/>
            <w:r>
              <w:rPr>
                <w:color w:val="0B0B0B"/>
                <w:sz w:val="19"/>
              </w:rPr>
              <w:t>24.5%</w:t>
            </w:r>
          </w:p>
        </w:tc>
      </w:tr>
      <w:tr>
        <w:tc>
          <w:tcPr>
            <w:tcW w:type="dxa" w:w="2436"/>
            <w:shd w:val="clear" w:color="auto" w:fill="F2F6FC"/>
          </w:tcPr>
          <w:p>
            <w:r/>
            <w:r>
              <w:rPr>
                <w:color w:val="0B0B0B"/>
                <w:sz w:val="19"/>
              </w:rPr>
              <w:t>2</w:t>
            </w:r>
          </w:p>
        </w:tc>
        <w:tc>
          <w:tcPr>
            <w:tcW w:type="dxa" w:w="2436"/>
            <w:shd w:val="clear" w:color="auto" w:fill="F2F6FC"/>
          </w:tcPr>
          <w:p>
            <w:r/>
            <w:r>
              <w:rPr>
                <w:color w:val="0B0B0B"/>
                <w:sz w:val="19"/>
              </w:rPr>
              <w:t>AccorHotel</w:t>
            </w:r>
          </w:p>
        </w:tc>
        <w:tc>
          <w:tcPr>
            <w:tcW w:type="dxa" w:w="2436"/>
            <w:shd w:val="clear" w:color="auto" w:fill="F2F6FC"/>
          </w:tcPr>
          <w:p>
            <w:r/>
            <w:r>
              <w:rPr>
                <w:color w:val="0B0B0B"/>
                <w:sz w:val="19"/>
              </w:rPr>
              <w:t>3,397</w:t>
            </w:r>
          </w:p>
        </w:tc>
        <w:tc>
          <w:tcPr>
            <w:tcW w:type="dxa" w:w="2436"/>
            <w:shd w:val="clear" w:color="auto" w:fill="F2F6FC"/>
          </w:tcPr>
          <w:p>
            <w:r/>
            <w:r>
              <w:rPr>
                <w:color w:val="0B0B0B"/>
                <w:sz w:val="19"/>
              </w:rPr>
              <w:t>4.0%</w:t>
            </w:r>
          </w:p>
        </w:tc>
      </w:tr>
      <w:tr>
        <w:tc>
          <w:tcPr>
            <w:tcW w:type="dxa" w:w="2436"/>
          </w:tcPr>
          <w:p>
            <w:r/>
            <w:r>
              <w:rPr>
                <w:color w:val="0B0B0B"/>
                <w:sz w:val="19"/>
              </w:rPr>
              <w:t>3</w:t>
            </w:r>
          </w:p>
        </w:tc>
        <w:tc>
          <w:tcPr>
            <w:tcW w:type="dxa" w:w="2436"/>
          </w:tcPr>
          <w:p>
            <w:r/>
            <w:r>
              <w:rPr>
                <w:color w:val="0B0B0B"/>
                <w:sz w:val="19"/>
              </w:rPr>
              <w:t>AECOM</w:t>
            </w:r>
          </w:p>
        </w:tc>
        <w:tc>
          <w:tcPr>
            <w:tcW w:type="dxa" w:w="2436"/>
          </w:tcPr>
          <w:p>
            <w:r/>
            <w:r>
              <w:rPr>
                <w:color w:val="0B0B0B"/>
                <w:sz w:val="19"/>
              </w:rPr>
              <w:t>2,297</w:t>
            </w:r>
          </w:p>
        </w:tc>
        <w:tc>
          <w:tcPr>
            <w:tcW w:type="dxa" w:w="2436"/>
          </w:tcPr>
          <w:p>
            <w:r/>
            <w:r>
              <w:rPr>
                <w:color w:val="0B0B0B"/>
                <w:sz w:val="19"/>
              </w:rPr>
              <w:t>2.7%</w:t>
            </w:r>
          </w:p>
        </w:tc>
      </w:tr>
      <w:tr>
        <w:tc>
          <w:tcPr>
            <w:tcW w:type="dxa" w:w="2436"/>
            <w:shd w:val="clear" w:color="auto" w:fill="F2F6FC"/>
          </w:tcPr>
          <w:p>
            <w:r/>
            <w:r>
              <w:rPr>
                <w:color w:val="0B0B0B"/>
                <w:sz w:val="19"/>
              </w:rPr>
              <w:t>4</w:t>
            </w:r>
          </w:p>
        </w:tc>
        <w:tc>
          <w:tcPr>
            <w:tcW w:type="dxa" w:w="2436"/>
            <w:shd w:val="clear" w:color="auto" w:fill="F2F6FC"/>
          </w:tcPr>
          <w:p>
            <w:r/>
            <w:r>
              <w:rPr>
                <w:color w:val="0B0B0B"/>
                <w:sz w:val="19"/>
              </w:rPr>
              <w:t>Bosch Group</w:t>
            </w:r>
          </w:p>
        </w:tc>
        <w:tc>
          <w:tcPr>
            <w:tcW w:type="dxa" w:w="2436"/>
            <w:shd w:val="clear" w:color="auto" w:fill="F2F6FC"/>
          </w:tcPr>
          <w:p>
            <w:r/>
            <w:r>
              <w:rPr>
                <w:color w:val="0B0B0B"/>
                <w:sz w:val="19"/>
              </w:rPr>
              <w:t>1,900</w:t>
            </w:r>
          </w:p>
        </w:tc>
        <w:tc>
          <w:tcPr>
            <w:tcW w:type="dxa" w:w="2436"/>
            <w:shd w:val="clear" w:color="auto" w:fill="F2F6FC"/>
          </w:tcPr>
          <w:p>
            <w:r/>
            <w:r>
              <w:rPr>
                <w:color w:val="0B0B0B"/>
                <w:sz w:val="19"/>
              </w:rPr>
              <w:t>2.3%</w:t>
            </w:r>
          </w:p>
        </w:tc>
      </w:tr>
      <w:tr>
        <w:tc>
          <w:tcPr>
            <w:tcW w:type="dxa" w:w="2436"/>
          </w:tcPr>
          <w:p>
            <w:r/>
            <w:r>
              <w:rPr>
                <w:color w:val="0B0B0B"/>
                <w:sz w:val="19"/>
              </w:rPr>
              <w:t>5</w:t>
            </w:r>
          </w:p>
        </w:tc>
        <w:tc>
          <w:tcPr>
            <w:tcW w:type="dxa" w:w="2436"/>
          </w:tcPr>
          <w:p>
            <w:r/>
            <w:r>
              <w:rPr>
                <w:color w:val="0B0B0B"/>
                <w:sz w:val="19"/>
              </w:rPr>
              <w:t>Veterans Health Administration</w:t>
            </w:r>
          </w:p>
        </w:tc>
        <w:tc>
          <w:tcPr>
            <w:tcW w:type="dxa" w:w="2436"/>
          </w:tcPr>
          <w:p>
            <w:r/>
            <w:r>
              <w:rPr>
                <w:color w:val="0B0B0B"/>
                <w:sz w:val="19"/>
              </w:rPr>
              <w:t>1,675</w:t>
            </w:r>
          </w:p>
        </w:tc>
        <w:tc>
          <w:tcPr>
            <w:tcW w:type="dxa" w:w="2436"/>
          </w:tcPr>
          <w:p>
            <w:r/>
            <w:r>
              <w:rPr>
                <w:color w:val="0B0B0B"/>
                <w:sz w:val="19"/>
              </w:rPr>
              <w:t>2.0%</w:t>
            </w:r>
          </w:p>
        </w:tc>
      </w:tr>
      <w:tr>
        <w:tc>
          <w:tcPr>
            <w:tcW w:type="dxa" w:w="2436"/>
            <w:shd w:val="clear" w:color="auto" w:fill="F2F6FC"/>
          </w:tcPr>
          <w:p>
            <w:r/>
            <w:r>
              <w:rPr>
                <w:color w:val="0B0B0B"/>
                <w:sz w:val="19"/>
              </w:rPr>
              <w:t>6</w:t>
            </w:r>
          </w:p>
        </w:tc>
        <w:tc>
          <w:tcPr>
            <w:tcW w:type="dxa" w:w="2436"/>
            <w:shd w:val="clear" w:color="auto" w:fill="F2F6FC"/>
          </w:tcPr>
          <w:p>
            <w:r/>
            <w:r>
              <w:rPr>
                <w:color w:val="0B0B0B"/>
                <w:sz w:val="19"/>
              </w:rPr>
              <w:t>Anduril Industries</w:t>
            </w:r>
          </w:p>
        </w:tc>
        <w:tc>
          <w:tcPr>
            <w:tcW w:type="dxa" w:w="2436"/>
            <w:shd w:val="clear" w:color="auto" w:fill="F2F6FC"/>
          </w:tcPr>
          <w:p>
            <w:r/>
            <w:r>
              <w:rPr>
                <w:color w:val="0B0B0B"/>
                <w:sz w:val="19"/>
              </w:rPr>
              <w:t>817</w:t>
            </w:r>
          </w:p>
        </w:tc>
        <w:tc>
          <w:tcPr>
            <w:tcW w:type="dxa" w:w="2436"/>
            <w:shd w:val="clear" w:color="auto" w:fill="F2F6FC"/>
          </w:tcPr>
          <w:p>
            <w:r/>
            <w:r>
              <w:rPr>
                <w:color w:val="0B0B0B"/>
                <w:sz w:val="19"/>
              </w:rPr>
              <w:t>1.0%</w:t>
            </w:r>
          </w:p>
        </w:tc>
      </w:tr>
      <w:tr>
        <w:tc>
          <w:tcPr>
            <w:tcW w:type="dxa" w:w="2436"/>
          </w:tcPr>
          <w:p>
            <w:r/>
            <w:r>
              <w:rPr>
                <w:color w:val="0B0B0B"/>
                <w:sz w:val="19"/>
              </w:rPr>
              <w:t>7</w:t>
            </w:r>
          </w:p>
        </w:tc>
        <w:tc>
          <w:tcPr>
            <w:tcW w:type="dxa" w:w="2436"/>
          </w:tcPr>
          <w:p>
            <w:r/>
            <w:r>
              <w:rPr>
                <w:color w:val="0B0B0B"/>
                <w:sz w:val="19"/>
              </w:rPr>
              <w:t>Northwestern Memorial Healthcare</w:t>
            </w:r>
          </w:p>
        </w:tc>
        <w:tc>
          <w:tcPr>
            <w:tcW w:type="dxa" w:w="2436"/>
          </w:tcPr>
          <w:p>
            <w:r/>
            <w:r>
              <w:rPr>
                <w:color w:val="0B0B0B"/>
                <w:sz w:val="19"/>
              </w:rPr>
              <w:t>751</w:t>
            </w:r>
          </w:p>
        </w:tc>
        <w:tc>
          <w:tcPr>
            <w:tcW w:type="dxa" w:w="2436"/>
          </w:tcPr>
          <w:p>
            <w:r/>
            <w:r>
              <w:rPr>
                <w:color w:val="0B0B0B"/>
                <w:sz w:val="19"/>
              </w:rPr>
              <w:t>0.9%</w:t>
            </w:r>
          </w:p>
        </w:tc>
      </w:tr>
      <w:tr>
        <w:tc>
          <w:tcPr>
            <w:tcW w:type="dxa" w:w="2436"/>
            <w:shd w:val="clear" w:color="auto" w:fill="F2F6FC"/>
          </w:tcPr>
          <w:p>
            <w:r/>
            <w:r>
              <w:rPr>
                <w:color w:val="0B0B0B"/>
                <w:sz w:val="19"/>
              </w:rPr>
              <w:t>8</w:t>
            </w:r>
          </w:p>
        </w:tc>
        <w:tc>
          <w:tcPr>
            <w:tcW w:type="dxa" w:w="2436"/>
            <w:shd w:val="clear" w:color="auto" w:fill="F2F6FC"/>
          </w:tcPr>
          <w:p>
            <w:r/>
            <w:r>
              <w:rPr>
                <w:color w:val="0B0B0B"/>
                <w:sz w:val="19"/>
              </w:rPr>
              <w:t>Reed</w:t>
            </w:r>
          </w:p>
        </w:tc>
        <w:tc>
          <w:tcPr>
            <w:tcW w:type="dxa" w:w="2436"/>
            <w:shd w:val="clear" w:color="auto" w:fill="F2F6FC"/>
          </w:tcPr>
          <w:p>
            <w:r/>
            <w:r>
              <w:rPr>
                <w:color w:val="0B0B0B"/>
                <w:sz w:val="19"/>
              </w:rPr>
              <w:t>689</w:t>
            </w:r>
          </w:p>
        </w:tc>
        <w:tc>
          <w:tcPr>
            <w:tcW w:type="dxa" w:w="2436"/>
            <w:shd w:val="clear" w:color="auto" w:fill="F2F6FC"/>
          </w:tcPr>
          <w:p>
            <w:r/>
            <w:r>
              <w:rPr>
                <w:color w:val="0B0B0B"/>
                <w:sz w:val="19"/>
              </w:rPr>
              <w:t>0.8%</w:t>
            </w:r>
          </w:p>
        </w:tc>
      </w:tr>
      <w:tr>
        <w:tc>
          <w:tcPr>
            <w:tcW w:type="dxa" w:w="2436"/>
          </w:tcPr>
          <w:p>
            <w:r/>
            <w:r>
              <w:rPr>
                <w:color w:val="0B0B0B"/>
                <w:sz w:val="19"/>
              </w:rPr>
              <w:t>9</w:t>
            </w:r>
          </w:p>
        </w:tc>
        <w:tc>
          <w:tcPr>
            <w:tcW w:type="dxa" w:w="2436"/>
          </w:tcPr>
          <w:p>
            <w:r/>
            <w:r>
              <w:rPr>
                <w:color w:val="0B0B0B"/>
                <w:sz w:val="19"/>
              </w:rPr>
              <w:t>SpaceX</w:t>
            </w:r>
          </w:p>
        </w:tc>
        <w:tc>
          <w:tcPr>
            <w:tcW w:type="dxa" w:w="2436"/>
          </w:tcPr>
          <w:p>
            <w:r/>
            <w:r>
              <w:rPr>
                <w:color w:val="0B0B0B"/>
                <w:sz w:val="19"/>
              </w:rPr>
              <w:t>681</w:t>
            </w:r>
          </w:p>
        </w:tc>
        <w:tc>
          <w:tcPr>
            <w:tcW w:type="dxa" w:w="2436"/>
          </w:tcPr>
          <w:p>
            <w:r/>
            <w:r>
              <w:rPr>
                <w:color w:val="0B0B0B"/>
                <w:sz w:val="19"/>
              </w:rPr>
              <w:t>0.8%</w:t>
            </w:r>
          </w:p>
        </w:tc>
      </w:tr>
      <w:tr>
        <w:tc>
          <w:tcPr>
            <w:tcW w:type="dxa" w:w="2436"/>
            <w:shd w:val="clear" w:color="auto" w:fill="F2F6FC"/>
          </w:tcPr>
          <w:p>
            <w:r/>
            <w:r>
              <w:rPr>
                <w:color w:val="0B0B0B"/>
                <w:sz w:val="19"/>
              </w:rPr>
              <w:t>10</w:t>
            </w:r>
          </w:p>
        </w:tc>
        <w:tc>
          <w:tcPr>
            <w:tcW w:type="dxa" w:w="2436"/>
            <w:shd w:val="clear" w:color="auto" w:fill="F2F6FC"/>
          </w:tcPr>
          <w:p>
            <w:r/>
            <w:r>
              <w:rPr>
                <w:color w:val="0B0B0B"/>
                <w:sz w:val="19"/>
              </w:rPr>
              <w:t>Delivery Hero</w:t>
            </w:r>
          </w:p>
        </w:tc>
        <w:tc>
          <w:tcPr>
            <w:tcW w:type="dxa" w:w="2436"/>
            <w:shd w:val="clear" w:color="auto" w:fill="F2F6FC"/>
          </w:tcPr>
          <w:p>
            <w:r/>
            <w:r>
              <w:rPr>
                <w:color w:val="0B0B0B"/>
                <w:sz w:val="19"/>
              </w:rPr>
              <w:t>599</w:t>
            </w:r>
          </w:p>
        </w:tc>
        <w:tc>
          <w:tcPr>
            <w:tcW w:type="dxa" w:w="2436"/>
            <w:shd w:val="clear" w:color="auto" w:fill="F2F6FC"/>
          </w:tcPr>
          <w:p>
            <w:r/>
            <w:r>
              <w:rPr>
                <w:color w:val="0B0B0B"/>
                <w:sz w:val="19"/>
              </w:rPr>
              <w:t>0.7%</w:t>
            </w:r>
          </w:p>
        </w:tc>
      </w:tr>
      <w:tr>
        <w:tc>
          <w:tcPr>
            <w:tcW w:type="dxa" w:w="2436"/>
          </w:tcPr>
          <w:p>
            <w:r/>
            <w:r>
              <w:rPr>
                <w:color w:val="0B0B0B"/>
                <w:sz w:val="19"/>
              </w:rPr>
              <w:t>11</w:t>
            </w:r>
          </w:p>
        </w:tc>
        <w:tc>
          <w:tcPr>
            <w:tcW w:type="dxa" w:w="2436"/>
          </w:tcPr>
          <w:p>
            <w:r/>
            <w:r>
              <w:rPr>
                <w:color w:val="0B0B0B"/>
                <w:sz w:val="19"/>
              </w:rPr>
              <w:t>eFinancialCareers</w:t>
            </w:r>
          </w:p>
        </w:tc>
        <w:tc>
          <w:tcPr>
            <w:tcW w:type="dxa" w:w="2436"/>
          </w:tcPr>
          <w:p>
            <w:r/>
            <w:r>
              <w:rPr>
                <w:color w:val="0B0B0B"/>
                <w:sz w:val="19"/>
              </w:rPr>
              <w:t>514</w:t>
            </w:r>
          </w:p>
        </w:tc>
        <w:tc>
          <w:tcPr>
            <w:tcW w:type="dxa" w:w="2436"/>
          </w:tcPr>
          <w:p>
            <w:r/>
            <w:r>
              <w:rPr>
                <w:color w:val="0B0B0B"/>
                <w:sz w:val="19"/>
              </w:rPr>
              <w:t>0.6%</w:t>
            </w:r>
          </w:p>
        </w:tc>
      </w:tr>
      <w:tr>
        <w:tc>
          <w:tcPr>
            <w:tcW w:type="dxa" w:w="2436"/>
            <w:shd w:val="clear" w:color="auto" w:fill="F2F6FC"/>
          </w:tcPr>
          <w:p>
            <w:r/>
            <w:r>
              <w:rPr>
                <w:color w:val="0B0B0B"/>
                <w:sz w:val="19"/>
              </w:rPr>
              <w:t>12</w:t>
            </w:r>
          </w:p>
        </w:tc>
        <w:tc>
          <w:tcPr>
            <w:tcW w:type="dxa" w:w="2436"/>
            <w:shd w:val="clear" w:color="auto" w:fill="F2F6FC"/>
          </w:tcPr>
          <w:p>
            <w:r/>
            <w:r>
              <w:rPr>
                <w:color w:val="0B0B0B"/>
                <w:sz w:val="19"/>
              </w:rPr>
              <w:t>Primark</w:t>
            </w:r>
          </w:p>
        </w:tc>
        <w:tc>
          <w:tcPr>
            <w:tcW w:type="dxa" w:w="2436"/>
            <w:shd w:val="clear" w:color="auto" w:fill="F2F6FC"/>
          </w:tcPr>
          <w:p>
            <w:r/>
            <w:r>
              <w:rPr>
                <w:color w:val="0B0B0B"/>
                <w:sz w:val="19"/>
              </w:rPr>
              <w:t>454</w:t>
            </w:r>
          </w:p>
        </w:tc>
        <w:tc>
          <w:tcPr>
            <w:tcW w:type="dxa" w:w="2436"/>
            <w:shd w:val="clear" w:color="auto" w:fill="F2F6FC"/>
          </w:tcPr>
          <w:p>
            <w:r/>
            <w:r>
              <w:rPr>
                <w:color w:val="0B0B0B"/>
                <w:sz w:val="19"/>
              </w:rPr>
              <w:t>0.5%</w:t>
            </w:r>
          </w:p>
        </w:tc>
      </w:tr>
      <w:tr>
        <w:tc>
          <w:tcPr>
            <w:tcW w:type="dxa" w:w="2436"/>
          </w:tcPr>
          <w:p>
            <w:r/>
            <w:r>
              <w:rPr>
                <w:color w:val="0B0B0B"/>
                <w:sz w:val="19"/>
              </w:rPr>
              <w:t>13</w:t>
            </w:r>
          </w:p>
        </w:tc>
        <w:tc>
          <w:tcPr>
            <w:tcW w:type="dxa" w:w="2436"/>
          </w:tcPr>
          <w:p>
            <w:r/>
            <w:r>
              <w:rPr>
                <w:color w:val="0B0B0B"/>
                <w:sz w:val="19"/>
              </w:rPr>
              <w:t>ASSYSTEM</w:t>
            </w:r>
          </w:p>
        </w:tc>
        <w:tc>
          <w:tcPr>
            <w:tcW w:type="dxa" w:w="2436"/>
          </w:tcPr>
          <w:p>
            <w:r/>
            <w:r>
              <w:rPr>
                <w:color w:val="0B0B0B"/>
                <w:sz w:val="19"/>
              </w:rPr>
              <w:t>417</w:t>
            </w:r>
          </w:p>
        </w:tc>
        <w:tc>
          <w:tcPr>
            <w:tcW w:type="dxa" w:w="2436"/>
          </w:tcPr>
          <w:p>
            <w:r/>
            <w:r>
              <w:rPr>
                <w:color w:val="0B0B0B"/>
                <w:sz w:val="19"/>
              </w:rPr>
              <w:t>0.5%</w:t>
            </w:r>
          </w:p>
        </w:tc>
      </w:tr>
      <w:tr>
        <w:tc>
          <w:tcPr>
            <w:tcW w:type="dxa" w:w="2436"/>
            <w:shd w:val="clear" w:color="auto" w:fill="F2F6FC"/>
          </w:tcPr>
          <w:p>
            <w:r/>
            <w:r>
              <w:rPr>
                <w:color w:val="0B0B0B"/>
                <w:sz w:val="19"/>
              </w:rPr>
              <w:t>14</w:t>
            </w:r>
          </w:p>
        </w:tc>
        <w:tc>
          <w:tcPr>
            <w:tcW w:type="dxa" w:w="2436"/>
            <w:shd w:val="clear" w:color="auto" w:fill="F2F6FC"/>
          </w:tcPr>
          <w:p>
            <w:r/>
            <w:r>
              <w:rPr>
                <w:color w:val="0B0B0B"/>
                <w:sz w:val="19"/>
              </w:rPr>
              <w:t>Tesco</w:t>
            </w:r>
          </w:p>
        </w:tc>
        <w:tc>
          <w:tcPr>
            <w:tcW w:type="dxa" w:w="2436"/>
            <w:shd w:val="clear" w:color="auto" w:fill="F2F6FC"/>
          </w:tcPr>
          <w:p>
            <w:r/>
            <w:r>
              <w:rPr>
                <w:color w:val="0B0B0B"/>
                <w:sz w:val="19"/>
              </w:rPr>
              <w:t>396</w:t>
            </w:r>
          </w:p>
        </w:tc>
        <w:tc>
          <w:tcPr>
            <w:tcW w:type="dxa" w:w="2436"/>
            <w:shd w:val="clear" w:color="auto" w:fill="F2F6FC"/>
          </w:tcPr>
          <w:p>
            <w:r/>
            <w:r>
              <w:rPr>
                <w:color w:val="0B0B0B"/>
                <w:sz w:val="19"/>
              </w:rPr>
              <w:t>0.5%</w:t>
            </w:r>
          </w:p>
        </w:tc>
      </w:tr>
      <w:tr>
        <w:tc>
          <w:tcPr>
            <w:tcW w:type="dxa" w:w="2436"/>
          </w:tcPr>
          <w:p>
            <w:r/>
            <w:r>
              <w:rPr>
                <w:color w:val="0B0B0B"/>
                <w:sz w:val="19"/>
              </w:rPr>
              <w:t>15</w:t>
            </w:r>
          </w:p>
        </w:tc>
        <w:tc>
          <w:tcPr>
            <w:tcW w:type="dxa" w:w="2436"/>
          </w:tcPr>
          <w:p>
            <w:r/>
            <w:r>
              <w:rPr>
                <w:color w:val="0B0B0B"/>
                <w:sz w:val="19"/>
              </w:rPr>
              <w:t>AUREA GmbH</w:t>
            </w:r>
          </w:p>
        </w:tc>
        <w:tc>
          <w:tcPr>
            <w:tcW w:type="dxa" w:w="2436"/>
          </w:tcPr>
          <w:p>
            <w:r/>
            <w:r>
              <w:rPr>
                <w:color w:val="0B0B0B"/>
                <w:sz w:val="19"/>
              </w:rPr>
              <w:t>341</w:t>
            </w:r>
          </w:p>
        </w:tc>
        <w:tc>
          <w:tcPr>
            <w:tcW w:type="dxa" w:w="2436"/>
          </w:tcPr>
          <w:p>
            <w:r/>
            <w:r>
              <w:rPr>
                <w:color w:val="0B0B0B"/>
                <w:sz w:val="19"/>
              </w:rPr>
              <w:t>0.4%</w:t>
            </w:r>
          </w:p>
        </w:tc>
      </w:tr>
      <w:tr>
        <w:tc>
          <w:tcPr>
            <w:tcW w:type="dxa" w:w="2436"/>
            <w:shd w:val="clear" w:color="auto" w:fill="F2F6FC"/>
          </w:tcPr>
          <w:p>
            <w:r/>
            <w:r>
              <w:rPr>
                <w:color w:val="0B0B0B"/>
                <w:sz w:val="19"/>
              </w:rPr>
              <w:t>16</w:t>
            </w:r>
          </w:p>
        </w:tc>
        <w:tc>
          <w:tcPr>
            <w:tcW w:type="dxa" w:w="2436"/>
            <w:shd w:val="clear" w:color="auto" w:fill="F2F6FC"/>
          </w:tcPr>
          <w:p>
            <w:r/>
            <w:r>
              <w:rPr>
                <w:color w:val="0B0B0B"/>
                <w:sz w:val="19"/>
              </w:rPr>
              <w:t>Boyd Gaming</w:t>
            </w:r>
          </w:p>
        </w:tc>
        <w:tc>
          <w:tcPr>
            <w:tcW w:type="dxa" w:w="2436"/>
            <w:shd w:val="clear" w:color="auto" w:fill="F2F6FC"/>
          </w:tcPr>
          <w:p>
            <w:r/>
            <w:r>
              <w:rPr>
                <w:color w:val="0B0B0B"/>
                <w:sz w:val="19"/>
              </w:rPr>
              <w:t>335</w:t>
            </w:r>
          </w:p>
        </w:tc>
        <w:tc>
          <w:tcPr>
            <w:tcW w:type="dxa" w:w="2436"/>
            <w:shd w:val="clear" w:color="auto" w:fill="F2F6FC"/>
          </w:tcPr>
          <w:p>
            <w:r/>
            <w:r>
              <w:rPr>
                <w:color w:val="0B0B0B"/>
                <w:sz w:val="19"/>
              </w:rPr>
              <w:t>0.4%</w:t>
            </w:r>
          </w:p>
        </w:tc>
      </w:tr>
      <w:tr>
        <w:tc>
          <w:tcPr>
            <w:tcW w:type="dxa" w:w="2436"/>
          </w:tcPr>
          <w:p>
            <w:r/>
            <w:r>
              <w:rPr>
                <w:color w:val="0B0B0B"/>
                <w:sz w:val="19"/>
              </w:rPr>
              <w:t>17</w:t>
            </w:r>
          </w:p>
        </w:tc>
        <w:tc>
          <w:tcPr>
            <w:tcW w:type="dxa" w:w="2436"/>
          </w:tcPr>
          <w:p>
            <w:r/>
            <w:r>
              <w:rPr>
                <w:color w:val="0B0B0B"/>
                <w:sz w:val="19"/>
              </w:rPr>
              <w:t>Munson Healthcare</w:t>
            </w:r>
          </w:p>
        </w:tc>
        <w:tc>
          <w:tcPr>
            <w:tcW w:type="dxa" w:w="2436"/>
          </w:tcPr>
          <w:p>
            <w:r/>
            <w:r>
              <w:rPr>
                <w:color w:val="0B0B0B"/>
                <w:sz w:val="19"/>
              </w:rPr>
              <w:t>328</w:t>
            </w:r>
          </w:p>
        </w:tc>
        <w:tc>
          <w:tcPr>
            <w:tcW w:type="dxa" w:w="2436"/>
          </w:tcPr>
          <w:p>
            <w:r/>
            <w:r>
              <w:rPr>
                <w:color w:val="0B0B0B"/>
                <w:sz w:val="19"/>
              </w:rPr>
              <w:t>0.4%</w:t>
            </w:r>
          </w:p>
        </w:tc>
      </w:tr>
      <w:tr>
        <w:tc>
          <w:tcPr>
            <w:tcW w:type="dxa" w:w="2436"/>
            <w:shd w:val="clear" w:color="auto" w:fill="F2F6FC"/>
          </w:tcPr>
          <w:p>
            <w:r/>
            <w:r>
              <w:rPr>
                <w:color w:val="0B0B0B"/>
                <w:sz w:val="19"/>
              </w:rPr>
              <w:t>18</w:t>
            </w:r>
          </w:p>
        </w:tc>
        <w:tc>
          <w:tcPr>
            <w:tcW w:type="dxa" w:w="2436"/>
            <w:shd w:val="clear" w:color="auto" w:fill="F2F6FC"/>
          </w:tcPr>
          <w:p>
            <w:r/>
            <w:r>
              <w:rPr>
                <w:color w:val="0B0B0B"/>
                <w:sz w:val="19"/>
              </w:rPr>
              <w:t>NielsenIQ</w:t>
            </w:r>
          </w:p>
        </w:tc>
        <w:tc>
          <w:tcPr>
            <w:tcW w:type="dxa" w:w="2436"/>
            <w:shd w:val="clear" w:color="auto" w:fill="F2F6FC"/>
          </w:tcPr>
          <w:p>
            <w:r/>
            <w:r>
              <w:rPr>
                <w:color w:val="0B0B0B"/>
                <w:sz w:val="19"/>
              </w:rPr>
              <w:t>324</w:t>
            </w:r>
          </w:p>
        </w:tc>
        <w:tc>
          <w:tcPr>
            <w:tcW w:type="dxa" w:w="2436"/>
            <w:shd w:val="clear" w:color="auto" w:fill="F2F6FC"/>
          </w:tcPr>
          <w:p>
            <w:r/>
            <w:r>
              <w:rPr>
                <w:color w:val="0B0B0B"/>
                <w:sz w:val="19"/>
              </w:rPr>
              <w:t>0.4%</w:t>
            </w:r>
          </w:p>
        </w:tc>
      </w:tr>
      <w:tr>
        <w:tc>
          <w:tcPr>
            <w:tcW w:type="dxa" w:w="2436"/>
          </w:tcPr>
          <w:p>
            <w:r/>
            <w:r>
              <w:rPr>
                <w:color w:val="0B0B0B"/>
                <w:sz w:val="19"/>
              </w:rPr>
              <w:t>19</w:t>
            </w:r>
          </w:p>
        </w:tc>
        <w:tc>
          <w:tcPr>
            <w:tcW w:type="dxa" w:w="2436"/>
          </w:tcPr>
          <w:p>
            <w:r/>
            <w:r>
              <w:rPr>
                <w:color w:val="0B0B0B"/>
                <w:sz w:val="19"/>
              </w:rPr>
              <w:t>Hays Specialist Recruitment Limited</w:t>
            </w:r>
          </w:p>
        </w:tc>
        <w:tc>
          <w:tcPr>
            <w:tcW w:type="dxa" w:w="2436"/>
          </w:tcPr>
          <w:p>
            <w:r/>
            <w:r>
              <w:rPr>
                <w:color w:val="0B0B0B"/>
                <w:sz w:val="19"/>
              </w:rPr>
              <w:t>320</w:t>
            </w:r>
          </w:p>
        </w:tc>
        <w:tc>
          <w:tcPr>
            <w:tcW w:type="dxa" w:w="2436"/>
          </w:tcPr>
          <w:p>
            <w:r/>
            <w:r>
              <w:rPr>
                <w:color w:val="0B0B0B"/>
                <w:sz w:val="19"/>
              </w:rPr>
              <w:t>0.4%</w:t>
            </w:r>
          </w:p>
        </w:tc>
      </w:tr>
      <w:tr>
        <w:tc>
          <w:tcPr>
            <w:tcW w:type="dxa" w:w="2436"/>
            <w:shd w:val="clear" w:color="auto" w:fill="F2F6FC"/>
          </w:tcPr>
          <w:p>
            <w:r/>
            <w:r>
              <w:rPr>
                <w:color w:val="0B0B0B"/>
                <w:sz w:val="19"/>
              </w:rPr>
              <w:t>20</w:t>
            </w:r>
          </w:p>
        </w:tc>
        <w:tc>
          <w:tcPr>
            <w:tcW w:type="dxa" w:w="2436"/>
            <w:shd w:val="clear" w:color="auto" w:fill="F2F6FC"/>
          </w:tcPr>
          <w:p>
            <w:r/>
            <w:r>
              <w:rPr>
                <w:color w:val="0B0B0B"/>
                <w:sz w:val="19"/>
              </w:rPr>
              <w:t>Continental</w:t>
            </w:r>
          </w:p>
        </w:tc>
        <w:tc>
          <w:tcPr>
            <w:tcW w:type="dxa" w:w="2436"/>
            <w:shd w:val="clear" w:color="auto" w:fill="F2F6FC"/>
          </w:tcPr>
          <w:p>
            <w:r/>
            <w:r>
              <w:rPr>
                <w:color w:val="0B0B0B"/>
                <w:sz w:val="19"/>
              </w:rPr>
              <w:t>309</w:t>
            </w:r>
          </w:p>
        </w:tc>
        <w:tc>
          <w:tcPr>
            <w:tcW w:type="dxa" w:w="2436"/>
            <w:shd w:val="clear" w:color="auto" w:fill="F2F6FC"/>
          </w:tcPr>
          <w:p>
            <w:r/>
            <w:r>
              <w:rPr>
                <w:color w:val="0B0B0B"/>
                <w:sz w:val="19"/>
              </w:rPr>
              <w:t>0.4%</w:t>
            </w:r>
          </w:p>
        </w:tc>
      </w:tr>
    </w:tbl>
    <w:p>
      <w:pPr>
        <w:spacing w:after="80"/>
      </w:pPr>
    </w:p>
    <w:p>
      <w:pPr>
        <w:jc w:val="center"/>
      </w:pPr>
      <w:r>
        <w:drawing>
          <wp:inline xmlns:a="http://schemas.openxmlformats.org/drawingml/2006/main" xmlns:pic="http://schemas.openxmlformats.org/drawingml/2006/picture">
            <wp:extent cx="5760720" cy="4315601"/>
            <wp:docPr id="12" name="Picture 12"/>
            <wp:cNvGraphicFramePr>
              <a:graphicFrameLocks noChangeAspect="1"/>
            </wp:cNvGraphicFramePr>
            <a:graphic>
              <a:graphicData uri="http://schemas.openxmlformats.org/drawingml/2006/picture">
                <pic:pic>
                  <pic:nvPicPr>
                    <pic:cNvPr id="0" name="recent_top_companies.png"/>
                    <pic:cNvPicPr/>
                  </pic:nvPicPr>
                  <pic:blipFill>
                    <a:blip r:embed="rId21"/>
                    <a:stretch>
                      <a:fillRect/>
                    </a:stretch>
                  </pic:blipFill>
                  <pic:spPr>
                    <a:xfrm>
                      <a:off x="0" y="0"/>
                      <a:ext cx="5760720" cy="4315601"/>
                    </a:xfrm>
                    <a:prstGeom prst="rect"/>
                  </pic:spPr>
                </pic:pic>
              </a:graphicData>
            </a:graphic>
          </wp:inline>
        </w:drawing>
      </w:r>
    </w:p>
    <w:p>
      <w:pPr>
        <w:spacing w:after="240"/>
        <w:jc w:val="center"/>
      </w:pPr>
      <w:r>
        <w:rPr>
          <w:i/>
          <w:color w:val="52514E"/>
          <w:sz w:val="18"/>
        </w:rPr>
        <w:t>Figure 12. Top 20 companies by recent openings.</w:t>
      </w:r>
    </w:p>
    <w:p>
      <w:pPr>
        <w:spacing w:after="160"/>
      </w:pPr>
      <w:r>
        <w:t>Recent hiring is more concentrated than the dataset as a whole: the top 10 companies account for 39.8% of recent postings (vs. 37.8% dataset-wide), and Domino's alone is 24.5% of every recent job — up from 15.7% dataset-wide — because Domino's postings refresh very frequently, while many other large employers' boards (particularly Lever- and Greenhouse-hosted companies) contain a larger share of older, still-open listings. There are 8,999 distinct companies among recent postings, and the same bimodal pattern holds as in the full dataset: a handful of very large, frequently-refreshed employers alongside a long tail of single-posting companies.</w:t>
      </w:r>
    </w:p>
    <w:p>
      <w:pPr>
        <w:spacing w:before="200" w:after="120"/>
      </w:pPr>
      <w:r>
        <w:rPr>
          <w:b/>
          <w:color w:val="0B0B0B"/>
          <w:sz w:val="26"/>
        </w:rPr>
        <w:t>5. Fresh Job Recommendations</w:t>
      </w:r>
    </w:p>
    <w:p>
      <w:pPr>
        <w:pStyle w:val="ListBullet"/>
        <w:spacing w:after="80"/>
      </w:pPr>
      <w:r>
        <w:t>APIs producing the freshest data: Bundesagentur, Himalayas, Arbeitnow, RemoteOK, and Jobicy are effectively 100% fresh — each is either newest-first within a small window or a small, frequently-turning-over snapshot by construction. Reed (96.2%) and Jooble (95.1%) are close behind.</w:t>
      </w:r>
    </w:p>
    <w:p>
      <w:pPr>
        <w:pStyle w:val="ListBullet"/>
        <w:spacing w:after="80"/>
      </w:pPr>
      <w:r>
        <w:t>Providers that mostly return older jobs: Lever (14.9% fresh), Workable (29.6%), The Muse (30.8%), Ashby (32.6%), and Greenhouse (33.6%) — all five are full-board ATS fetches that return every currently open requisition regardless of posting age.</w:t>
      </w:r>
    </w:p>
    <w:p>
      <w:pPr>
        <w:pStyle w:val="ListBullet"/>
        <w:spacing w:after="80"/>
      </w:pPr>
      <w:r>
        <w:t>Providers that should be refreshed more frequently: the same five low-freshness ATS providers benefit least from more frequent runs alone, since re-running them mainly re-fetches the same long-lived postings — the fix is incremental sync, not a tighter schedule.</w:t>
      </w:r>
    </w:p>
    <w:p>
      <w:pPr>
        <w:pStyle w:val="ListBullet"/>
        <w:spacing w:after="80"/>
      </w:pPr>
      <w:r>
        <w:t>Providers that should be synchronized daily: SmartRecruiters, Reed, Bundesagentur, USAJOBS, and Jooble — all high-freshness-rate, high-volume providers whose own APIs are already turning over quickly enough to justify daily capture.</w:t>
      </w:r>
    </w:p>
    <w:p>
      <w:pPr>
        <w:pStyle w:val="ListBullet"/>
        <w:spacing w:after="80"/>
      </w:pPr>
      <w:r>
        <w:t>Providers that would benefit from incremental synchronization: USAJOBS (DatePosted), Adzuna (max_days_old), Jooble (datecreatedfrom), Bundesagentur (veroeffentlichtseit), and TheirStack (posted_at_max_age_days, already partly used) all expose a genuine date-filter parameter today that is unused or only partly used.</w:t>
      </w:r>
    </w:p>
    <w:p>
      <w:pPr>
        <w:spacing w:before="200" w:after="120"/>
      </w:pPr>
      <w:r>
        <w:rPr>
          <w:b/>
          <w:color w:val="0B0B0B"/>
          <w:sz w:val="26"/>
        </w:rPr>
        <w:t>6. Engineering Recommendations</w:t>
      </w:r>
    </w:p>
    <w:p>
      <w:pPr>
        <w:pStyle w:val="ListBullet"/>
        <w:spacing w:after="80"/>
      </w:pPr>
      <w:r>
        <w:t>Date filtering: turn on the date filters already supported by USAJOBS, Adzuna, Bundesagentur, Jooble, and TheirStack to exclude stale postings at ingest time.</w:t>
      </w:r>
    </w:p>
    <w:p>
      <w:pPr>
        <w:pStyle w:val="ListBullet"/>
        <w:spacing w:after="80"/>
      </w:pPr>
      <w:r>
        <w:t>Incremental synchronization: persist a per-job first_seen/last_seen watermark (using createdAt/publishedAt/releasedDate, already returned by every ATS provider) so runs can detect and retire postings that disappeared, rather than re-fetching a full board every time — the single biggest lever for Lever, Workable, The Muse, Ashby, and Greenhouse, none of which expose a request-side date filter.</w:t>
      </w:r>
    </w:p>
    <w:p>
      <w:pPr>
        <w:pStyle w:val="ListBullet"/>
        <w:spacing w:after="80"/>
      </w:pPr>
      <w:r>
        <w:t>Region splitting: partitioning broad, single-query providers (Adzuna, Bundesagentur, USAJOBS, Reed) by country/region multiplies effective coverage and lets each partition be scheduled and filtered independently by recency.</w:t>
      </w:r>
    </w:p>
    <w:p>
      <w:pPr>
        <w:pStyle w:val="ListBullet"/>
        <w:spacing w:after="80"/>
      </w:pPr>
      <w:r>
        <w:t>Keyword searches: replacing wildcard queries (Jooble, Careerjet, SerpApi, OpenWeb Ninja) with real, targeted keywords tends to surface different, often more recent, postings than a generic broad browse, while reducing cross-provider duplication.</w:t>
      </w:r>
    </w:p>
    <w:p>
      <w:pPr>
        <w:pStyle w:val="ListBullet"/>
        <w:spacing w:after="80"/>
      </w:pPr>
      <w:r>
        <w:t>Company-based searches: for the six ATS providers, freshness cannot be improved via query parameters — there are none — so the lever is exclusively adding/pruning company slugs and diffing each company's board run-over-run to detect closed postings.</w:t>
      </w:r>
    </w:p>
    <w:p>
      <w:pPr>
        <w:pStyle w:val="ListBullet"/>
        <w:spacing w:after="80"/>
      </w:pPr>
      <w:r>
        <w:t>Category searches: partitioning The Muse, USAJOBS, and Himalayas by category alongside date ordering would let each category-specific query surface its own newest postings rather than being crowded out by a single large unfiltered result set.</w:t>
      </w:r>
    </w:p>
    <w:p>
      <w:pPr>
        <w:spacing w:after="160"/>
      </w:pPr>
      <w:r>
        <w:t>Estimated freshness improvement: applying date filters and incremental sync to the five providers identified above, and introducing run-over-run diffing for the five low-freshness ATS providers, would directly target the ~46,000 jobs in this dataset that are currently older than 30 days despite coming from providers capable of returning newer results. A realistic outcome is raising the overall &lt;=30-day-fresh share from the current 54.0% into the high-60s to low-70s percent range, without adding a single new provider — the ceiling is bounded by how much genuinely new inventory each provider's underlying job market produces per period, not by anything in this pipeline.</w:t>
      </w:r>
    </w:p>
    <w:p>
      <w:r>
        <w:br w:type="page"/>
      </w:r>
    </w:p>
    <w:p>
      <w:pPr>
        <w:pStyle w:val="Heading1"/>
        <w:spacing w:before="120" w:after="280"/>
      </w:pPr>
      <w:r>
        <w:rPr>
          <w:b/>
          <w:color w:val="2A78D6"/>
          <w:sz w:val="40"/>
        </w:rPr>
        <w:t>18. Conclusion</w:t>
      </w:r>
    </w:p>
    <w:p>
      <w:pPr>
        <w:spacing w:after="160"/>
      </w:pPr>
      <w:r>
        <w:t>The Job Aggregation Platform is a mature, well-engineered first version: a clean, extensible source architecture spanning 20 providers behind one shared interface, a fully normalized schema, correct URL-based deduplication, and disciplined per-source error isolation. It is production-ready as a periodic bulk job board, but not yet as a freshness- or scale-sensitive product — it remains a static snapshot with no scheduling, no expiry, and no persistent per-job state.</w:t>
      </w:r>
    </w:p>
    <w:p>
      <w:pPr>
        <w:spacing w:after="160"/>
      </w:pPr>
      <w:r>
        <w:t>Regional strength is concentrated in the United States, Germany, and (for its size) the UK; Canada and Southeast Asia are thin, India has no dedicated source despite meaningful incidental volume, and the UK's real coverage rides on a single provider. Duplicate handling is excellent at the URL level, and the apparent duplication in title+company groupings is explained, not a defect. Freshness is the platform's weakest dimension and its highest-value fix, being primarily an architectural gap rather than a sourcing one.</w:t>
      </w:r>
    </w:p>
    <w:p>
      <w:pPr>
        <w:spacing w:after="160"/>
      </w:pPr>
      <w:r>
        <w:t>Nearly all of the highest-impact opportunities identified in this report are already unlocked: multi-country Adzuna, MyCareersFuture, France Travail, ATS slug expansion, and India coverage via existing infrastructure are all free or low-cost, legally clean, and require no new commercial relationships.</w:t>
      </w:r>
    </w:p>
    <w:p>
      <w:pPr>
        <w:spacing w:after="160"/>
      </w:pPr>
      <w:r>
        <w:t>On scalability: the current architecture cannot, as built, scale to millions of jobs. A single ~54 MB jobs.json at 156,000 jobs implies roughly 350 MB at 1 million and over 1 GB at 3 million — both the storage model and the frontend's whole-file load pattern would need to change. It can, however, comfortably grow into the low hundreds of thousands of jobs with the roadmap in this report, and the existing modular source design makes the eventual move to a datastore-backed, incrementally synced, queryable service a natural evolution rather than a rewrite.</w:t>
      </w:r>
    </w:p>
    <w:p>
      <w:r>
        <w:br w:type="page"/>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6"/>
      </w:rPr>
      <w:t xml:space="preserve">Job Aggregation Platform — Final Project Report   |   Page </w:t>
    </w:r>
    <w:r>
      <w:rPr>
        <w:color w:val="52514E"/>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0B0B0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