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070.0" w:type="dxa"/>
        <w:jc w:val="left"/>
        <w:tblInd w:w="-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780"/>
        <w:gridCol w:w="3120"/>
        <w:gridCol w:w="4170"/>
        <w:tblGridChange w:id="0">
          <w:tblGrid>
            <w:gridCol w:w="3780"/>
            <w:gridCol w:w="3120"/>
            <w:gridCol w:w="4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Example(Findings)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What(insights)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Needs(Why)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OSI-CAN website is difficult to navigate.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 want to make the website more A user friendly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clear, simple navigation  for different user groups.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Service information is scattered across multiple pages.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struggle to find key resources quickly.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centralized, well-structured resource hubs.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OSI-CAN wants to expand beyond core groups.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it clear that OSI-CAN support extends beyond Occupational PTSD, it also includes trauma not related to a person’s employment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messaging that emphasizes trauma-informed care for </w:t>
            </w:r>
            <w:r w:rsidDel="00000000" w:rsidR="00000000" w:rsidRPr="00000000">
              <w:rPr>
                <w:i w:val="1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affected by operational/occupational stress injuries and trauma not related to a person’s employment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site has no clear distinction between peer vs. professional support.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don’t understand service categories.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visual cues and clear labels separating support types.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website lacks multilingual or culturally adapted content.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Diverse users may not feel represented or supported.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culturally sensitive, possibly multilingual resources.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OSI-CAN website has no footer.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lack quick access to key navigation links and contact info at the bottom of the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lack quick access to key navigation links and contact info at the bottom of the page.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resource that helps them to know where to start.”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don’t know what step to take first.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an onboarding/journey guide (e.g., “New here? Start here”).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OSI-CAN wants to extend to rural areas.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current service model doesn’t fully reach remote communities.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digital-first delivery (virtual peer groups, easy-to-access resource hubs, low-bandwidth site design).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donation button is small/unengaging.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Users may not notice or feel compelled to donate.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a visually engaging donation call-to-action that communicates impact clearly (“Your gift supports veterans &amp; first responders”).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provincial OSI-CAN site is separate, with no clear cross-links.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Each provincial OSI-CAN site is separate, with no clear cross-links.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 </w:t>
            </w:r>
            <w:r w:rsidDel="00000000" w:rsidR="00000000" w:rsidRPr="00000000">
              <w:rPr>
                <w:b w:val="1"/>
                <w:rtl w:val="0"/>
              </w:rPr>
              <w:t xml:space="preserve">regional navigation links</w:t>
            </w:r>
            <w:r w:rsidDel="00000000" w:rsidR="00000000" w:rsidRPr="00000000">
              <w:rPr>
                <w:rtl w:val="0"/>
              </w:rPr>
              <w:t xml:space="preserve"> to unify the experience and help people find local support.</w:t>
            </w:r>
          </w:p>
        </w:tc>
      </w:tr>
    </w:tbl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