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lang w:val="en-US" w:eastAsia="zh-CN"/>
        </w:rPr>
      </w:pPr>
      <w:r>
        <w:rPr>
          <w:rFonts w:hint="eastAsia" w:ascii="黑体" w:hAnsi="黑体" w:eastAsia="黑体" w:cs="黑体"/>
          <w:sz w:val="28"/>
          <w:szCs w:val="28"/>
          <w:lang w:val="en-US" w:eastAsia="zh-CN"/>
        </w:rPr>
        <w:t>案例正文</w:t>
      </w:r>
    </w:p>
    <w:p>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国外华裔儿童综合课课堂管理案例分析研究</w:t>
      </w:r>
      <w:r>
        <w:rPr>
          <w:rStyle w:val="5"/>
          <w:rFonts w:hint="eastAsia" w:ascii="黑体" w:hAnsi="黑体" w:eastAsia="黑体" w:cs="黑体"/>
          <w:b/>
          <w:bCs/>
          <w:sz w:val="32"/>
          <w:szCs w:val="32"/>
          <w:lang w:val="en-US" w:eastAsia="zh-CN"/>
        </w:rPr>
        <w:footnoteReference w:id="0"/>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摘 要：</w:t>
      </w:r>
      <w:r>
        <w:rPr>
          <w:rFonts w:hint="eastAsia" w:ascii="宋体" w:hAnsi="宋体" w:eastAsia="宋体" w:cs="宋体"/>
          <w:sz w:val="24"/>
          <w:szCs w:val="24"/>
        </w:rPr>
        <w:t>本案例描述了英国</w:t>
      </w:r>
      <w:r>
        <w:rPr>
          <w:rFonts w:hint="default" w:ascii="Times New Roman" w:hAnsi="Times New Roman" w:eastAsia="宋体" w:cs="Times New Roman"/>
          <w:sz w:val="24"/>
          <w:szCs w:val="24"/>
          <w:lang w:eastAsia="zh-CN"/>
        </w:rPr>
        <w:t>X</w:t>
      </w:r>
      <w:r>
        <w:rPr>
          <w:rFonts w:hint="eastAsia" w:ascii="宋体" w:hAnsi="宋体" w:eastAsia="宋体" w:cs="宋体"/>
          <w:sz w:val="24"/>
          <w:szCs w:val="24"/>
        </w:rPr>
        <w:t>大学孔院</w:t>
      </w:r>
      <w:r>
        <w:rPr>
          <w:rFonts w:hint="default" w:ascii="Times New Roman" w:hAnsi="Times New Roman" w:eastAsia="宋体" w:cs="Times New Roman"/>
          <w:sz w:val="24"/>
          <w:szCs w:val="24"/>
        </w:rPr>
        <w:t>T</w:t>
      </w:r>
      <w:r>
        <w:rPr>
          <w:rFonts w:hint="eastAsia" w:ascii="宋体" w:hAnsi="宋体" w:eastAsia="宋体" w:cs="宋体"/>
          <w:sz w:val="24"/>
          <w:szCs w:val="24"/>
        </w:rPr>
        <w:t>老师在为当地华裔儿童教授汉语综合课时出现的学生接话茬、随意发言和用英语抒发见解等课堂管理问题。</w:t>
      </w:r>
      <w:r>
        <w:rPr>
          <w:rFonts w:hint="default" w:ascii="Times New Roman" w:hAnsi="Times New Roman" w:eastAsia="宋体" w:cs="Times New Roman"/>
          <w:sz w:val="24"/>
          <w:szCs w:val="24"/>
        </w:rPr>
        <w:t>T</w:t>
      </w:r>
      <w:r>
        <w:rPr>
          <w:rFonts w:hint="eastAsia" w:ascii="宋体" w:hAnsi="宋体" w:eastAsia="宋体" w:cs="宋体"/>
          <w:sz w:val="24"/>
          <w:szCs w:val="24"/>
        </w:rPr>
        <w:t>老师的做法为忽略或出声制止，但在随后的课程中未观察到学生有改正的迹象。因此，针对有效预防和解决上述问题，本文向初次接触华裔儿童的新手教师提出了建立并实行奖惩制度、运用</w:t>
      </w:r>
      <w:r>
        <w:rPr>
          <w:rFonts w:hint="default" w:ascii="Times New Roman" w:hAnsi="Times New Roman" w:eastAsia="宋体" w:cs="Times New Roman"/>
          <w:sz w:val="24"/>
          <w:szCs w:val="24"/>
        </w:rPr>
        <w:t>TPR</w:t>
      </w:r>
      <w:r>
        <w:rPr>
          <w:rFonts w:hint="eastAsia" w:ascii="宋体" w:hAnsi="宋体" w:eastAsia="宋体" w:cs="宋体"/>
          <w:sz w:val="24"/>
          <w:szCs w:val="24"/>
        </w:rPr>
        <w:t>教学法和丰富课程及课堂活动的建议。</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sz w:val="24"/>
          <w:szCs w:val="24"/>
          <w:lang w:val="en-US" w:eastAsia="zh-CN"/>
        </w:rPr>
        <w:t>华裔、综合课、</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教学法</w:t>
      </w:r>
    </w:p>
    <w:p>
      <w:pPr>
        <w:rPr>
          <w:rFonts w:hint="default" w:ascii="宋体" w:hAnsi="宋体" w:eastAsia="宋体" w:cs="宋体"/>
          <w:sz w:val="24"/>
          <w:szCs w:val="24"/>
          <w:lang w:val="en-US" w:eastAsia="zh-CN"/>
        </w:rPr>
      </w:pPr>
    </w:p>
    <w:p>
      <w:pPr>
        <w:numPr>
          <w:numId w:val="0"/>
        </w:numPr>
        <w:rPr>
          <w:rFonts w:hint="eastAsia" w:ascii="宋体" w:hAnsi="宋体" w:eastAsia="宋体" w:cs="宋体"/>
          <w:b/>
          <w:bCs/>
          <w:sz w:val="28"/>
          <w:szCs w:val="28"/>
          <w:lang w:val="en-US" w:eastAsia="zh-CN"/>
        </w:rPr>
      </w:pPr>
      <w:r>
        <w:rPr>
          <w:rFonts w:hint="default" w:ascii="Times New Roman" w:hAnsi="Times New Roman" w:eastAsia="宋体" w:cs="Times New Roman"/>
          <w:b/>
          <w:bCs/>
          <w:sz w:val="28"/>
          <w:szCs w:val="28"/>
          <w:lang w:val="en-US" w:eastAsia="zh-CN"/>
        </w:rPr>
        <w:t>1</w:t>
      </w:r>
      <w:r>
        <w:rPr>
          <w:rFonts w:hint="eastAsia" w:ascii="宋体" w:hAnsi="宋体" w:eastAsia="宋体" w:cs="宋体"/>
          <w:b/>
          <w:bCs/>
          <w:sz w:val="28"/>
          <w:szCs w:val="28"/>
          <w:lang w:val="en-US" w:eastAsia="zh-CN"/>
        </w:rPr>
        <w:t>.引言</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北京时间</w:t>
      </w:r>
      <w:r>
        <w:rPr>
          <w:rFonts w:hint="default" w:ascii="Times New Roman" w:hAnsi="Times New Roman" w:eastAsia="宋体" w:cs="Times New Roman"/>
          <w:sz w:val="24"/>
          <w:szCs w:val="24"/>
        </w:rPr>
        <w:t>2024</w:t>
      </w:r>
      <w:r>
        <w:rPr>
          <w:rFonts w:hint="eastAsia" w:ascii="宋体" w:hAnsi="宋体" w:eastAsia="宋体" w:cs="宋体"/>
          <w:sz w:val="24"/>
          <w:szCs w:val="24"/>
        </w:rPr>
        <w:t>年</w:t>
      </w:r>
      <w:r>
        <w:rPr>
          <w:rFonts w:hint="default" w:ascii="Times New Roman" w:hAnsi="Times New Roman" w:eastAsia="宋体" w:cs="Times New Roman"/>
          <w:sz w:val="24"/>
          <w:szCs w:val="24"/>
        </w:rPr>
        <w:t>5</w:t>
      </w:r>
      <w:r>
        <w:rPr>
          <w:rFonts w:hint="eastAsia" w:ascii="宋体" w:hAnsi="宋体" w:eastAsia="宋体" w:cs="宋体"/>
          <w:sz w:val="24"/>
          <w:szCs w:val="24"/>
        </w:rPr>
        <w:t>月</w:t>
      </w:r>
      <w:r>
        <w:rPr>
          <w:rFonts w:hint="default" w:ascii="Times New Roman" w:hAnsi="Times New Roman" w:eastAsia="宋体" w:cs="Times New Roman"/>
          <w:sz w:val="24"/>
          <w:szCs w:val="24"/>
        </w:rPr>
        <w:t>18</w:t>
      </w:r>
      <w:r>
        <w:rPr>
          <w:rFonts w:hint="eastAsia" w:ascii="宋体" w:hAnsi="宋体" w:eastAsia="宋体" w:cs="宋体"/>
          <w:sz w:val="24"/>
          <w:szCs w:val="24"/>
        </w:rPr>
        <w:t>日下午四点，英国</w:t>
      </w:r>
      <w:r>
        <w:rPr>
          <w:rFonts w:hint="default" w:ascii="Times New Roman" w:hAnsi="Times New Roman" w:eastAsia="宋体" w:cs="Times New Roman"/>
          <w:sz w:val="24"/>
          <w:szCs w:val="24"/>
          <w:lang w:eastAsia="zh-CN"/>
        </w:rPr>
        <w:t>X</w:t>
      </w:r>
      <w:r>
        <w:rPr>
          <w:rFonts w:hint="eastAsia" w:ascii="宋体" w:hAnsi="宋体" w:eastAsia="宋体" w:cs="宋体"/>
          <w:sz w:val="24"/>
          <w:szCs w:val="24"/>
        </w:rPr>
        <w:t>大学孔院的</w:t>
      </w:r>
      <w:r>
        <w:rPr>
          <w:rFonts w:hint="default" w:ascii="Times New Roman" w:hAnsi="Times New Roman" w:eastAsia="宋体" w:cs="Times New Roman"/>
          <w:sz w:val="24"/>
          <w:szCs w:val="24"/>
        </w:rPr>
        <w:t>T</w:t>
      </w:r>
      <w:r>
        <w:rPr>
          <w:rFonts w:hint="eastAsia" w:ascii="宋体" w:hAnsi="宋体" w:eastAsia="宋体" w:cs="宋体"/>
          <w:sz w:val="24"/>
          <w:szCs w:val="24"/>
        </w:rPr>
        <w:t>老师开始照常为当地的华裔儿童教授中文课了，今天要教授的新课是《曹冲称象》。然而，笔者发现在教学过程中，出现了部分学生在未经允许的情况下发表言论、提不合理要求及用英文发表意见等课堂管理问题。各位老师试想如果是你遇到类似的情况，准备如何应对呢？本文将据此阐述笔者对这些问题的看法及建议，希望能与各位展开深入探讨。</w:t>
      </w:r>
    </w:p>
    <w:p>
      <w:pPr>
        <w:rPr>
          <w:rFonts w:hint="default" w:eastAsiaTheme="minorEastAsia"/>
          <w:lang w:val="en-US" w:eastAsia="zh-CN"/>
        </w:rPr>
      </w:pPr>
      <w:r>
        <w:rPr>
          <w:rFonts w:hint="default" w:ascii="Times New Roman" w:hAnsi="Times New Roman" w:eastAsia="宋体" w:cs="Times New Roman"/>
          <w:b/>
          <w:bCs/>
          <w:sz w:val="28"/>
          <w:szCs w:val="28"/>
          <w:lang w:val="en-US" w:eastAsia="zh-CN"/>
        </w:rPr>
        <w:t>2</w:t>
      </w:r>
      <w:r>
        <w:rPr>
          <w:rFonts w:hint="eastAsia" w:ascii="宋体" w:hAnsi="宋体" w:eastAsia="宋体" w:cs="宋体"/>
          <w:b/>
          <w:bCs/>
          <w:sz w:val="28"/>
          <w:szCs w:val="28"/>
          <w:lang w:val="en-US" w:eastAsia="zh-CN"/>
        </w:rPr>
        <w:t>.背景介绍</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rPr>
      </w:pPr>
      <w:r>
        <w:rPr>
          <w:rFonts w:hint="eastAsia" w:ascii="宋体" w:hAnsi="宋体" w:eastAsia="宋体" w:cs="宋体"/>
          <w:sz w:val="24"/>
          <w:szCs w:val="24"/>
        </w:rPr>
        <w:t>课型：综合课</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rPr>
      </w:pPr>
      <w:r>
        <w:rPr>
          <w:rFonts w:hint="eastAsia" w:ascii="宋体" w:hAnsi="宋体" w:eastAsia="宋体" w:cs="宋体"/>
          <w:sz w:val="24"/>
          <w:szCs w:val="24"/>
        </w:rPr>
        <w:t>教学对象：掌握常用词</w:t>
      </w:r>
      <w:r>
        <w:rPr>
          <w:rFonts w:hint="default" w:ascii="Times New Roman" w:hAnsi="Times New Roman" w:eastAsia="宋体" w:cs="Times New Roman"/>
          <w:sz w:val="24"/>
          <w:szCs w:val="24"/>
        </w:rPr>
        <w:t>1500</w:t>
      </w:r>
      <w:r>
        <w:rPr>
          <w:rFonts w:hint="eastAsia" w:ascii="宋体" w:hAnsi="宋体" w:eastAsia="宋体" w:cs="宋体"/>
          <w:sz w:val="24"/>
          <w:szCs w:val="24"/>
        </w:rPr>
        <w:t>个左右的英国华裔小学生</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rPr>
      </w:pPr>
      <w:r>
        <w:rPr>
          <w:rFonts w:hint="eastAsia" w:ascii="宋体" w:hAnsi="宋体" w:eastAsia="宋体" w:cs="宋体"/>
          <w:sz w:val="24"/>
          <w:szCs w:val="24"/>
        </w:rPr>
        <w:t>教学内容：《曹冲称象》中的重点字词、同音字，汉字“象”、“秤”的偏旁结构，《曹冲称象》课文概览</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rPr>
      </w:pPr>
      <w:r>
        <w:rPr>
          <w:rFonts w:hint="eastAsia" w:ascii="宋体" w:hAnsi="宋体" w:eastAsia="宋体" w:cs="宋体"/>
          <w:sz w:val="24"/>
          <w:szCs w:val="24"/>
        </w:rPr>
        <w:t>教材：暨南大学华文学院编著《中文》第五册</w:t>
      </w:r>
    </w:p>
    <w:p>
      <w:pPr>
        <w:rPr>
          <w:rFonts w:hint="eastAsia" w:ascii="宋体" w:hAnsi="宋体" w:eastAsia="宋体" w:cs="宋体"/>
          <w:b/>
          <w:bCs/>
          <w:sz w:val="28"/>
          <w:szCs w:val="28"/>
          <w:lang w:val="en-US" w:eastAsia="zh-CN"/>
        </w:rPr>
      </w:pPr>
      <w:r>
        <w:rPr>
          <w:rFonts w:hint="default" w:ascii="Times New Roman" w:hAnsi="Times New Roman" w:eastAsia="宋体" w:cs="Times New Roman"/>
          <w:b/>
          <w:bCs/>
          <w:sz w:val="28"/>
          <w:szCs w:val="28"/>
          <w:lang w:val="en-US" w:eastAsia="zh-CN"/>
        </w:rPr>
        <w:t>3</w:t>
      </w:r>
      <w:r>
        <w:rPr>
          <w:rFonts w:hint="eastAsia" w:ascii="宋体" w:hAnsi="宋体" w:eastAsia="宋体" w:cs="宋体"/>
          <w:b/>
          <w:bCs/>
          <w:sz w:val="28"/>
          <w:szCs w:val="28"/>
          <w:lang w:val="en-US" w:eastAsia="zh-CN"/>
        </w:rPr>
        <w:t>.案例内容</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该部分主要涵盖案例进程与内容描述、问题分析及解决措施探讨三个部分的内容。</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textAlignment w:val="auto"/>
        <w:rPr>
          <w:rFonts w:hint="default"/>
          <w:lang w:val="en-US" w:eastAsia="zh-CN"/>
        </w:rPr>
      </w:pP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w:t>
      </w: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案例进程与内容描述</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在正式引入新课前，</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老师先带领学生们复习了旧课《神舟飞天》里的字词，开展了用学过的词造句的小比赛，并通过英语直接翻译了让学生感到困惑的中文表达，最后还听写了文中的典型句型。在新课教学部分，</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通过音频带读和让学生自己朗读并圈出疑问之处的方式引导学生熟悉课文，接着让全班一起回答以解决朗读过程中出现的生难字词，详细解释了“象”字的偏旁，最后再使用齐读的形式帮助学生复习今天所学的字词拼音。教学全程，</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老师大部分时间坐在讲台上，很少活动身体，以娴熟的语言和淡然的态度去应对学生提出的问题和课堂上的种种行为，展露出一种老教师的从容不迫感。学生们则绝大多数都很乖巧听话，会顺着</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老师的指令完成课堂要求。然而班上也有少数几个孩子，性格外向活跃，即使在</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老师讲解词汇的过程中也会大声说话，提出上厕所和按时下课的要求，有一个小男孩还特别喜欢接老师的话茬、用英文随意发表评论并在非讨论时间向周围同学输出观点。对此，</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老师采取了忽视、暂停讲课和直接出言制止（如“我说话你不说话啊”、“不吃东西，放好”、“还有两分钟再休息，安静”）的应对方式，尽管当时有效，学生很快又坐不住，再次展现出扰乱课堂秩序的行为。</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textAlignment w:val="auto"/>
        <w:rPr>
          <w:rFonts w:hint="default" w:eastAsiaTheme="minorEastAsia"/>
          <w:lang w:val="en-US" w:eastAsia="zh-CN"/>
        </w:rPr>
      </w:pP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w:t>
      </w: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问题分析</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对于本案例中的</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来说，这样不厌其烦地提醒学生已经成为习惯，但这种做法很大程度要建立在教师长期从事教学工作、与华裔儿童打交道所形成的威严以及对课程进展的精确把控。对于教学经验尚不充分、尤其是初次接触中小学学习者的教师而言，数次口头提醒却无法阻止学生的不当行为，容易让学生产生这个老师好说话、没脾气的印象，从而在课上变本加厉，教师的权威也难以建立。那么，有没有什么举措可以帮助新手汉语教师初次接手华裔儿童时有效避免或解决上述难题呢？</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default" w:eastAsiaTheme="minorEastAsia"/>
          <w:lang w:val="en-US" w:eastAsia="zh-CN"/>
        </w:rPr>
      </w:pP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w:t>
      </w:r>
      <w:r>
        <w:rPr>
          <w:rFonts w:hint="default"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解决措施探讨</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rPr>
        <w:t>出现问题行为及时提醒或制止,但需要事前制定和实行清晰的奖惩制度</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该种做法基本延续了</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的风格，适合原则性强、偏好按既定标准和规则开展教学的教师。如果我们第一堂课就在参考当地的背景文化和教育理念基础上与学生共建起课堂规则，并且明确告知学生倘若违反这一规则将会受到何种惩罚，那么首先可以规避大部分学生的课堂违纪行为。</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过，有时候学生并非有意冲撞老师、违反规则，譬如接老师话茬，通常做出这一行为的学生都是中文水平在班里偏上、很有自信和勇于表现的孩子，他们更有可能是借接话茬的方式提供给自己更多表现的机会，以期获得教师的表扬和同学的崇拜，但他们并没有意识到这其实也有违反课堂规则和纪律的风险。像这种情况，教师除了严格遵照规则做事，也需要考虑到学生的个性，与学生充分交流以知晓学生一些不合理行为的动机，从而灵活运用规则、判断是否作出正式惩罚。而针对学生用英文交流的情况，教师则可根据自己的教学方式决定是否要禁止在课堂上使用英文，这一点也可以在课堂规则中体现出，并在学生违反时直接发出警告，数次违反则给予相应惩罚。</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同时，向资历深厚的当地教师请教也是很有必要的，借助他们的经验，教师能更合理地确定奖惩的项目及方式。案例中的</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多数时候也并未直接对学生接话茬作出反应，在不影响正常教学的前提下，只是停顿或干脆忽略掉发言的学生，学生得不到正向反馈自然也就不再重复了。然而不排除有时学生出风头的意愿过于强烈，一定要争做“显眼包”，这时候老师就可以适当批评或在课后明确告诉学生这样做是违反规则的。</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另外，华裔学生有学习汉语的刚需，不只是把汉语课当作兴趣班，在家庭影响下对亚洲面孔和行事风格也可能更熟悉，因此适当用严厉态度约束学生未必会激起想象中学生的反感。</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2</w:t>
      </w:r>
      <w:r>
        <w:rPr>
          <w:rFonts w:hint="eastAsia" w:ascii="宋体" w:hAnsi="宋体" w:eastAsia="宋体" w:cs="宋体"/>
          <w:sz w:val="24"/>
          <w:szCs w:val="24"/>
          <w:lang w:val="en-US" w:eastAsia="zh-CN"/>
        </w:rPr>
        <w:t>利用竞争机制和</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教学法，活跃课堂气氛的同时消耗学生精力，防止学生注意力分散</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这一案例，我们可以观察到，课堂的整体氛围相对沉闷，知识讲授的时间要比课堂活动和操练的时间多不少。对于年纪尚小、精力旺盛的儿童来说，在这样的课堂里呆上近两个小时确实显得枯燥了。一旦学生觉得无聊，注意力就会不自觉地分散，例如案例中的男孩便趁老师讲解课文时大声用英文和周围的同学交谈（基本是他单向输出），其他学生也时不时出现开小差影响他人学习的情况。</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察觉后，当即用简短的命令制止了学生，但两节课下来学生可以说是屡教不改，一些性格温和、稍欠威严的教师发现成效不明显，难免会觉得气馁。有没有什么可以充分调动学生注意力、避免其在课堂上捣乱的办法呢？我们可以参考美国科罗拉多州</w:t>
      </w:r>
      <w:r>
        <w:rPr>
          <w:rFonts w:hint="default" w:ascii="Times New Roman" w:hAnsi="Times New Roman" w:eastAsia="宋体" w:cs="Times New Roman"/>
          <w:sz w:val="24"/>
          <w:szCs w:val="24"/>
          <w:lang w:val="en-US" w:eastAsia="zh-CN"/>
        </w:rPr>
        <w:t>G</w:t>
      </w:r>
      <w:r>
        <w:rPr>
          <w:rFonts w:hint="eastAsia" w:ascii="宋体" w:hAnsi="宋体" w:eastAsia="宋体" w:cs="宋体"/>
          <w:sz w:val="24"/>
          <w:szCs w:val="24"/>
          <w:lang w:val="en-US" w:eastAsia="zh-CN"/>
        </w:rPr>
        <w:t>老师对美国小学一年级学生的教学案例。案例中，</w:t>
      </w:r>
      <w:r>
        <w:rPr>
          <w:rFonts w:hint="default" w:ascii="Times New Roman" w:hAnsi="Times New Roman" w:eastAsia="宋体" w:cs="Times New Roman"/>
          <w:sz w:val="24"/>
          <w:szCs w:val="24"/>
          <w:lang w:val="en-US" w:eastAsia="zh-CN"/>
        </w:rPr>
        <w:t>G</w:t>
      </w:r>
      <w:r>
        <w:rPr>
          <w:rFonts w:hint="eastAsia" w:ascii="宋体" w:hAnsi="宋体" w:eastAsia="宋体" w:cs="宋体"/>
          <w:sz w:val="24"/>
          <w:szCs w:val="24"/>
          <w:lang w:val="en-US" w:eastAsia="zh-CN"/>
        </w:rPr>
        <w:t>老师高强度运用</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法开展沉浸式教学，通过调动丰富的面部表情和夸张的肢体动作，并搭配抑扬顿挫的语气，牢牢抓取住学生的注意力。尽管教学对象为儿童且规模较大，但由于</w:t>
      </w:r>
      <w:r>
        <w:rPr>
          <w:rFonts w:hint="default" w:ascii="Times New Roman" w:hAnsi="Times New Roman" w:eastAsia="宋体" w:cs="Times New Roman"/>
          <w:sz w:val="24"/>
          <w:szCs w:val="24"/>
          <w:lang w:val="en-US" w:eastAsia="zh-CN"/>
        </w:rPr>
        <w:t>G</w:t>
      </w:r>
      <w:r>
        <w:rPr>
          <w:rFonts w:hint="eastAsia" w:ascii="宋体" w:hAnsi="宋体" w:eastAsia="宋体" w:cs="宋体"/>
          <w:sz w:val="24"/>
          <w:szCs w:val="24"/>
          <w:lang w:val="en-US" w:eastAsia="zh-CN"/>
        </w:rPr>
        <w:t>老师对竞争机制的合理把握（指令简捷明确，给遵守纪律的学生体验教具的机会）以及用身体即时反应不时戳中学生的兴奋点，整个课堂氛围相当活跃且秩序井然。可见，若恰当使用</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教学法，能够较好达到趣味性教学的目的并妥善组织学生开展课堂活动，最重要的是因为学生的注意焦点一直保持在教师身上，他们也不再有空余的精力给课堂捣乱。</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需要注意的是，</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教学法优点突出的同时，也可能带来教学进度放缓、无法完成教学指标的弊端。美国提倡对儿童进行“快乐教育”，但这种形式未必能被华裔家庭接受。因此如果要采用这种方法，也应当在尽量考察当地教学环境以及分析教学对象特点后再做决定。</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丰富课程类型，开展多样课堂活动，激发学生学习汉语的兴趣和动力</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仍然以合理分配学生精力为出发点，教师还可以和所在学校或机构沟通，看是否能开设一些中华文化体验课，并把综合课隔一段时间放到体验课后。这样做预计能够让学生充分活动手脚，满足他们对课堂上所了解到的一些传统文化知识的好奇，一方面有助于在综合课上安静有序的课堂氛围的维护，减轻课堂管理压力，另一方面能强烈激发学生对新文化知识、新语言点的学习热情。</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在课堂上，教师也可以丰富操练的形式。</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所教学的班级基本使用的是机械操练，很少让学生将自己所学的语言知识运用到交际当中，即便有男女分组的小比赛，也是读词语造句的形式。既然教学对象是儿童，我们可以试着扩充不同类型的教具、举行花样翻新的交际性活动或游戏，并准备糖果、饼干和书签等小奖励，吸引学生积极投入到活动中来。还可以将</w:t>
      </w:r>
      <w:r>
        <w:rPr>
          <w:rFonts w:hint="default" w:ascii="Times New Roman" w:hAnsi="Times New Roman" w:eastAsia="宋体" w:cs="Times New Roman"/>
          <w:sz w:val="24"/>
          <w:szCs w:val="24"/>
          <w:lang w:val="en-US" w:eastAsia="zh-CN"/>
        </w:rPr>
        <w:t>PPT</w:t>
      </w:r>
      <w:r>
        <w:rPr>
          <w:rFonts w:hint="eastAsia" w:ascii="宋体" w:hAnsi="宋体" w:eastAsia="宋体" w:cs="宋体"/>
          <w:sz w:val="24"/>
          <w:szCs w:val="24"/>
          <w:lang w:val="en-US" w:eastAsia="zh-CN"/>
        </w:rPr>
        <w:t>设计得更具有交互性和卡通性，添加动画和视频元素，用鲜明的色彩和动态表现引导学生专注听课。</w:t>
      </w:r>
    </w:p>
    <w:p>
      <w:pPr>
        <w:rPr>
          <w:rFonts w:hint="default" w:ascii="宋体" w:hAnsi="宋体" w:eastAsia="宋体" w:cs="宋体"/>
          <w:b/>
          <w:bCs/>
          <w:sz w:val="28"/>
          <w:szCs w:val="28"/>
          <w:lang w:val="en-US" w:eastAsia="zh-CN"/>
        </w:rPr>
      </w:pPr>
      <w:r>
        <w:rPr>
          <w:rFonts w:hint="default" w:ascii="Times New Roman" w:hAnsi="Times New Roman" w:eastAsia="宋体" w:cs="Times New Roman"/>
          <w:b/>
          <w:bCs/>
          <w:sz w:val="28"/>
          <w:szCs w:val="28"/>
          <w:lang w:val="en-US" w:eastAsia="zh-CN"/>
        </w:rPr>
        <w:t>4</w:t>
      </w:r>
      <w:r>
        <w:rPr>
          <w:rFonts w:hint="eastAsia" w:ascii="宋体" w:hAnsi="宋体" w:eastAsia="宋体" w:cs="宋体"/>
          <w:b/>
          <w:bCs/>
          <w:sz w:val="28"/>
          <w:szCs w:val="28"/>
          <w:lang w:val="en-US" w:eastAsia="zh-CN"/>
        </w:rPr>
        <w:t>.理论广角</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default"/>
          <w:lang w:val="en-US"/>
        </w:rPr>
      </w:pPr>
      <w:r>
        <w:rPr>
          <w:rFonts w:hint="default" w:ascii="Times New Roman" w:hAnsi="Times New Roman" w:eastAsia="宋体" w:cs="Times New Roman"/>
          <w:b/>
          <w:bCs/>
          <w:sz w:val="24"/>
          <w:szCs w:val="24"/>
          <w:lang w:val="en-US" w:eastAsia="zh-CN"/>
        </w:rPr>
        <w:t>4</w:t>
      </w:r>
      <w:r>
        <w:rPr>
          <w:rFonts w:hint="eastAsia" w:ascii="宋体" w:hAnsi="宋体" w:eastAsia="宋体" w:cs="宋体"/>
          <w:b/>
          <w:bCs/>
          <w:sz w:val="24"/>
          <w:szCs w:val="24"/>
          <w:lang w:val="en-US" w:eastAsia="zh-CN"/>
        </w:rPr>
        <w:t>.</w:t>
      </w:r>
      <w:r>
        <w:rPr>
          <w:rFonts w:hint="default" w:ascii="Times New Roman" w:hAnsi="Times New Roman" w:eastAsia="宋体" w:cs="Times New Roman"/>
          <w:b/>
          <w:bCs/>
          <w:sz w:val="24"/>
          <w:szCs w:val="24"/>
          <w:lang w:val="en-US" w:eastAsia="zh-CN"/>
        </w:rPr>
        <w:t>1</w:t>
      </w:r>
      <w:r>
        <w:rPr>
          <w:rFonts w:hint="eastAsia" w:ascii="宋体" w:hAnsi="宋体" w:eastAsia="宋体" w:cs="宋体"/>
          <w:b/>
          <w:bCs/>
          <w:sz w:val="24"/>
          <w:szCs w:val="24"/>
          <w:lang w:val="en-US" w:eastAsia="zh-CN"/>
        </w:rPr>
        <w:t xml:space="preserve"> </w:t>
      </w:r>
      <w:r>
        <w:rPr>
          <w:rFonts w:hint="default" w:ascii="Times New Roman" w:hAnsi="Times New Roman" w:eastAsia="宋体" w:cs="Times New Roman"/>
          <w:b/>
          <w:bCs/>
          <w:sz w:val="24"/>
          <w:szCs w:val="24"/>
          <w:lang w:val="en-US" w:eastAsia="zh-CN"/>
        </w:rPr>
        <w:t>TPR</w:t>
      </w:r>
      <w:r>
        <w:rPr>
          <w:rFonts w:hint="eastAsia" w:ascii="宋体" w:hAnsi="宋体" w:eastAsia="宋体" w:cs="宋体"/>
          <w:b/>
          <w:bCs/>
          <w:sz w:val="24"/>
          <w:szCs w:val="24"/>
          <w:lang w:val="en-US" w:eastAsia="zh-CN"/>
        </w:rPr>
        <w:t>教学法</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全身反应法（</w:t>
      </w:r>
      <w:r>
        <w:rPr>
          <w:rFonts w:hint="default" w:ascii="Times New Roman" w:hAnsi="Times New Roman" w:eastAsia="宋体" w:cs="Times New Roman"/>
          <w:sz w:val="24"/>
          <w:szCs w:val="24"/>
          <w:lang w:val="en-US" w:eastAsia="zh-CN"/>
        </w:rPr>
        <w:t>Total</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lang w:val="en-US" w:eastAsia="zh-CN"/>
        </w:rPr>
        <w:t>Physical</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lang w:val="en-US" w:eastAsia="zh-CN"/>
        </w:rPr>
        <w:t>Response</w:t>
      </w:r>
      <w:r>
        <w:rPr>
          <w:rFonts w:hint="eastAsia" w:ascii="宋体" w:hAnsi="宋体" w:eastAsia="宋体" w:cs="宋体"/>
          <w:sz w:val="24"/>
          <w:szCs w:val="24"/>
          <w:lang w:val="en-US" w:eastAsia="zh-CN"/>
        </w:rPr>
        <w:t>，简称</w:t>
      </w:r>
      <w:r>
        <w:rPr>
          <w:rFonts w:hint="default" w:ascii="Times New Roman" w:hAnsi="Times New Roman" w:eastAsia="宋体" w:cs="Times New Roman"/>
          <w:sz w:val="24"/>
          <w:szCs w:val="24"/>
          <w:lang w:val="en-US" w:eastAsia="zh-CN"/>
        </w:rPr>
        <w:t>TPR</w:t>
      </w:r>
      <w:r>
        <w:rPr>
          <w:rFonts w:hint="eastAsia" w:ascii="宋体" w:hAnsi="宋体" w:eastAsia="宋体" w:cs="宋体"/>
          <w:sz w:val="24"/>
          <w:szCs w:val="24"/>
          <w:lang w:val="en-US" w:eastAsia="zh-CN"/>
        </w:rPr>
        <w:t>）是心理学教授詹姆士·阿歇尔(</w:t>
      </w:r>
      <w:r>
        <w:rPr>
          <w:rFonts w:hint="default" w:ascii="Times New Roman" w:hAnsi="Times New Roman" w:eastAsia="宋体" w:cs="Times New Roman"/>
          <w:sz w:val="24"/>
          <w:szCs w:val="24"/>
          <w:lang w:val="en-US" w:eastAsia="zh-CN"/>
        </w:rPr>
        <w:t>James</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lang w:val="en-US" w:eastAsia="zh-CN"/>
        </w:rPr>
        <w:t>Asher</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1966</w:t>
      </w:r>
      <w:r>
        <w:rPr>
          <w:rFonts w:hint="eastAsia" w:ascii="宋体" w:hAnsi="宋体" w:eastAsia="宋体" w:cs="宋体"/>
          <w:sz w:val="24"/>
          <w:szCs w:val="24"/>
          <w:lang w:val="en-US" w:eastAsia="zh-CN"/>
        </w:rPr>
        <w:t>年提出的一种教学方法。全身反应法倡导把语言和行为联系在一起，通过身体动作教授语言，这种方法使孩子们可以水到渠成的完成从听到说的学习过程。</w:t>
      </w:r>
    </w:p>
    <w:p>
      <w:pPr>
        <w:keepNext w:val="0"/>
        <w:keepLines w:val="0"/>
        <w:pageBreakBefore w:val="0"/>
        <w:widowControl w:val="0"/>
        <w:kinsoku/>
        <w:wordWrap/>
        <w:overflowPunct/>
        <w:topLinePunct w:val="0"/>
        <w:autoSpaceDE/>
        <w:autoSpaceDN/>
        <w:bidi w:val="0"/>
        <w:adjustRightInd/>
        <w:snapToGrid/>
        <w:spacing w:before="79" w:beforeLines="25" w:after="79" w:afterLines="25" w:line="312" w:lineRule="auto"/>
        <w:textAlignment w:val="auto"/>
        <w:rPr>
          <w:rFonts w:hint="default" w:eastAsiaTheme="minorEastAsia"/>
          <w:lang w:val="en-US" w:eastAsia="zh-CN"/>
        </w:rPr>
      </w:pPr>
      <w:r>
        <w:rPr>
          <w:rFonts w:hint="default" w:ascii="Times New Roman" w:hAnsi="Times New Roman" w:eastAsia="宋体" w:cs="Times New Roman"/>
          <w:b/>
          <w:bCs/>
          <w:sz w:val="24"/>
          <w:szCs w:val="24"/>
          <w:lang w:val="en-US" w:eastAsia="zh-CN"/>
        </w:rPr>
        <w:t>4</w:t>
      </w:r>
      <w:r>
        <w:rPr>
          <w:rFonts w:hint="eastAsia" w:ascii="宋体" w:hAnsi="宋体" w:eastAsia="宋体" w:cs="宋体"/>
          <w:b/>
          <w:bCs/>
          <w:sz w:val="24"/>
          <w:szCs w:val="24"/>
          <w:lang w:val="en-US" w:eastAsia="zh-CN"/>
        </w:rPr>
        <w:t>.</w:t>
      </w:r>
      <w:r>
        <w:rPr>
          <w:rFonts w:hint="default"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海外华裔儿童的汉语教学</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华裔汉语学习者多为</w:t>
      </w:r>
      <w:r>
        <w:rPr>
          <w:rFonts w:hint="default" w:ascii="Times New Roman" w:hAnsi="Times New Roman" w:eastAsia="宋体" w:cs="Times New Roman"/>
          <w:sz w:val="24"/>
          <w:szCs w:val="24"/>
          <w:lang w:val="en-US" w:eastAsia="zh-CN"/>
        </w:rPr>
        <w:t>4</w:t>
      </w:r>
      <w:r>
        <w:rPr>
          <w:rFonts w:hint="eastAsia" w:ascii="宋体" w:hAnsi="宋体" w:eastAsia="宋体" w:cs="宋体"/>
          <w:sz w:val="24"/>
          <w:szCs w:val="24"/>
          <w:lang w:val="en-US" w:eastAsia="zh-CN"/>
        </w:rPr>
        <w:t>-</w:t>
      </w:r>
      <w:r>
        <w:rPr>
          <w:rFonts w:hint="default" w:ascii="Times New Roman" w:hAnsi="Times New Roman" w:eastAsia="宋体" w:cs="Times New Roman"/>
          <w:sz w:val="24"/>
          <w:szCs w:val="24"/>
          <w:lang w:val="en-US" w:eastAsia="zh-CN"/>
        </w:rPr>
        <w:t>15</w:t>
      </w:r>
      <w:r>
        <w:rPr>
          <w:rFonts w:hint="eastAsia" w:ascii="宋体" w:hAnsi="宋体" w:eastAsia="宋体" w:cs="宋体"/>
          <w:sz w:val="24"/>
          <w:szCs w:val="24"/>
          <w:lang w:val="en-US" w:eastAsia="zh-CN"/>
        </w:rPr>
        <w:t>岁的青少年及儿童，这些学生通常生活在双语环境中，家庭用语为中文。他们的中文学习动机多样，包括家庭期望、文化认同以及个人兴趣等。因此，教学时需考虑到学生的多元需求和不同的学习阶段。</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教学特点上，华裔学生往往有一定的中文基础，但可能存在听说能力与阅读写作能力不匹配的情况。他们中文听说能力基本过关，但读写能力较差，普遍开朗自信，整体缺少中华文化底蕴。部分孩子不敢说中文或对中文不感兴趣，这些成为教学中的难点。</w:t>
      </w:r>
    </w:p>
    <w:p>
      <w:pPr>
        <w:rPr>
          <w:rFonts w:hint="default" w:ascii="宋体" w:hAnsi="宋体" w:eastAsia="宋体" w:cs="宋体"/>
          <w:b/>
          <w:bCs/>
          <w:sz w:val="28"/>
          <w:szCs w:val="28"/>
          <w:lang w:val="en-US" w:eastAsia="zh-CN"/>
        </w:rPr>
      </w:pPr>
      <w:r>
        <w:rPr>
          <w:rFonts w:hint="default" w:ascii="Times New Roman" w:hAnsi="Times New Roman" w:eastAsia="宋体" w:cs="Times New Roman"/>
          <w:b/>
          <w:bCs/>
          <w:sz w:val="28"/>
          <w:szCs w:val="28"/>
          <w:lang w:val="en-US" w:eastAsia="zh-CN"/>
        </w:rPr>
        <w:t>5</w:t>
      </w:r>
      <w:r>
        <w:rPr>
          <w:rFonts w:hint="eastAsia" w:ascii="宋体" w:hAnsi="宋体" w:eastAsia="宋体" w:cs="宋体"/>
          <w:b/>
          <w:bCs/>
          <w:sz w:val="28"/>
          <w:szCs w:val="28"/>
          <w:lang w:val="en-US" w:eastAsia="zh-CN"/>
        </w:rPr>
        <w:t>.结语</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本案例通过记录并分析英国</w:t>
      </w:r>
      <w:r>
        <w:rPr>
          <w:rFonts w:hint="default" w:ascii="Times New Roman" w:hAnsi="Times New Roman" w:eastAsia="宋体" w:cs="Times New Roman"/>
          <w:sz w:val="24"/>
          <w:szCs w:val="24"/>
          <w:lang w:val="en-US" w:eastAsia="zh-CN"/>
        </w:rPr>
        <w:t>X</w:t>
      </w:r>
      <w:r>
        <w:rPr>
          <w:rFonts w:hint="eastAsia" w:ascii="宋体" w:hAnsi="宋体" w:eastAsia="宋体" w:cs="宋体"/>
          <w:sz w:val="24"/>
          <w:szCs w:val="24"/>
          <w:lang w:val="en-US" w:eastAsia="zh-CN"/>
        </w:rPr>
        <w:t>大学孔院</w:t>
      </w:r>
      <w:r>
        <w:rPr>
          <w:rFonts w:hint="default" w:ascii="Times New Roman" w:hAnsi="Times New Roman" w:eastAsia="宋体" w:cs="Times New Roman"/>
          <w:sz w:val="24"/>
          <w:szCs w:val="24"/>
          <w:lang w:val="en-US" w:eastAsia="zh-CN"/>
        </w:rPr>
        <w:t>T</w:t>
      </w:r>
      <w:r>
        <w:rPr>
          <w:rFonts w:hint="eastAsia" w:ascii="宋体" w:hAnsi="宋体" w:eastAsia="宋体" w:cs="宋体"/>
          <w:sz w:val="24"/>
          <w:szCs w:val="24"/>
          <w:lang w:val="en-US" w:eastAsia="zh-CN"/>
        </w:rPr>
        <w:t>老师在对华裔儿童的汉语综合课上所产生的一系列课堂管理问题及其解决方式，尝试为初次接触华裔儿童的汉语教师提供参考和初步建议，认为要根治学生在课堂上随意发言等扰乱课堂秩序的行为，需要通过明晰且行之有效奖惩制度、充足的动作反应和丰富的课程类型与课内外活动来引导学生建立正确认知和观念、集中有限的注意力。需要指出的是，笔者对华裔儿童的汉语教学研究涉猎尚浅，所整理案例也仅是个例，故文章内容仅作课堂讨论，实际施行还需教师根据实践自行调节。</w:t>
      </w:r>
    </w:p>
    <w:p>
      <w:pPr>
        <w:numPr>
          <w:ilvl w:val="0"/>
          <w:numId w:val="0"/>
        </w:num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before="79" w:beforeLines="25" w:after="79" w:afterLines="25" w:line="312" w:lineRule="auto"/>
        <w:textAlignment w:val="auto"/>
        <w:rPr>
          <w:rFonts w:hint="eastAsia"/>
        </w:rPr>
      </w:pPr>
      <w:r>
        <w:rPr>
          <w:rFonts w:hint="eastAsia" w:asciiTheme="minorHAnsi" w:hAnsiTheme="minorHAnsi" w:eastAsiaTheme="minorEastAsia" w:cstheme="minorBidi"/>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1</w:t>
      </w:r>
      <w:r>
        <w:rPr>
          <w:rFonts w:hint="eastAsia" w:asciiTheme="minorHAnsi" w:hAnsiTheme="minorHAnsi" w:eastAsiaTheme="minorEastAsia" w:cstheme="minorBidi"/>
          <w:kern w:val="2"/>
          <w:sz w:val="21"/>
          <w:szCs w:val="24"/>
          <w:lang w:val="en-US" w:eastAsia="zh-CN" w:bidi="ar-SA"/>
        </w:rPr>
        <w:t>]</w:t>
      </w:r>
      <w:r>
        <w:rPr>
          <w:rFonts w:hint="eastAsia"/>
          <w:sz w:val="21"/>
          <w:szCs w:val="21"/>
        </w:rPr>
        <w:t>任慧云.缅甸云华师范学院华裔儿童线上汉语课堂问题行为研究[</w:t>
      </w:r>
      <w:r>
        <w:rPr>
          <w:rFonts w:hint="default" w:ascii="Times New Roman" w:hAnsi="Times New Roman" w:cs="Times New Roman"/>
          <w:sz w:val="21"/>
          <w:szCs w:val="21"/>
        </w:rPr>
        <w:t>D</w:t>
      </w:r>
      <w:r>
        <w:rPr>
          <w:rFonts w:hint="eastAsia"/>
          <w:sz w:val="21"/>
          <w:szCs w:val="21"/>
        </w:rPr>
        <w:t>].云南师范大学:</w:t>
      </w:r>
      <w:r>
        <w:rPr>
          <w:rFonts w:hint="default" w:ascii="Times New Roman" w:hAnsi="Times New Roman" w:cs="Times New Roman"/>
          <w:sz w:val="21"/>
          <w:szCs w:val="21"/>
        </w:rPr>
        <w:t>2022</w:t>
      </w:r>
      <w:r>
        <w:rPr>
          <w:rFonts w:hint="eastAsia"/>
          <w:sz w:val="21"/>
          <w:szCs w:val="21"/>
        </w:rPr>
        <w:t>.</w:t>
      </w:r>
    </w:p>
    <w:p>
      <w:pPr>
        <w:keepNext w:val="0"/>
        <w:keepLines w:val="0"/>
        <w:pageBreakBefore w:val="0"/>
        <w:widowControl w:val="0"/>
        <w:numPr>
          <w:numId w:val="0"/>
        </w:numPr>
        <w:kinsoku/>
        <w:wordWrap/>
        <w:overflowPunct/>
        <w:topLinePunct w:val="0"/>
        <w:autoSpaceDE/>
        <w:autoSpaceDN/>
        <w:bidi w:val="0"/>
        <w:adjustRightInd/>
        <w:snapToGrid/>
        <w:spacing w:before="79" w:beforeLines="25" w:after="79" w:afterLines="25" w:line="312" w:lineRule="auto"/>
        <w:textAlignment w:val="auto"/>
        <w:rPr>
          <w:rFonts w:hint="eastAsia"/>
        </w:rPr>
      </w:pPr>
      <w:r>
        <w:rPr>
          <w:rFonts w:hint="eastAsia"/>
        </w:rPr>
        <w:t>[</w:t>
      </w:r>
      <w:r>
        <w:rPr>
          <w:rFonts w:hint="default" w:ascii="Times New Roman" w:hAnsi="Times New Roman" w:cs="Times New Roman"/>
          <w:lang w:val="en-US" w:eastAsia="zh-CN"/>
        </w:rPr>
        <w:t>2</w:t>
      </w:r>
      <w:r>
        <w:rPr>
          <w:rFonts w:hint="eastAsia"/>
        </w:rPr>
        <w:t>]商艳涛,杨恒.全身反应法(</w:t>
      </w:r>
      <w:r>
        <w:rPr>
          <w:rFonts w:hint="default" w:ascii="Times New Roman" w:hAnsi="Times New Roman" w:cs="Times New Roman"/>
        </w:rPr>
        <w:t>TPR</w:t>
      </w:r>
      <w:r>
        <w:rPr>
          <w:rFonts w:hint="eastAsia"/>
        </w:rPr>
        <w:t>)在印度尼西亚幼儿汉语教学中的应用[</w:t>
      </w:r>
      <w:r>
        <w:rPr>
          <w:rFonts w:hint="default" w:ascii="Times New Roman" w:hAnsi="Times New Roman" w:cs="Times New Roman"/>
        </w:rPr>
        <w:t>J</w:t>
      </w:r>
      <w:r>
        <w:rPr>
          <w:rFonts w:hint="eastAsia"/>
        </w:rPr>
        <w:t>].华南师范大学学报(社会科学版),</w:t>
      </w:r>
      <w:r>
        <w:rPr>
          <w:rFonts w:hint="default" w:ascii="Times New Roman" w:hAnsi="Times New Roman" w:cs="Times New Roman"/>
        </w:rPr>
        <w:t>2014</w:t>
      </w:r>
      <w:r>
        <w:rPr>
          <w:rFonts w:hint="eastAsia"/>
        </w:rPr>
        <w:t>(</w:t>
      </w:r>
      <w:r>
        <w:rPr>
          <w:rFonts w:hint="default" w:ascii="Times New Roman" w:hAnsi="Times New Roman" w:cs="Times New Roman"/>
        </w:rPr>
        <w:t>02</w:t>
      </w:r>
      <w:r>
        <w:rPr>
          <w:rFonts w:hint="eastAsia"/>
        </w:rPr>
        <w:t>):</w:t>
      </w:r>
      <w:r>
        <w:rPr>
          <w:rFonts w:hint="default" w:ascii="Times New Roman" w:hAnsi="Times New Roman" w:cs="Times New Roman"/>
        </w:rPr>
        <w:t>130</w:t>
      </w:r>
      <w:r>
        <w:rPr>
          <w:rFonts w:hint="eastAsia"/>
        </w:rPr>
        <w:t>-</w:t>
      </w:r>
      <w:r>
        <w:rPr>
          <w:rFonts w:hint="default" w:ascii="Times New Roman" w:hAnsi="Times New Roman" w:cs="Times New Roman"/>
        </w:rPr>
        <w:t>135</w:t>
      </w:r>
      <w:r>
        <w:rPr>
          <w:rFonts w:hint="eastAsia"/>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2"/>
        <w:snapToGrid w:val="0"/>
        <w:rPr>
          <w:rFonts w:hint="eastAsia" w:ascii="宋体" w:hAnsi="宋体" w:eastAsia="宋体" w:cs="宋体"/>
        </w:rPr>
      </w:pPr>
      <w:r>
        <w:rPr>
          <w:rFonts w:hint="default" w:ascii="Times New Roman" w:hAnsi="Times New Roman" w:eastAsia="宋体" w:cs="Times New Roman"/>
          <w:lang w:val="en-US" w:eastAsia="zh-CN"/>
        </w:rPr>
        <w:t>1</w:t>
      </w:r>
      <w:r>
        <w:rPr>
          <w:rFonts w:hint="eastAsia" w:ascii="宋体" w:hAnsi="宋体" w:eastAsia="宋体" w:cs="宋体"/>
          <w:lang w:val="en-US" w:eastAsia="zh-CN"/>
        </w:rPr>
        <w:t>.</w:t>
      </w:r>
      <w:r>
        <w:rPr>
          <w:rFonts w:hint="eastAsia" w:ascii="宋体" w:hAnsi="宋体" w:eastAsia="宋体" w:cs="宋体"/>
        </w:rPr>
        <w:t>本案例由南京大学</w:t>
      </w:r>
      <w:r>
        <w:rPr>
          <w:rFonts w:hint="eastAsia" w:ascii="宋体" w:hAnsi="宋体" w:eastAsia="宋体" w:cs="宋体"/>
          <w:lang w:val="en-US" w:eastAsia="zh-CN"/>
        </w:rPr>
        <w:t>文</w:t>
      </w:r>
      <w:r>
        <w:rPr>
          <w:rFonts w:hint="eastAsia" w:ascii="宋体" w:hAnsi="宋体" w:eastAsia="宋体" w:cs="宋体"/>
        </w:rPr>
        <w:t>学院的</w:t>
      </w:r>
      <w:r>
        <w:rPr>
          <w:rFonts w:hint="eastAsia" w:ascii="宋体" w:hAnsi="宋体" w:eastAsia="宋体" w:cs="宋体"/>
          <w:lang w:val="en-US" w:eastAsia="zh-CN"/>
        </w:rPr>
        <w:t>王玥鸥</w:t>
      </w:r>
      <w:r>
        <w:rPr>
          <w:rFonts w:hint="eastAsia" w:ascii="宋体" w:hAnsi="宋体" w:eastAsia="宋体" w:cs="宋体"/>
        </w:rPr>
        <w:t>撰写，案例的知识产权归属作者及所在单位所有。</w:t>
      </w:r>
    </w:p>
    <w:p>
      <w:pPr>
        <w:pStyle w:val="2"/>
        <w:snapToGrid w:val="0"/>
        <w:rPr>
          <w:rFonts w:hint="eastAsia" w:ascii="宋体" w:hAnsi="宋体" w:eastAsia="宋体" w:cs="宋体"/>
          <w:lang w:val="en-US" w:eastAsia="zh-CN"/>
        </w:rPr>
      </w:pPr>
      <w:r>
        <w:rPr>
          <w:rFonts w:hint="default" w:ascii="Times New Roman" w:hAnsi="Times New Roman" w:eastAsia="宋体" w:cs="Times New Roman"/>
          <w:lang w:val="en-US" w:eastAsia="zh-CN"/>
        </w:rPr>
        <w:t>2</w:t>
      </w:r>
      <w:r>
        <w:rPr>
          <w:rFonts w:hint="eastAsia" w:ascii="宋体" w:hAnsi="宋体" w:eastAsia="宋体" w:cs="宋体"/>
          <w:lang w:val="en-US" w:eastAsia="zh-CN"/>
        </w:rPr>
        <w:t>.本案例源自英国谢菲尔德大学孔院华裔中文课，由于保密的要求，在本案例中对有关名称、数据等做了必要的掩饰性处理。</w:t>
      </w:r>
    </w:p>
    <w:p>
      <w:pPr>
        <w:pStyle w:val="2"/>
        <w:snapToGrid w:val="0"/>
        <w:rPr>
          <w:rFonts w:hint="default"/>
          <w:lang w:val="en-US" w:eastAsia="zh-CN"/>
        </w:rPr>
      </w:pPr>
      <w:r>
        <w:rPr>
          <w:rFonts w:hint="default" w:ascii="Times New Roman" w:hAnsi="Times New Roman" w:eastAsia="宋体" w:cs="Times New Roman"/>
          <w:lang w:val="en-US" w:eastAsia="zh-CN"/>
        </w:rPr>
        <w:t>3</w:t>
      </w:r>
      <w:r>
        <w:rPr>
          <w:rFonts w:hint="eastAsia" w:ascii="宋体" w:hAnsi="宋体" w:eastAsia="宋体" w:cs="宋体"/>
          <w:lang w:val="en-US" w:eastAsia="zh-CN"/>
        </w:rPr>
        <w:t>.本案例只供课堂讨论之用，并无意暗示或说明某种管理/实践行为是否有效。</w:t>
      </w:r>
    </w:p>
    <w:p>
      <w:pPr>
        <w:pStyle w:val="2"/>
        <w:snapToGrid w:val="0"/>
        <w:rPr>
          <w:rFonts w:hint="default" w:eastAsiaTheme="minorEastAsia"/>
          <w:lang w:val="en-US" w:eastAsia="zh-CN"/>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MTllZjI2MWU2OWQ0OWRkMDVjMzUwMTEyOGUyMzIifQ=="/>
  </w:docVars>
  <w:rsids>
    <w:rsidRoot w:val="00000000"/>
    <w:rsid w:val="37034BCF"/>
    <w:rsid w:val="798B0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footnote reference"/>
    <w:basedOn w:val="4"/>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2024-06-30T20:09:00Z</dcterms:created>
  <dc:creator>iPhone</dc:creator>
  <cp:lastModifiedBy>.</cp:lastModifiedBy>
  <dcterms:modified xsi:type="dcterms:W3CDTF">2024-06-30T13:03:19Z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E84B26863F274C6282AFB54457C45EA7_13</vt:lpwstr>
  </property>
</Properties>
</file>