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right"/>
        <w:rPr>
          <w:rFonts w:ascii="宋体" w:hAnsi="宋体" w:eastAsia="宋体"/>
        </w:rPr>
      </w:pPr>
    </w:p>
    <w:p>
      <w:pPr>
        <w:pStyle w:val="6"/>
        <w:keepNext w:val="0"/>
        <w:keepLines w:val="0"/>
        <w:widowControl/>
        <w:suppressLineNumbers w:val="0"/>
        <w:spacing w:before="0" w:beforeAutospacing="0" w:after="0" w:afterAutospacing="0" w:line="10" w:lineRule="atLeast"/>
        <w:ind w:left="0" w:right="0"/>
        <w:jc w:val="center"/>
        <w:rPr>
          <w:rFonts w:hint="eastAsia" w:ascii="华文中宋" w:hAnsi="华文中宋" w:eastAsia="华文中宋" w:cs="华文中宋"/>
          <w:b/>
          <w:bCs/>
          <w:i w:val="0"/>
          <w:iCs w:val="0"/>
          <w:color w:val="000000"/>
          <w:spacing w:val="0"/>
          <w:sz w:val="72"/>
          <w:szCs w:val="72"/>
          <w:vertAlign w:val="baseline"/>
        </w:rPr>
      </w:pPr>
    </w:p>
    <w:p>
      <w:pPr>
        <w:pStyle w:val="6"/>
        <w:keepNext w:val="0"/>
        <w:keepLines w:val="0"/>
        <w:widowControl/>
        <w:suppressLineNumbers w:val="0"/>
        <w:spacing w:before="0" w:beforeAutospacing="0" w:after="0" w:afterAutospacing="0" w:line="10" w:lineRule="atLeast"/>
        <w:ind w:left="0" w:right="0"/>
        <w:jc w:val="center"/>
        <w:rPr>
          <w:rFonts w:hint="eastAsia" w:ascii="华文中宋" w:hAnsi="华文中宋" w:eastAsia="华文中宋" w:cs="华文中宋"/>
          <w:b/>
          <w:bCs/>
          <w:i w:val="0"/>
          <w:iCs w:val="0"/>
          <w:color w:val="000000"/>
          <w:spacing w:val="0"/>
          <w:sz w:val="72"/>
          <w:szCs w:val="72"/>
          <w:vertAlign w:val="baseline"/>
        </w:rPr>
      </w:pPr>
    </w:p>
    <w:p>
      <w:pPr>
        <w:pStyle w:val="6"/>
        <w:keepNext w:val="0"/>
        <w:keepLines w:val="0"/>
        <w:widowControl/>
        <w:suppressLineNumbers w:val="0"/>
        <w:spacing w:before="0" w:beforeAutospacing="0" w:after="0" w:afterAutospacing="0" w:line="10" w:lineRule="atLeast"/>
        <w:ind w:left="0" w:right="0"/>
        <w:jc w:val="center"/>
      </w:pPr>
      <w:r>
        <w:rPr>
          <w:rFonts w:hint="eastAsia" w:ascii="华文中宋" w:hAnsi="华文中宋" w:eastAsia="华文中宋" w:cs="华文中宋"/>
          <w:b/>
          <w:bCs/>
          <w:i w:val="0"/>
          <w:iCs w:val="0"/>
          <w:color w:val="000000"/>
          <w:spacing w:val="0"/>
          <w:sz w:val="72"/>
          <w:szCs w:val="72"/>
          <w:vertAlign w:val="baseline"/>
        </w:rPr>
        <w:t>研 究 生 课 程 作 业</w:t>
      </w:r>
    </w:p>
    <w:p>
      <w:pPr>
        <w:pStyle w:val="6"/>
        <w:keepNext w:val="0"/>
        <w:keepLines w:val="0"/>
        <w:widowControl/>
        <w:suppressLineNumbers w:val="0"/>
        <w:spacing w:before="0" w:beforeAutospacing="0" w:after="0" w:afterAutospacing="0" w:line="10" w:lineRule="atLeast"/>
        <w:ind w:left="0" w:right="0"/>
        <w:jc w:val="both"/>
      </w:pPr>
    </w:p>
    <w:p>
      <w:pPr>
        <w:pStyle w:val="6"/>
        <w:keepNext w:val="0"/>
        <w:keepLines w:val="0"/>
        <w:widowControl/>
        <w:suppressLineNumbers w:val="0"/>
        <w:spacing w:before="0" w:beforeAutospacing="0" w:after="0" w:afterAutospacing="0" w:line="10" w:lineRule="atLeast"/>
        <w:ind w:left="0" w:right="0"/>
        <w:jc w:val="both"/>
      </w:pPr>
    </w:p>
    <w:p>
      <w:pPr>
        <w:pStyle w:val="6"/>
        <w:keepNext w:val="0"/>
        <w:keepLines w:val="0"/>
        <w:widowControl/>
        <w:suppressLineNumbers w:val="0"/>
        <w:spacing w:before="0" w:beforeAutospacing="0" w:after="0" w:afterAutospacing="0" w:line="10" w:lineRule="atLeast"/>
        <w:ind w:left="0" w:right="0"/>
        <w:jc w:val="both"/>
      </w:pPr>
    </w:p>
    <w:p>
      <w:pPr>
        <w:pStyle w:val="6"/>
        <w:keepNext w:val="0"/>
        <w:keepLines w:val="0"/>
        <w:widowControl/>
        <w:suppressLineNumbers w:val="0"/>
        <w:spacing w:before="0" w:beforeAutospacing="0" w:after="0" w:afterAutospacing="0" w:line="15" w:lineRule="atLeast"/>
        <w:ind w:left="630" w:right="0"/>
        <w:jc w:val="both"/>
      </w:pPr>
    </w:p>
    <w:p>
      <w:pPr>
        <w:pStyle w:val="6"/>
        <w:keepNext w:val="0"/>
        <w:keepLines w:val="0"/>
        <w:widowControl/>
        <w:suppressLineNumbers w:val="0"/>
        <w:spacing w:before="0" w:beforeAutospacing="0" w:after="0" w:afterAutospacing="0" w:line="15" w:lineRule="atLeast"/>
        <w:ind w:left="630" w:right="0"/>
        <w:jc w:val="both"/>
        <w:rPr>
          <w:rFonts w:hint="default" w:eastAsia="华文中宋"/>
          <w:lang w:val="en-US" w:eastAsia="zh-CN"/>
        </w:rPr>
      </w:pPr>
      <w:r>
        <w:rPr>
          <w:rFonts w:hint="eastAsia" w:ascii="华文中宋" w:hAnsi="华文中宋" w:eastAsia="华文中宋" w:cs="华文中宋"/>
          <w:i w:val="0"/>
          <w:iCs w:val="0"/>
          <w:color w:val="000000"/>
          <w:spacing w:val="0"/>
          <w:sz w:val="32"/>
          <w:szCs w:val="32"/>
          <w:vertAlign w:val="baseline"/>
        </w:rPr>
        <w:t>作业题目：</w:t>
      </w:r>
      <w:r>
        <w:rPr>
          <w:rFonts w:hint="eastAsia" w:ascii="华文中宋" w:hAnsi="华文中宋" w:eastAsia="华文中宋" w:cs="华文中宋"/>
          <w:i w:val="0"/>
          <w:iCs w:val="0"/>
          <w:color w:val="000000"/>
          <w:spacing w:val="0"/>
          <w:sz w:val="32"/>
          <w:szCs w:val="32"/>
          <w:u w:val="single"/>
          <w:vertAlign w:val="baseline"/>
        </w:rPr>
        <w:t xml:space="preserve"> </w:t>
      </w:r>
      <w:r>
        <w:rPr>
          <w:rFonts w:hint="eastAsia" w:ascii="华文中宋" w:hAnsi="华文中宋" w:eastAsia="华文中宋" w:cs="华文中宋"/>
          <w:i w:val="0"/>
          <w:iCs w:val="0"/>
          <w:color w:val="000000"/>
          <w:spacing w:val="0"/>
          <w:sz w:val="32"/>
          <w:szCs w:val="32"/>
          <w:u w:val="single"/>
          <w:vertAlign w:val="baseline"/>
          <w:lang w:val="en-US" w:eastAsia="zh-CN"/>
        </w:rPr>
        <w:t xml:space="preserve">国外汉语中级听说课课堂互动特征分析——以德国G大某汉语听说课为例   </w:t>
      </w:r>
    </w:p>
    <w:p>
      <w:pPr>
        <w:pStyle w:val="6"/>
        <w:keepNext w:val="0"/>
        <w:keepLines w:val="0"/>
        <w:widowControl/>
        <w:suppressLineNumbers w:val="0"/>
        <w:spacing w:before="0" w:beforeAutospacing="0" w:after="0" w:afterAutospacing="0" w:line="15" w:lineRule="atLeast"/>
        <w:ind w:left="630" w:right="0"/>
        <w:jc w:val="both"/>
      </w:pPr>
      <w:r>
        <w:rPr>
          <w:rFonts w:hint="eastAsia" w:ascii="华文中宋" w:hAnsi="华文中宋" w:eastAsia="华文中宋" w:cs="华文中宋"/>
          <w:i w:val="0"/>
          <w:iCs w:val="0"/>
          <w:color w:val="000000"/>
          <w:spacing w:val="0"/>
          <w:sz w:val="32"/>
          <w:szCs w:val="32"/>
          <w:vertAlign w:val="baseline"/>
        </w:rPr>
        <w:t>学 期：</w:t>
      </w:r>
      <w:r>
        <w:rPr>
          <w:rFonts w:hint="eastAsia" w:ascii="华文中宋" w:hAnsi="华文中宋" w:eastAsia="华文中宋" w:cs="华文中宋"/>
          <w:i w:val="0"/>
          <w:iCs w:val="0"/>
          <w:color w:val="000000"/>
          <w:spacing w:val="0"/>
          <w:sz w:val="32"/>
          <w:szCs w:val="32"/>
          <w:u w:val="single"/>
          <w:vertAlign w:val="baseline"/>
        </w:rPr>
        <w:t xml:space="preserve"> 202</w:t>
      </w:r>
      <w:r>
        <w:rPr>
          <w:rFonts w:hint="eastAsia" w:ascii="华文中宋" w:hAnsi="华文中宋" w:eastAsia="华文中宋" w:cs="华文中宋"/>
          <w:i w:val="0"/>
          <w:iCs w:val="0"/>
          <w:color w:val="000000"/>
          <w:spacing w:val="0"/>
          <w:sz w:val="32"/>
          <w:szCs w:val="32"/>
          <w:u w:val="single"/>
          <w:vertAlign w:val="baseline"/>
          <w:lang w:val="en-US" w:eastAsia="zh-CN"/>
        </w:rPr>
        <w:t>3</w:t>
      </w:r>
      <w:r>
        <w:rPr>
          <w:rFonts w:hint="eastAsia" w:ascii="华文中宋" w:hAnsi="华文中宋" w:eastAsia="华文中宋" w:cs="华文中宋"/>
          <w:i w:val="0"/>
          <w:iCs w:val="0"/>
          <w:color w:val="000000"/>
          <w:spacing w:val="0"/>
          <w:sz w:val="32"/>
          <w:szCs w:val="32"/>
          <w:u w:val="single"/>
          <w:vertAlign w:val="baseline"/>
        </w:rPr>
        <w:t>-202</w:t>
      </w:r>
      <w:r>
        <w:rPr>
          <w:rFonts w:hint="eastAsia" w:ascii="华文中宋" w:hAnsi="华文中宋" w:eastAsia="华文中宋" w:cs="华文中宋"/>
          <w:i w:val="0"/>
          <w:iCs w:val="0"/>
          <w:color w:val="000000"/>
          <w:spacing w:val="0"/>
          <w:sz w:val="32"/>
          <w:szCs w:val="32"/>
          <w:u w:val="single"/>
          <w:vertAlign w:val="baseline"/>
          <w:lang w:val="en-US" w:eastAsia="zh-CN"/>
        </w:rPr>
        <w:t>4</w:t>
      </w:r>
      <w:r>
        <w:rPr>
          <w:rFonts w:hint="eastAsia" w:ascii="华文中宋" w:hAnsi="华文中宋" w:eastAsia="华文中宋" w:cs="华文中宋"/>
          <w:i w:val="0"/>
          <w:iCs w:val="0"/>
          <w:color w:val="000000"/>
          <w:spacing w:val="0"/>
          <w:sz w:val="32"/>
          <w:szCs w:val="32"/>
          <w:u w:val="single"/>
          <w:vertAlign w:val="baseline"/>
        </w:rPr>
        <w:t xml:space="preserve"> 学年 第</w:t>
      </w:r>
      <w:r>
        <w:rPr>
          <w:rFonts w:hint="eastAsia" w:ascii="华文中宋" w:hAnsi="华文中宋" w:eastAsia="华文中宋" w:cs="华文中宋"/>
          <w:i w:val="0"/>
          <w:iCs w:val="0"/>
          <w:color w:val="000000"/>
          <w:spacing w:val="0"/>
          <w:sz w:val="32"/>
          <w:szCs w:val="32"/>
          <w:u w:val="single"/>
          <w:vertAlign w:val="baseline"/>
          <w:lang w:val="en-US" w:eastAsia="zh-CN"/>
        </w:rPr>
        <w:t>二</w:t>
      </w:r>
      <w:r>
        <w:rPr>
          <w:rFonts w:hint="eastAsia" w:ascii="华文中宋" w:hAnsi="华文中宋" w:eastAsia="华文中宋" w:cs="华文中宋"/>
          <w:i w:val="0"/>
          <w:iCs w:val="0"/>
          <w:color w:val="000000"/>
          <w:spacing w:val="0"/>
          <w:sz w:val="32"/>
          <w:szCs w:val="32"/>
          <w:u w:val="single"/>
          <w:vertAlign w:val="baseline"/>
        </w:rPr>
        <w:t xml:space="preserve">学期 </w:t>
      </w:r>
    </w:p>
    <w:p>
      <w:pPr>
        <w:pStyle w:val="6"/>
        <w:keepNext w:val="0"/>
        <w:keepLines w:val="0"/>
        <w:widowControl/>
        <w:suppressLineNumbers w:val="0"/>
        <w:spacing w:before="0" w:beforeAutospacing="0" w:after="0" w:afterAutospacing="0" w:line="15" w:lineRule="atLeast"/>
        <w:ind w:left="630" w:right="0"/>
        <w:jc w:val="both"/>
      </w:pPr>
      <w:r>
        <w:rPr>
          <w:rFonts w:hint="eastAsia" w:ascii="华文中宋" w:hAnsi="华文中宋" w:eastAsia="华文中宋" w:cs="华文中宋"/>
          <w:i w:val="0"/>
          <w:iCs w:val="0"/>
          <w:color w:val="000000"/>
          <w:spacing w:val="0"/>
          <w:sz w:val="32"/>
          <w:szCs w:val="32"/>
          <w:vertAlign w:val="baseline"/>
        </w:rPr>
        <w:t>学生姓名：</w:t>
      </w:r>
      <w:r>
        <w:rPr>
          <w:rFonts w:hint="eastAsia" w:ascii="华文中宋" w:hAnsi="华文中宋" w:eastAsia="华文中宋" w:cs="华文中宋"/>
          <w:i w:val="0"/>
          <w:iCs w:val="0"/>
          <w:color w:val="000000"/>
          <w:spacing w:val="0"/>
          <w:sz w:val="32"/>
          <w:szCs w:val="32"/>
          <w:u w:val="single"/>
          <w:vertAlign w:val="baseline"/>
        </w:rPr>
        <w:t xml:space="preserve"> </w:t>
      </w:r>
      <w:r>
        <w:rPr>
          <w:rFonts w:hint="eastAsia" w:ascii="华文中宋" w:hAnsi="华文中宋" w:eastAsia="华文中宋" w:cs="华文中宋"/>
          <w:i w:val="0"/>
          <w:iCs w:val="0"/>
          <w:color w:val="000000"/>
          <w:spacing w:val="0"/>
          <w:sz w:val="32"/>
          <w:szCs w:val="32"/>
          <w:u w:val="single"/>
          <w:vertAlign w:val="baseline"/>
          <w:lang w:val="en-US" w:eastAsia="zh-CN"/>
        </w:rPr>
        <w:t>吴蕊珈 522023200014</w:t>
      </w:r>
      <w:r>
        <w:rPr>
          <w:rFonts w:hint="eastAsia" w:ascii="华文中宋" w:hAnsi="华文中宋" w:eastAsia="华文中宋" w:cs="华文中宋"/>
          <w:i w:val="0"/>
          <w:iCs w:val="0"/>
          <w:color w:val="000000"/>
          <w:spacing w:val="0"/>
          <w:sz w:val="32"/>
          <w:szCs w:val="32"/>
          <w:u w:val="single"/>
          <w:vertAlign w:val="baseline"/>
        </w:rPr>
        <w:t xml:space="preserve"> </w:t>
      </w:r>
    </w:p>
    <w:p>
      <w:pPr>
        <w:pStyle w:val="6"/>
        <w:keepNext w:val="0"/>
        <w:keepLines w:val="0"/>
        <w:widowControl/>
        <w:suppressLineNumbers w:val="0"/>
        <w:spacing w:before="0" w:beforeAutospacing="0" w:after="0" w:afterAutospacing="0" w:line="15" w:lineRule="atLeast"/>
        <w:ind w:left="630" w:right="0"/>
        <w:jc w:val="both"/>
      </w:pPr>
      <w:r>
        <w:rPr>
          <w:rFonts w:hint="eastAsia" w:ascii="华文中宋" w:hAnsi="华文中宋" w:eastAsia="华文中宋" w:cs="华文中宋"/>
          <w:i w:val="0"/>
          <w:iCs w:val="0"/>
          <w:color w:val="000000"/>
          <w:spacing w:val="0"/>
          <w:sz w:val="32"/>
          <w:szCs w:val="32"/>
          <w:vertAlign w:val="baseline"/>
        </w:rPr>
        <w:t>年 级：</w:t>
      </w:r>
      <w:r>
        <w:rPr>
          <w:rFonts w:hint="eastAsia" w:ascii="华文中宋" w:hAnsi="华文中宋" w:eastAsia="华文中宋" w:cs="华文中宋"/>
          <w:i w:val="0"/>
          <w:iCs w:val="0"/>
          <w:color w:val="000000"/>
          <w:spacing w:val="0"/>
          <w:sz w:val="32"/>
          <w:szCs w:val="32"/>
          <w:u w:val="single"/>
          <w:vertAlign w:val="baseline"/>
        </w:rPr>
        <w:t xml:space="preserve"> 20</w:t>
      </w:r>
      <w:r>
        <w:rPr>
          <w:rFonts w:hint="eastAsia" w:ascii="华文中宋" w:hAnsi="华文中宋" w:eastAsia="华文中宋" w:cs="华文中宋"/>
          <w:i w:val="0"/>
          <w:iCs w:val="0"/>
          <w:color w:val="000000"/>
          <w:spacing w:val="0"/>
          <w:sz w:val="32"/>
          <w:szCs w:val="32"/>
          <w:u w:val="single"/>
          <w:vertAlign w:val="baseline"/>
          <w:lang w:val="en-US" w:eastAsia="zh-CN"/>
        </w:rPr>
        <w:t>23</w:t>
      </w:r>
      <w:r>
        <w:rPr>
          <w:rFonts w:hint="eastAsia" w:ascii="华文中宋" w:hAnsi="华文中宋" w:eastAsia="华文中宋" w:cs="华文中宋"/>
          <w:i w:val="0"/>
          <w:iCs w:val="0"/>
          <w:color w:val="000000"/>
          <w:spacing w:val="0"/>
          <w:sz w:val="32"/>
          <w:szCs w:val="32"/>
          <w:u w:val="single"/>
          <w:vertAlign w:val="baseline"/>
        </w:rPr>
        <w:t xml:space="preserve">级 </w:t>
      </w:r>
    </w:p>
    <w:p>
      <w:pPr>
        <w:pStyle w:val="6"/>
        <w:keepNext w:val="0"/>
        <w:keepLines w:val="0"/>
        <w:widowControl/>
        <w:suppressLineNumbers w:val="0"/>
        <w:spacing w:before="0" w:beforeAutospacing="0" w:after="0" w:afterAutospacing="0" w:line="15" w:lineRule="atLeast"/>
        <w:ind w:left="630" w:right="0"/>
        <w:jc w:val="both"/>
      </w:pPr>
      <w:r>
        <w:rPr>
          <w:rFonts w:hint="eastAsia" w:ascii="华文中宋" w:hAnsi="华文中宋" w:eastAsia="华文中宋" w:cs="华文中宋"/>
          <w:i w:val="0"/>
          <w:iCs w:val="0"/>
          <w:color w:val="000000"/>
          <w:spacing w:val="0"/>
          <w:sz w:val="32"/>
          <w:szCs w:val="32"/>
          <w:vertAlign w:val="baseline"/>
        </w:rPr>
        <w:t>院系单位：</w:t>
      </w:r>
      <w:r>
        <w:rPr>
          <w:rFonts w:hint="eastAsia" w:ascii="华文中宋" w:hAnsi="华文中宋" w:eastAsia="华文中宋" w:cs="华文中宋"/>
          <w:i w:val="0"/>
          <w:iCs w:val="0"/>
          <w:color w:val="000000"/>
          <w:spacing w:val="0"/>
          <w:sz w:val="32"/>
          <w:szCs w:val="32"/>
          <w:u w:val="single"/>
          <w:vertAlign w:val="baseline"/>
        </w:rPr>
        <w:t xml:space="preserve"> </w:t>
      </w:r>
      <w:r>
        <w:rPr>
          <w:rFonts w:hint="eastAsia" w:ascii="华文中宋" w:hAnsi="华文中宋" w:eastAsia="华文中宋" w:cs="华文中宋"/>
          <w:i w:val="0"/>
          <w:iCs w:val="0"/>
          <w:color w:val="000000"/>
          <w:spacing w:val="0"/>
          <w:sz w:val="32"/>
          <w:szCs w:val="32"/>
          <w:u w:val="single"/>
          <w:vertAlign w:val="baseline"/>
          <w:lang w:val="en-US" w:eastAsia="zh-CN"/>
        </w:rPr>
        <w:t>海外</w:t>
      </w:r>
      <w:r>
        <w:rPr>
          <w:rFonts w:hint="eastAsia" w:ascii="华文中宋" w:hAnsi="华文中宋" w:eastAsia="华文中宋" w:cs="华文中宋"/>
          <w:i w:val="0"/>
          <w:iCs w:val="0"/>
          <w:color w:val="000000"/>
          <w:spacing w:val="0"/>
          <w:sz w:val="32"/>
          <w:szCs w:val="32"/>
          <w:u w:val="single"/>
          <w:vertAlign w:val="baseline"/>
        </w:rPr>
        <w:t xml:space="preserve">教育学院 </w:t>
      </w:r>
    </w:p>
    <w:p>
      <w:pPr>
        <w:pStyle w:val="6"/>
        <w:keepNext w:val="0"/>
        <w:keepLines w:val="0"/>
        <w:widowControl/>
        <w:suppressLineNumbers w:val="0"/>
        <w:spacing w:before="0" w:beforeAutospacing="0" w:after="0" w:afterAutospacing="0" w:line="15" w:lineRule="atLeast"/>
        <w:ind w:left="630" w:right="0"/>
        <w:jc w:val="both"/>
      </w:pPr>
      <w:r>
        <w:rPr>
          <w:rFonts w:hint="eastAsia" w:ascii="华文中宋" w:hAnsi="华文中宋" w:eastAsia="华文中宋" w:cs="华文中宋"/>
          <w:i w:val="0"/>
          <w:iCs w:val="0"/>
          <w:color w:val="000000"/>
          <w:spacing w:val="0"/>
          <w:sz w:val="32"/>
          <w:szCs w:val="32"/>
          <w:vertAlign w:val="baseline"/>
        </w:rPr>
        <w:t>课程名称：</w:t>
      </w:r>
      <w:r>
        <w:rPr>
          <w:rFonts w:hint="eastAsia" w:ascii="华文中宋" w:hAnsi="华文中宋" w:eastAsia="华文中宋" w:cs="华文中宋"/>
          <w:i w:val="0"/>
          <w:iCs w:val="0"/>
          <w:color w:val="000000"/>
          <w:spacing w:val="0"/>
          <w:sz w:val="32"/>
          <w:szCs w:val="32"/>
          <w:u w:val="single"/>
          <w:vertAlign w:val="baseline"/>
          <w:lang w:val="en-US" w:eastAsia="zh-CN"/>
        </w:rPr>
        <w:t>国外</w:t>
      </w:r>
      <w:r>
        <w:rPr>
          <w:rFonts w:hint="eastAsia" w:ascii="华文中宋" w:hAnsi="华文中宋" w:eastAsia="华文中宋" w:cs="华文中宋"/>
          <w:i w:val="0"/>
          <w:iCs w:val="0"/>
          <w:color w:val="000000"/>
          <w:spacing w:val="0"/>
          <w:sz w:val="32"/>
          <w:szCs w:val="32"/>
          <w:u w:val="single"/>
          <w:vertAlign w:val="baseline"/>
        </w:rPr>
        <w:t xml:space="preserve">汉语教学案例分析 </w:t>
      </w:r>
    </w:p>
    <w:p>
      <w:pPr>
        <w:pStyle w:val="6"/>
        <w:keepNext w:val="0"/>
        <w:keepLines w:val="0"/>
        <w:widowControl/>
        <w:suppressLineNumbers w:val="0"/>
        <w:spacing w:before="0" w:beforeAutospacing="0" w:after="0" w:afterAutospacing="0" w:line="10" w:lineRule="atLeast"/>
        <w:ind w:right="0" w:firstLine="640" w:firstLineChars="200"/>
        <w:jc w:val="both"/>
        <w:rPr>
          <w:rFonts w:hint="default" w:eastAsia="华文中宋"/>
          <w:lang w:val="en-US" w:eastAsia="zh-CN"/>
        </w:rPr>
      </w:pPr>
      <w:r>
        <w:rPr>
          <w:rFonts w:hint="eastAsia" w:ascii="华文中宋" w:hAnsi="华文中宋" w:eastAsia="华文中宋" w:cs="华文中宋"/>
          <w:i w:val="0"/>
          <w:iCs w:val="0"/>
          <w:color w:val="000000"/>
          <w:spacing w:val="0"/>
          <w:sz w:val="32"/>
          <w:szCs w:val="32"/>
          <w:vertAlign w:val="baseline"/>
        </w:rPr>
        <w:t>完成时间：</w:t>
      </w:r>
      <w:r>
        <w:rPr>
          <w:rFonts w:hint="eastAsia" w:ascii="华文中宋" w:hAnsi="华文中宋" w:eastAsia="华文中宋" w:cs="华文中宋"/>
          <w:i w:val="0"/>
          <w:iCs w:val="0"/>
          <w:color w:val="000000"/>
          <w:spacing w:val="0"/>
          <w:sz w:val="32"/>
          <w:szCs w:val="32"/>
          <w:u w:val="single"/>
          <w:vertAlign w:val="baseline"/>
        </w:rPr>
        <w:t xml:space="preserve"> </w:t>
      </w:r>
      <w:r>
        <w:rPr>
          <w:rFonts w:hint="eastAsia" w:ascii="华文中宋" w:hAnsi="华文中宋" w:eastAsia="华文中宋" w:cs="华文中宋"/>
          <w:i w:val="0"/>
          <w:iCs w:val="0"/>
          <w:color w:val="000000"/>
          <w:spacing w:val="0"/>
          <w:sz w:val="32"/>
          <w:szCs w:val="32"/>
          <w:u w:val="single"/>
          <w:vertAlign w:val="baseline"/>
          <w:lang w:val="en-US" w:eastAsia="zh-CN"/>
        </w:rPr>
        <w:t xml:space="preserve">2024.6.20 </w:t>
      </w:r>
    </w:p>
    <w:p>
      <w:pPr>
        <w:pStyle w:val="6"/>
        <w:keepNext w:val="0"/>
        <w:keepLines w:val="0"/>
        <w:widowControl/>
        <w:suppressLineNumbers w:val="0"/>
        <w:spacing w:before="0" w:beforeAutospacing="0" w:after="0" w:afterAutospacing="0" w:line="10" w:lineRule="atLeast"/>
        <w:ind w:left="0" w:right="0"/>
        <w:jc w:val="both"/>
      </w:pPr>
    </w:p>
    <w:p>
      <w:pPr>
        <w:pStyle w:val="6"/>
        <w:keepNext w:val="0"/>
        <w:keepLines w:val="0"/>
        <w:widowControl/>
        <w:suppressLineNumbers w:val="0"/>
        <w:spacing w:before="0" w:beforeAutospacing="0" w:after="0" w:afterAutospacing="0" w:line="10" w:lineRule="atLeast"/>
        <w:ind w:left="0" w:right="0"/>
        <w:jc w:val="both"/>
      </w:pPr>
    </w:p>
    <w:p>
      <w:pPr>
        <w:pStyle w:val="6"/>
        <w:keepNext w:val="0"/>
        <w:keepLines w:val="0"/>
        <w:widowControl/>
        <w:suppressLineNumbers w:val="0"/>
        <w:spacing w:before="0" w:beforeAutospacing="0" w:after="0" w:afterAutospacing="0" w:line="10" w:lineRule="atLeast"/>
        <w:ind w:left="0" w:right="0"/>
        <w:jc w:val="both"/>
      </w:pPr>
    </w:p>
    <w:p>
      <w:pPr>
        <w:pStyle w:val="6"/>
        <w:keepNext w:val="0"/>
        <w:keepLines w:val="0"/>
        <w:widowControl/>
        <w:suppressLineNumbers w:val="0"/>
        <w:spacing w:before="0" w:beforeAutospacing="0" w:after="0" w:afterAutospacing="0" w:line="10" w:lineRule="atLeast"/>
        <w:ind w:left="0" w:right="0"/>
        <w:jc w:val="both"/>
      </w:pPr>
    </w:p>
    <w:p>
      <w:pPr>
        <w:keepNext w:val="0"/>
        <w:keepLines w:val="0"/>
        <w:pageBreakBefore w:val="0"/>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摘  要：</w:t>
      </w:r>
      <w:r>
        <w:rPr>
          <w:rFonts w:hint="eastAsia" w:ascii="宋体" w:hAnsi="宋体" w:eastAsia="宋体" w:cs="宋体"/>
          <w:sz w:val="24"/>
          <w:szCs w:val="24"/>
          <w:lang w:val="en-US" w:eastAsia="zh-CN"/>
        </w:rPr>
        <w:t>本文以德国某</w:t>
      </w:r>
      <w:r>
        <w:rPr>
          <w:rFonts w:hint="default" w:ascii="Times New Roman" w:hAnsi="Times New Roman" w:eastAsia="宋体" w:cs="Times New Roman"/>
          <w:sz w:val="24"/>
          <w:szCs w:val="24"/>
          <w:lang w:val="en-US" w:eastAsia="zh-CN"/>
        </w:rPr>
        <w:t>G</w:t>
      </w:r>
      <w:r>
        <w:rPr>
          <w:rFonts w:hint="eastAsia" w:ascii="宋体" w:hAnsi="宋体" w:eastAsia="宋体" w:cs="宋体"/>
          <w:sz w:val="24"/>
          <w:szCs w:val="24"/>
          <w:lang w:val="en-US" w:eastAsia="zh-CN"/>
        </w:rPr>
        <w:t>大中级汉语听说课为案例，借助改进型弗兰德斯互动分析系统（</w:t>
      </w:r>
      <w:r>
        <w:rPr>
          <w:rFonts w:hint="default" w:ascii="Times New Roman" w:hAnsi="Times New Roman" w:eastAsia="宋体" w:cs="Times New Roman"/>
          <w:sz w:val="24"/>
          <w:szCs w:val="24"/>
          <w:lang w:val="en-US" w:eastAsia="zh-CN"/>
        </w:rPr>
        <w:t>IFIAS</w:t>
      </w:r>
      <w:r>
        <w:rPr>
          <w:rFonts w:hint="eastAsia" w:ascii="宋体" w:hAnsi="宋体" w:eastAsia="宋体" w:cs="宋体"/>
          <w:sz w:val="24"/>
          <w:szCs w:val="24"/>
          <w:lang w:val="en-US" w:eastAsia="zh-CN"/>
        </w:rPr>
        <w:t>）对样本课程的师生言语行为进行编码记录，并试图在宏观层面上，通过曲线趋势图反映出该样本课程的整体互动情况，在微观视角上，借助矩阵图与测算各互动行为间的比率得出关于教师提问反馈，学生主动被动应答等更为突出的师生互动特点。研究发现，该听说课堂呈现出操练为主、讲解为辅，以学生为中心的优势特征，但也存在师生、生生之间互动形式单一，学生参与课堂的积极性不强等问题。根据该课堂存在的局限性，本研究从教师、学生的角度提出相应优化建议，试图为不同区域国别推动汉语听说课高质量发展抛砖引玉。</w:t>
      </w:r>
    </w:p>
    <w:p>
      <w:pPr>
        <w:keepNext w:val="0"/>
        <w:keepLines w:val="0"/>
        <w:pageBreakBefore w:val="0"/>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关键词：</w:t>
      </w:r>
      <w:r>
        <w:rPr>
          <w:rFonts w:hint="eastAsia" w:ascii="宋体" w:hAnsi="宋体" w:eastAsia="宋体" w:cs="宋体"/>
          <w:sz w:val="24"/>
          <w:szCs w:val="24"/>
          <w:lang w:val="en-US" w:eastAsia="zh-CN"/>
        </w:rPr>
        <w:t>听说课、课堂互动研究、</w:t>
      </w:r>
      <w:r>
        <w:rPr>
          <w:rFonts w:hint="default" w:ascii="Times New Roman" w:hAnsi="Times New Roman" w:eastAsia="宋体" w:cs="Times New Roman"/>
          <w:sz w:val="24"/>
          <w:szCs w:val="24"/>
          <w:lang w:val="en-US" w:eastAsia="zh-CN"/>
        </w:rPr>
        <w:t>iFIAS</w:t>
      </w:r>
      <w:r>
        <w:rPr>
          <w:rFonts w:hint="eastAsia" w:ascii="宋体" w:hAnsi="宋体" w:eastAsia="宋体" w:cs="宋体"/>
          <w:sz w:val="24"/>
          <w:szCs w:val="24"/>
          <w:lang w:val="en-US" w:eastAsia="zh-CN"/>
        </w:rPr>
        <w:t>分析、师生互动</w:t>
      </w:r>
    </w:p>
    <w:p>
      <w:pPr>
        <w:keepNext w:val="0"/>
        <w:keepLines w:val="0"/>
        <w:pageBreakBefore w:val="0"/>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p>
    <w:p>
      <w:pPr>
        <w:keepNext w:val="0"/>
        <w:keepLines w:val="0"/>
        <w:pageBreakBefore w:val="0"/>
        <w:kinsoku/>
        <w:wordWrap/>
        <w:overflowPunct/>
        <w:topLinePunct w:val="0"/>
        <w:autoSpaceDE/>
        <w:autoSpaceDN/>
        <w:bidi w:val="0"/>
        <w:adjustRightInd/>
        <w:snapToGrid/>
        <w:spacing w:line="312" w:lineRule="auto"/>
        <w:jc w:val="center"/>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引言</w:t>
      </w:r>
    </w:p>
    <w:p>
      <w:pPr>
        <w:keepNext w:val="0"/>
        <w:keepLines w:val="0"/>
        <w:pageBreakBefore w:val="0"/>
        <w:kinsoku/>
        <w:wordWrap/>
        <w:overflowPunct/>
        <w:topLinePunct w:val="0"/>
        <w:autoSpaceDE/>
        <w:autoSpaceDN/>
        <w:bidi w:val="0"/>
        <w:adjustRightInd/>
        <w:snapToGrid/>
        <w:spacing w:line="312" w:lineRule="auto"/>
        <w:ind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汉语听说课程作为培养学生语言交际能力的重要环节，其教学质量直接关系到</w:t>
      </w:r>
      <w:r>
        <w:rPr>
          <w:rFonts w:hint="eastAsia" w:ascii="宋体" w:hAnsi="宋体" w:eastAsia="宋体" w:cs="宋体"/>
          <w:b w:val="0"/>
          <w:bCs w:val="0"/>
          <w:sz w:val="24"/>
          <w:szCs w:val="24"/>
          <w:lang w:val="en-US" w:eastAsia="zh-CN"/>
        </w:rPr>
        <w:t>二语学习者</w:t>
      </w:r>
      <w:r>
        <w:rPr>
          <w:rFonts w:hint="default" w:ascii="宋体" w:hAnsi="宋体" w:eastAsia="宋体" w:cs="宋体"/>
          <w:b w:val="0"/>
          <w:bCs w:val="0"/>
          <w:sz w:val="24"/>
          <w:szCs w:val="24"/>
          <w:lang w:val="en-US" w:eastAsia="zh-CN"/>
        </w:rPr>
        <w:t>语言应用能力的提升。然而，在实际教学中，</w:t>
      </w:r>
      <w:r>
        <w:rPr>
          <w:rFonts w:hint="eastAsia" w:ascii="宋体" w:hAnsi="宋体" w:eastAsia="宋体" w:cs="宋体"/>
          <w:b w:val="0"/>
          <w:bCs w:val="0"/>
          <w:sz w:val="24"/>
          <w:szCs w:val="24"/>
          <w:lang w:val="en-US" w:eastAsia="zh-CN"/>
        </w:rPr>
        <w:t>面对繁杂的听力材料，依托于文本的语言点，</w:t>
      </w:r>
      <w:r>
        <w:rPr>
          <w:rFonts w:hint="default" w:ascii="宋体" w:hAnsi="宋体" w:eastAsia="宋体" w:cs="宋体"/>
          <w:b w:val="0"/>
          <w:bCs w:val="0"/>
          <w:sz w:val="24"/>
          <w:szCs w:val="24"/>
          <w:lang w:val="en-US" w:eastAsia="zh-CN"/>
        </w:rPr>
        <w:t>如何</w:t>
      </w:r>
      <w:r>
        <w:rPr>
          <w:rFonts w:hint="eastAsia" w:ascii="宋体" w:hAnsi="宋体" w:eastAsia="宋体" w:cs="宋体"/>
          <w:b w:val="0"/>
          <w:bCs w:val="0"/>
          <w:sz w:val="24"/>
          <w:szCs w:val="24"/>
          <w:lang w:val="en-US" w:eastAsia="zh-CN"/>
        </w:rPr>
        <w:t>设计具有针对性的课堂学习任务，</w:t>
      </w:r>
      <w:r>
        <w:rPr>
          <w:rFonts w:hint="default" w:ascii="宋体" w:hAnsi="宋体" w:eastAsia="宋体" w:cs="宋体"/>
          <w:b w:val="0"/>
          <w:bCs w:val="0"/>
          <w:sz w:val="24"/>
          <w:szCs w:val="24"/>
          <w:lang w:val="en-US" w:eastAsia="zh-CN"/>
        </w:rPr>
        <w:t>促进师生、生生之间的互动，如何激发学生的学习兴趣和积极性，是</w:t>
      </w:r>
      <w:r>
        <w:rPr>
          <w:rFonts w:hint="eastAsia" w:ascii="宋体" w:hAnsi="宋体" w:eastAsia="宋体" w:cs="宋体"/>
          <w:b w:val="0"/>
          <w:bCs w:val="0"/>
          <w:sz w:val="24"/>
          <w:szCs w:val="24"/>
          <w:lang w:val="en-US" w:eastAsia="zh-CN"/>
        </w:rPr>
        <w:t>目前学界亟待关注</w:t>
      </w:r>
      <w:r>
        <w:rPr>
          <w:rFonts w:hint="default" w:ascii="宋体" w:hAnsi="宋体" w:eastAsia="宋体" w:cs="宋体"/>
          <w:b w:val="0"/>
          <w:bCs w:val="0"/>
          <w:sz w:val="24"/>
          <w:szCs w:val="24"/>
          <w:lang w:val="en-US" w:eastAsia="zh-CN"/>
        </w:rPr>
        <w:t>的重</w:t>
      </w:r>
      <w:r>
        <w:rPr>
          <w:rFonts w:hint="eastAsia" w:ascii="宋体" w:hAnsi="宋体" w:eastAsia="宋体" w:cs="宋体"/>
          <w:b w:val="0"/>
          <w:bCs w:val="0"/>
          <w:sz w:val="24"/>
          <w:szCs w:val="24"/>
          <w:lang w:val="en-US" w:eastAsia="zh-CN"/>
        </w:rPr>
        <w:t>点</w:t>
      </w:r>
      <w:r>
        <w:rPr>
          <w:rFonts w:hint="default" w:ascii="宋体" w:hAnsi="宋体" w:eastAsia="宋体" w:cs="宋体"/>
          <w:b w:val="0"/>
          <w:bCs w:val="0"/>
          <w:sz w:val="24"/>
          <w:szCs w:val="24"/>
          <w:lang w:val="en-US" w:eastAsia="zh-CN"/>
        </w:rPr>
        <w:t>。</w:t>
      </w:r>
      <w:r>
        <w:rPr>
          <w:rFonts w:hint="eastAsia" w:ascii="宋体" w:hAnsi="宋体" w:eastAsia="宋体" w:cs="宋体"/>
          <w:b w:val="0"/>
          <w:bCs w:val="0"/>
          <w:sz w:val="24"/>
          <w:szCs w:val="24"/>
          <w:lang w:val="en-US" w:eastAsia="zh-CN"/>
        </w:rPr>
        <w:t>本文</w:t>
      </w:r>
      <w:r>
        <w:rPr>
          <w:rFonts w:hint="default" w:ascii="宋体" w:hAnsi="宋体" w:eastAsia="宋体" w:cs="宋体"/>
          <w:b w:val="0"/>
          <w:bCs w:val="0"/>
          <w:sz w:val="24"/>
          <w:szCs w:val="24"/>
          <w:lang w:val="en-US" w:eastAsia="zh-CN"/>
        </w:rPr>
        <w:t>通过对</w:t>
      </w:r>
      <w:r>
        <w:rPr>
          <w:rFonts w:hint="default" w:ascii="Times New Roman" w:hAnsi="Times New Roman" w:eastAsia="宋体" w:cs="Times New Roman"/>
          <w:b w:val="0"/>
          <w:bCs w:val="0"/>
          <w:sz w:val="24"/>
          <w:szCs w:val="24"/>
          <w:lang w:val="en-US" w:eastAsia="zh-CN"/>
        </w:rPr>
        <w:t>G</w:t>
      </w:r>
      <w:r>
        <w:rPr>
          <w:rFonts w:hint="default" w:ascii="宋体" w:hAnsi="宋体" w:eastAsia="宋体" w:cs="宋体"/>
          <w:b w:val="0"/>
          <w:bCs w:val="0"/>
          <w:sz w:val="24"/>
          <w:szCs w:val="24"/>
          <w:lang w:val="en-US" w:eastAsia="zh-CN"/>
        </w:rPr>
        <w:t>大</w:t>
      </w:r>
      <w:r>
        <w:rPr>
          <w:rFonts w:hint="eastAsia" w:ascii="宋体" w:hAnsi="宋体" w:eastAsia="宋体" w:cs="宋体"/>
          <w:b w:val="0"/>
          <w:bCs w:val="0"/>
          <w:sz w:val="24"/>
          <w:szCs w:val="24"/>
          <w:lang w:val="en-US" w:eastAsia="zh-CN"/>
        </w:rPr>
        <w:t>某节</w:t>
      </w:r>
      <w:r>
        <w:rPr>
          <w:rFonts w:hint="default" w:ascii="宋体" w:hAnsi="宋体" w:eastAsia="宋体" w:cs="宋体"/>
          <w:b w:val="0"/>
          <w:bCs w:val="0"/>
          <w:sz w:val="24"/>
          <w:szCs w:val="24"/>
          <w:lang w:val="en-US" w:eastAsia="zh-CN"/>
        </w:rPr>
        <w:t>中级汉语听说课的观察与分析</w:t>
      </w: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采用</w:t>
      </w:r>
      <w:r>
        <w:rPr>
          <w:rFonts w:hint="default" w:ascii="Times New Roman" w:hAnsi="Times New Roman" w:eastAsia="宋体" w:cs="Times New Roman"/>
          <w:b w:val="0"/>
          <w:bCs w:val="0"/>
          <w:sz w:val="24"/>
          <w:szCs w:val="24"/>
          <w:lang w:val="en-US" w:eastAsia="zh-CN"/>
        </w:rPr>
        <w:t>IFIAS</w:t>
      </w:r>
      <w:r>
        <w:rPr>
          <w:rFonts w:hint="eastAsia" w:ascii="Times New Roman" w:hAnsi="Times New Roman" w:eastAsia="宋体" w:cs="Times New Roman"/>
          <w:b w:val="0"/>
          <w:bCs w:val="0"/>
          <w:sz w:val="24"/>
          <w:szCs w:val="24"/>
          <w:lang w:val="en-US" w:eastAsia="zh-CN"/>
        </w:rPr>
        <w:t>互动分析系统</w:t>
      </w:r>
      <w:r>
        <w:rPr>
          <w:rFonts w:hint="default" w:ascii="宋体" w:hAnsi="宋体" w:eastAsia="宋体" w:cs="宋体"/>
          <w:b w:val="0"/>
          <w:bCs w:val="0"/>
          <w:sz w:val="24"/>
          <w:szCs w:val="24"/>
          <w:lang w:val="en-US" w:eastAsia="zh-CN"/>
        </w:rPr>
        <w:t>对样本课程的师生言语行为进行编码记录，试图从宏观和微观两个层面揭示该课程互动情况的全貌，并发现其中存在的问题与不足。</w:t>
      </w:r>
      <w:r>
        <w:rPr>
          <w:rFonts w:hint="eastAsia" w:ascii="宋体" w:hAnsi="宋体" w:eastAsia="宋体" w:cs="宋体"/>
          <w:b w:val="0"/>
          <w:bCs w:val="0"/>
          <w:sz w:val="24"/>
          <w:szCs w:val="24"/>
          <w:lang w:val="en-US" w:eastAsia="zh-CN"/>
        </w:rPr>
        <w:t>并进一步</w:t>
      </w:r>
      <w:r>
        <w:rPr>
          <w:rFonts w:hint="default" w:ascii="宋体" w:hAnsi="宋体" w:eastAsia="宋体" w:cs="宋体"/>
          <w:b w:val="0"/>
          <w:bCs w:val="0"/>
          <w:sz w:val="24"/>
          <w:szCs w:val="24"/>
          <w:lang w:val="en-US" w:eastAsia="zh-CN"/>
        </w:rPr>
        <w:t>从教师、学生两个角度出发，提出具体的优化建议，旨在</w:t>
      </w:r>
      <w:r>
        <w:rPr>
          <w:rFonts w:hint="eastAsia" w:ascii="宋体" w:hAnsi="宋体" w:eastAsia="宋体" w:cs="宋体"/>
          <w:b w:val="0"/>
          <w:bCs w:val="0"/>
          <w:sz w:val="24"/>
          <w:szCs w:val="24"/>
          <w:lang w:val="en-US" w:eastAsia="zh-CN"/>
        </w:rPr>
        <w:t>为</w:t>
      </w:r>
      <w:r>
        <w:rPr>
          <w:rFonts w:hint="default" w:ascii="宋体" w:hAnsi="宋体" w:eastAsia="宋体" w:cs="宋体"/>
          <w:b w:val="0"/>
          <w:bCs w:val="0"/>
          <w:sz w:val="24"/>
          <w:szCs w:val="24"/>
          <w:lang w:val="en-US" w:eastAsia="zh-CN"/>
        </w:rPr>
        <w:t>推动汉语听说课教学方法的革新与完善</w:t>
      </w:r>
      <w:r>
        <w:rPr>
          <w:rFonts w:hint="eastAsia" w:ascii="宋体" w:hAnsi="宋体" w:eastAsia="宋体" w:cs="宋体"/>
          <w:b w:val="0"/>
          <w:bCs w:val="0"/>
          <w:sz w:val="24"/>
          <w:szCs w:val="24"/>
          <w:lang w:val="en-US" w:eastAsia="zh-CN"/>
        </w:rPr>
        <w:t>抛砖引玉</w:t>
      </w:r>
      <w:r>
        <w:rPr>
          <w:rFonts w:hint="default" w:ascii="宋体" w:hAnsi="宋体" w:eastAsia="宋体" w:cs="宋体"/>
          <w:b w:val="0"/>
          <w:bCs w:val="0"/>
          <w:sz w:val="24"/>
          <w:szCs w:val="24"/>
          <w:lang w:val="en-US" w:eastAsia="zh-CN"/>
        </w:rPr>
        <w:t>，进而</w:t>
      </w:r>
      <w:r>
        <w:rPr>
          <w:rFonts w:hint="eastAsia" w:ascii="宋体" w:hAnsi="宋体" w:eastAsia="宋体" w:cs="宋体"/>
          <w:b w:val="0"/>
          <w:bCs w:val="0"/>
          <w:sz w:val="24"/>
          <w:szCs w:val="24"/>
          <w:lang w:val="en-US" w:eastAsia="zh-CN"/>
        </w:rPr>
        <w:t>推动高质量</w:t>
      </w:r>
      <w:r>
        <w:rPr>
          <w:rFonts w:hint="default" w:ascii="宋体" w:hAnsi="宋体" w:eastAsia="宋体" w:cs="宋体"/>
          <w:b w:val="0"/>
          <w:bCs w:val="0"/>
          <w:sz w:val="24"/>
          <w:szCs w:val="24"/>
          <w:lang w:val="en-US" w:eastAsia="zh-CN"/>
        </w:rPr>
        <w:t>提</w:t>
      </w:r>
      <w:r>
        <w:rPr>
          <w:rFonts w:hint="eastAsia" w:ascii="宋体" w:hAnsi="宋体" w:eastAsia="宋体" w:cs="宋体"/>
          <w:b w:val="0"/>
          <w:bCs w:val="0"/>
          <w:sz w:val="24"/>
          <w:szCs w:val="24"/>
          <w:lang w:val="en-US" w:eastAsia="zh-CN"/>
        </w:rPr>
        <w:t>升</w:t>
      </w:r>
      <w:r>
        <w:rPr>
          <w:rFonts w:hint="default" w:ascii="宋体" w:hAnsi="宋体" w:eastAsia="宋体" w:cs="宋体"/>
          <w:b w:val="0"/>
          <w:bCs w:val="0"/>
          <w:sz w:val="24"/>
          <w:szCs w:val="24"/>
          <w:lang w:val="en-US" w:eastAsia="zh-CN"/>
        </w:rPr>
        <w:t>学生的汉语语言交际能力。</w:t>
      </w:r>
    </w:p>
    <w:p>
      <w:pPr>
        <w:keepNext w:val="0"/>
        <w:keepLines w:val="0"/>
        <w:pageBreakBefore w:val="0"/>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p>
    <w:p>
      <w:pPr>
        <w:keepNext w:val="0"/>
        <w:keepLines w:val="0"/>
        <w:pageBreakBefore w:val="0"/>
        <w:numPr>
          <w:ilvl w:val="0"/>
          <w:numId w:val="1"/>
        </w:numPr>
        <w:kinsoku/>
        <w:wordWrap/>
        <w:overflowPunct/>
        <w:topLinePunct w:val="0"/>
        <w:autoSpaceDE/>
        <w:autoSpaceDN/>
        <w:bidi w:val="0"/>
        <w:adjustRightInd/>
        <w:snapToGrid/>
        <w:spacing w:line="312" w:lineRule="auto"/>
        <w:jc w:val="center"/>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课堂问题简介</w:t>
      </w:r>
      <w:r>
        <w:rPr>
          <w:rStyle w:val="11"/>
          <w:rFonts w:hint="eastAsia" w:ascii="宋体" w:hAnsi="宋体" w:eastAsia="宋体" w:cs="宋体"/>
          <w:b/>
          <w:bCs/>
          <w:sz w:val="28"/>
          <w:szCs w:val="28"/>
          <w:lang w:val="en-US" w:eastAsia="zh-CN"/>
        </w:rPr>
        <w:footnoteReference w:id="0"/>
      </w:r>
    </w:p>
    <w:p>
      <w:pPr>
        <w:keepNext w:val="0"/>
        <w:keepLines w:val="0"/>
        <w:pageBreakBefore w:val="0"/>
        <w:numPr>
          <w:ilvl w:val="0"/>
          <w:numId w:val="0"/>
        </w:numPr>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2024年5月17日杨丽老师（化名）为中级水平的同学们带来关于新时代男女身份角色的听说课。对于每一部分的听力材料，杨老师都会让同学们听三遍，第一遍听大意，第二遍听录音做判断或选择题，第三遍听后讨论。在同学们听听力的时候，杨老师习惯坐在讲台上低着头看屏幕，有不少同学在听力播放到第二遍的时候就开始犯困打瞌睡或者刷手机，杨老师并没有发现。每当进入到讨论环节时，杨老师会选择走下讲台，和某个小组一起讨论，她选择以一问一答的方式逐个了解组内同学对于讨论问题的看法，同一组的</w:t>
      </w:r>
      <w:r>
        <w:rPr>
          <w:rFonts w:hint="default" w:ascii="Times New Roman" w:hAnsi="Times New Roman" w:eastAsia="宋体" w:cs="Times New Roman"/>
          <w:sz w:val="24"/>
          <w:szCs w:val="24"/>
          <w:lang w:val="en-US" w:eastAsia="zh-CN"/>
        </w:rPr>
        <w:t>A</w:t>
      </w:r>
      <w:r>
        <w:rPr>
          <w:rFonts w:hint="eastAsia" w:ascii="宋体" w:hAnsi="宋体" w:eastAsia="宋体" w:cs="宋体"/>
          <w:sz w:val="24"/>
          <w:szCs w:val="24"/>
          <w:lang w:val="en-US" w:eastAsia="zh-CN"/>
        </w:rPr>
        <w:t>同学被问到时，</w:t>
      </w:r>
      <w:r>
        <w:rPr>
          <w:rFonts w:hint="default" w:ascii="Times New Roman" w:hAnsi="Times New Roman" w:eastAsia="宋体" w:cs="Times New Roman"/>
          <w:sz w:val="24"/>
          <w:szCs w:val="24"/>
          <w:lang w:val="en-US" w:eastAsia="zh-CN"/>
        </w:rPr>
        <w:t>B</w:t>
      </w:r>
      <w:r>
        <w:rPr>
          <w:rFonts w:hint="eastAsia" w:ascii="宋体" w:hAnsi="宋体" w:eastAsia="宋体" w:cs="宋体"/>
          <w:sz w:val="24"/>
          <w:szCs w:val="24"/>
          <w:lang w:val="en-US" w:eastAsia="zh-CN"/>
        </w:rPr>
        <w:t>就处于倾听沉默的状态，甚至有时候会做自己的事情，</w:t>
      </w:r>
      <w:r>
        <w:rPr>
          <w:rFonts w:hint="default" w:ascii="Times New Roman" w:hAnsi="Times New Roman" w:eastAsia="宋体" w:cs="Times New Roman"/>
          <w:sz w:val="24"/>
          <w:szCs w:val="24"/>
          <w:lang w:val="en-US" w:eastAsia="zh-CN"/>
        </w:rPr>
        <w:t>A</w:t>
      </w:r>
      <w:r>
        <w:rPr>
          <w:rFonts w:hint="eastAsia" w:ascii="宋体" w:hAnsi="宋体" w:eastAsia="宋体" w:cs="宋体"/>
          <w:sz w:val="24"/>
          <w:szCs w:val="24"/>
          <w:lang w:val="en-US" w:eastAsia="zh-CN"/>
        </w:rPr>
        <w:t>和</w:t>
      </w:r>
      <w:r>
        <w:rPr>
          <w:rFonts w:hint="default" w:ascii="Times New Roman" w:hAnsi="Times New Roman" w:eastAsia="宋体" w:cs="Times New Roman"/>
          <w:sz w:val="24"/>
          <w:szCs w:val="24"/>
          <w:lang w:val="en-US" w:eastAsia="zh-CN"/>
        </w:rPr>
        <w:t>B</w:t>
      </w:r>
      <w:r>
        <w:rPr>
          <w:rFonts w:hint="eastAsia" w:ascii="宋体" w:hAnsi="宋体" w:eastAsia="宋体" w:cs="宋体"/>
          <w:sz w:val="24"/>
          <w:szCs w:val="24"/>
          <w:lang w:val="en-US" w:eastAsia="zh-CN"/>
        </w:rPr>
        <w:t>之间的互动并不多，大多是杨老师点对点和某一同学的讨论互动。当讨论结束后，杨老师会点名选择同学分享观点，分享结束后杨老师通过点头、眼神示意等非言语行为表示肯定，然后便直接进入到下一环节的学习。整堂课中，每一个同学都是被点名后才回答问题，鲜少出现有人主动提问的情况。</w:t>
      </w:r>
      <w:r>
        <w:rPr>
          <w:rStyle w:val="11"/>
          <w:rFonts w:hint="eastAsia" w:ascii="宋体" w:hAnsi="宋体" w:eastAsia="宋体" w:cs="宋体"/>
          <w:sz w:val="24"/>
          <w:szCs w:val="24"/>
          <w:lang w:val="en-US" w:eastAsia="zh-CN"/>
        </w:rPr>
        <w:footnoteReference w:id="1"/>
      </w:r>
      <w:r>
        <w:rPr>
          <w:rStyle w:val="11"/>
          <w:rFonts w:hint="eastAsia" w:ascii="宋体" w:hAnsi="宋体" w:eastAsia="宋体" w:cs="宋体"/>
          <w:sz w:val="24"/>
          <w:szCs w:val="24"/>
          <w:lang w:val="en-US" w:eastAsia="zh-CN"/>
        </w:rPr>
        <w:footnoteReference w:id="2"/>
      </w:r>
    </w:p>
    <w:p>
      <w:pPr>
        <w:keepNext w:val="0"/>
        <w:keepLines w:val="0"/>
        <w:pageBreakBefore w:val="0"/>
        <w:numPr>
          <w:ilvl w:val="0"/>
          <w:numId w:val="0"/>
        </w:numPr>
        <w:kinsoku/>
        <w:wordWrap/>
        <w:overflowPunct/>
        <w:topLinePunct w:val="0"/>
        <w:autoSpaceDE/>
        <w:autoSpaceDN/>
        <w:bidi w:val="0"/>
        <w:adjustRightInd/>
        <w:snapToGrid/>
        <w:spacing w:line="312" w:lineRule="auto"/>
        <w:jc w:val="center"/>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2.研究设计</w:t>
      </w:r>
    </w:p>
    <w:p>
      <w:pPr>
        <w:keepNext w:val="0"/>
        <w:keepLines w:val="0"/>
        <w:pageBreakBefore w:val="0"/>
        <w:numPr>
          <w:ilvl w:val="0"/>
          <w:numId w:val="0"/>
        </w:numPr>
        <w:kinsoku/>
        <w:wordWrap/>
        <w:overflowPunct/>
        <w:topLinePunct w:val="0"/>
        <w:autoSpaceDE/>
        <w:autoSpaceDN/>
        <w:bidi w:val="0"/>
        <w:adjustRightInd/>
        <w:snapToGrid/>
        <w:spacing w:line="312" w:lineRule="auto"/>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2.1研究工具</w:t>
      </w:r>
    </w:p>
    <w:p>
      <w:pPr>
        <w:keepNext w:val="0"/>
        <w:keepLines w:val="0"/>
        <w:pageBreakBefore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弗兰德斯互动分析系统（</w:t>
      </w:r>
      <w:r>
        <w:rPr>
          <w:rFonts w:hint="default" w:ascii="Times New Roman" w:hAnsi="Times New Roman" w:eastAsia="宋体" w:cs="Times New Roman"/>
          <w:sz w:val="24"/>
          <w:szCs w:val="24"/>
          <w:lang w:val="en-US" w:eastAsia="zh-CN"/>
        </w:rPr>
        <w:t>Flanders Interaction Analysis System</w:t>
      </w:r>
      <w:r>
        <w:rPr>
          <w:rFonts w:hint="eastAsia" w:ascii="宋体" w:hAnsi="宋体" w:eastAsia="宋体" w:cs="宋体"/>
          <w:sz w:val="24"/>
          <w:szCs w:val="24"/>
          <w:lang w:val="en-US" w:eastAsia="zh-CN"/>
        </w:rPr>
        <w:t>，简称</w:t>
      </w:r>
      <w:r>
        <w:rPr>
          <w:rFonts w:hint="default" w:ascii="Times New Roman" w:hAnsi="Times New Roman" w:eastAsia="宋体" w:cs="Times New Roman"/>
          <w:sz w:val="24"/>
          <w:szCs w:val="24"/>
          <w:lang w:val="en-US" w:eastAsia="zh-CN"/>
        </w:rPr>
        <w:t>FIAS</w:t>
      </w:r>
      <w:r>
        <w:rPr>
          <w:rFonts w:hint="eastAsia" w:ascii="宋体" w:hAnsi="宋体" w:eastAsia="宋体" w:cs="宋体"/>
          <w:sz w:val="24"/>
          <w:szCs w:val="24"/>
          <w:lang w:val="en-US" w:eastAsia="zh-CN"/>
        </w:rPr>
        <w:t>）是一种用于记录和分析教师在教学情境下的教学行为以及师生互动事件的分析系统，是由美国学者弗兰德斯（</w:t>
      </w:r>
      <w:r>
        <w:rPr>
          <w:rFonts w:hint="default" w:ascii="Times New Roman" w:hAnsi="Times New Roman" w:eastAsia="宋体" w:cs="Times New Roman"/>
          <w:sz w:val="24"/>
          <w:szCs w:val="24"/>
          <w:lang w:val="en-US" w:eastAsia="zh-CN"/>
        </w:rPr>
        <w:t>Ned Flanders</w:t>
      </w:r>
      <w:r>
        <w:rPr>
          <w:rFonts w:hint="eastAsia" w:ascii="宋体" w:hAnsi="宋体" w:eastAsia="宋体" w:cs="宋体"/>
          <w:sz w:val="24"/>
          <w:szCs w:val="24"/>
          <w:lang w:val="en-US" w:eastAsia="zh-CN"/>
        </w:rPr>
        <w:t>）在20世纪60年代提出，并建立在贝尔斯（</w:t>
      </w:r>
      <w:r>
        <w:rPr>
          <w:rFonts w:hint="default" w:ascii="Times New Roman" w:hAnsi="Times New Roman" w:eastAsia="宋体" w:cs="Times New Roman"/>
          <w:sz w:val="24"/>
          <w:szCs w:val="24"/>
          <w:lang w:val="en-US" w:eastAsia="zh-CN"/>
        </w:rPr>
        <w:t>R.F.Bales</w:t>
      </w:r>
      <w:r>
        <w:rPr>
          <w:rFonts w:hint="eastAsia" w:ascii="宋体" w:hAnsi="宋体" w:eastAsia="宋体" w:cs="宋体"/>
          <w:sz w:val="24"/>
          <w:szCs w:val="24"/>
          <w:lang w:val="en-US" w:eastAsia="zh-CN"/>
        </w:rPr>
        <w:t>）的“群体内互动行为”理论基础上，旨在通过对教室内师生语言互动行为的观察和分析，帮助教师了解自身的教学方式，改进教学行为。</w:t>
      </w:r>
    </w:p>
    <w:p>
      <w:pPr>
        <w:keepNext w:val="0"/>
        <w:keepLines w:val="0"/>
        <w:pageBreakBefore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20世纪80年代，中国学者孙祖夏、王坦等人首次将弗兰德斯互动分析系统引入中国，鉴于其具有较强的操作性、实用性、可行性和概括性，该系统很快被广泛应用于指导和评价我国中小学的传统课堂教学中，通过引入这一系统，我国教育界开始采用量化方法对课堂教学行为进行深入分析和研究。</w:t>
      </w:r>
    </w:p>
    <w:p>
      <w:pPr>
        <w:keepNext w:val="0"/>
        <w:keepLines w:val="0"/>
        <w:pageBreakBefore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然而随着科技的进步，新媒体技术的更新换代，以及课堂教学研究的专业化程度不断加深，我国学者也逐渐注意到该系统在应用中存在的一些局限性，如分类不够细致、编码过程繁琐等。为了克服</w:t>
      </w:r>
      <w:r>
        <w:rPr>
          <w:rFonts w:hint="default" w:ascii="Times New Roman" w:hAnsi="Times New Roman" w:eastAsia="宋体" w:cs="Times New Roman"/>
          <w:sz w:val="24"/>
          <w:szCs w:val="24"/>
          <w:lang w:val="en-US" w:eastAsia="zh-CN"/>
        </w:rPr>
        <w:t>FIAS</w:t>
      </w:r>
      <w:r>
        <w:rPr>
          <w:rFonts w:hint="eastAsia" w:ascii="宋体" w:hAnsi="宋体" w:eastAsia="宋体" w:cs="宋体"/>
          <w:sz w:val="24"/>
          <w:szCs w:val="24"/>
          <w:lang w:val="en-US" w:eastAsia="zh-CN"/>
        </w:rPr>
        <w:t>的局限性并使其更适应信息时代的课堂教学分析，学者们开始探索对</w:t>
      </w:r>
      <w:r>
        <w:rPr>
          <w:rFonts w:hint="default" w:ascii="Times New Roman" w:hAnsi="Times New Roman" w:eastAsia="宋体" w:cs="Times New Roman"/>
          <w:sz w:val="24"/>
          <w:szCs w:val="24"/>
          <w:lang w:val="en-US" w:eastAsia="zh-CN"/>
        </w:rPr>
        <w:t>FIAS</w:t>
      </w:r>
      <w:r>
        <w:rPr>
          <w:rFonts w:hint="eastAsia" w:ascii="宋体" w:hAnsi="宋体" w:eastAsia="宋体" w:cs="宋体"/>
          <w:sz w:val="24"/>
          <w:szCs w:val="24"/>
          <w:lang w:val="en-US" w:eastAsia="zh-CN"/>
        </w:rPr>
        <w:t>的改进方案。顾小清与王玮（2004）基于</w:t>
      </w:r>
      <w:r>
        <w:rPr>
          <w:rFonts w:hint="default" w:ascii="Times New Roman" w:hAnsi="Times New Roman" w:eastAsia="宋体" w:cs="Times New Roman"/>
          <w:sz w:val="24"/>
          <w:szCs w:val="24"/>
          <w:lang w:val="en-US" w:eastAsia="zh-CN"/>
        </w:rPr>
        <w:t>FIAS</w:t>
      </w:r>
      <w:r>
        <w:rPr>
          <w:rFonts w:hint="eastAsia" w:ascii="宋体" w:hAnsi="宋体" w:eastAsia="宋体" w:cs="宋体"/>
          <w:sz w:val="24"/>
          <w:szCs w:val="24"/>
          <w:lang w:val="en-US" w:eastAsia="zh-CN"/>
        </w:rPr>
        <w:t>系统，增加了关于技术使用的编码并且在学生言语中融入了学生主动提问和学生与同伴讨论等编码，以更全面地了解学生的课堂参与情况，与此同时也更加强调高级思维，将教师提问分为开放性问题提问和封闭性问题提问，以鼓励教师采用更富有启发性的教学方式。方海光与高辰柱（2012）等对顾小清与王炜提出的</w:t>
      </w:r>
      <w:r>
        <w:rPr>
          <w:rFonts w:hint="default" w:ascii="Times New Roman" w:hAnsi="Times New Roman" w:eastAsia="宋体" w:cs="Times New Roman"/>
          <w:sz w:val="24"/>
          <w:szCs w:val="24"/>
          <w:lang w:val="en-US" w:eastAsia="zh-CN"/>
        </w:rPr>
        <w:t>ITIAS</w:t>
      </w:r>
      <w:r>
        <w:rPr>
          <w:rFonts w:hint="eastAsia" w:ascii="宋体" w:hAnsi="宋体" w:eastAsia="宋体" w:cs="宋体"/>
          <w:sz w:val="24"/>
          <w:szCs w:val="24"/>
          <w:lang w:val="en-US" w:eastAsia="zh-CN"/>
        </w:rPr>
        <w:t>进行了修改与完善，在保持</w:t>
      </w:r>
      <w:r>
        <w:rPr>
          <w:rFonts w:hint="default" w:ascii="Times New Roman" w:hAnsi="Times New Roman" w:eastAsia="宋体" w:cs="Times New Roman"/>
          <w:sz w:val="24"/>
          <w:szCs w:val="24"/>
          <w:lang w:val="en-US" w:eastAsia="zh-CN"/>
        </w:rPr>
        <w:t>FIAS</w:t>
      </w:r>
      <w:r>
        <w:rPr>
          <w:rFonts w:hint="eastAsia" w:ascii="宋体" w:hAnsi="宋体" w:eastAsia="宋体" w:cs="宋体"/>
          <w:sz w:val="24"/>
          <w:szCs w:val="24"/>
          <w:lang w:val="en-US" w:eastAsia="zh-CN"/>
        </w:rPr>
        <w:t>的基本功能的同时，将</w:t>
      </w:r>
      <w:r>
        <w:rPr>
          <w:rFonts w:hint="default" w:ascii="Times New Roman" w:hAnsi="Times New Roman" w:eastAsia="宋体" w:cs="Times New Roman"/>
          <w:sz w:val="24"/>
          <w:szCs w:val="24"/>
          <w:lang w:val="en-US" w:eastAsia="zh-CN"/>
        </w:rPr>
        <w:t xml:space="preserve">ITIAS </w:t>
      </w:r>
      <w:r>
        <w:rPr>
          <w:rFonts w:hint="eastAsia" w:ascii="宋体" w:hAnsi="宋体" w:eastAsia="宋体" w:cs="宋体"/>
          <w:sz w:val="24"/>
          <w:szCs w:val="24"/>
          <w:lang w:val="en-US" w:eastAsia="zh-CN"/>
        </w:rPr>
        <w:t>的18个编码类别压缩为 14 个类别，构成了弗兰德斯交互作用分析体系，也就是</w:t>
      </w:r>
      <w:r>
        <w:rPr>
          <w:rFonts w:hint="default" w:ascii="Times New Roman" w:hAnsi="Times New Roman" w:eastAsia="宋体" w:cs="Times New Roman"/>
          <w:sz w:val="24"/>
          <w:szCs w:val="24"/>
          <w:lang w:val="en-US" w:eastAsia="zh-CN"/>
        </w:rPr>
        <w:t>IFIAS</w:t>
      </w:r>
      <w:r>
        <w:rPr>
          <w:rFonts w:hint="eastAsia" w:ascii="宋体" w:hAnsi="宋体" w:eastAsia="宋体" w:cs="宋体"/>
          <w:sz w:val="24"/>
          <w:szCs w:val="24"/>
          <w:lang w:val="en-US" w:eastAsia="zh-CN"/>
        </w:rPr>
        <w:t>（谭鑫，2023）。</w:t>
      </w:r>
    </w:p>
    <w:p>
      <w:pPr>
        <w:keepNext w:val="0"/>
        <w:keepLines w:val="0"/>
        <w:pageBreakBefore w:val="0"/>
        <w:kinsoku/>
        <w:wordWrap/>
        <w:overflowPunct/>
        <w:topLinePunct w:val="0"/>
        <w:autoSpaceDE/>
        <w:autoSpaceDN/>
        <w:bidi w:val="0"/>
        <w:adjustRightInd/>
        <w:snapToGrid/>
        <w:spacing w:line="312" w:lineRule="auto"/>
        <w:ind w:firstLine="420" w:firstLineChars="200"/>
        <w:jc w:val="center"/>
        <w:textAlignment w:val="auto"/>
        <w:rPr>
          <w:rFonts w:hint="eastAsia" w:ascii="宋体" w:hAnsi="宋体" w:eastAsia="宋体" w:cs="宋体"/>
          <w:sz w:val="21"/>
          <w:szCs w:val="21"/>
          <w:lang w:val="en-US" w:eastAsia="zh-CN"/>
        </w:rPr>
      </w:pPr>
    </w:p>
    <w:p>
      <w:pPr>
        <w:keepNext w:val="0"/>
        <w:keepLines w:val="0"/>
        <w:pageBreakBefore w:val="0"/>
        <w:kinsoku/>
        <w:wordWrap/>
        <w:overflowPunct/>
        <w:topLinePunct w:val="0"/>
        <w:autoSpaceDE/>
        <w:autoSpaceDN/>
        <w:bidi w:val="0"/>
        <w:adjustRightInd/>
        <w:snapToGrid/>
        <w:spacing w:line="312" w:lineRule="auto"/>
        <w:ind w:firstLine="420" w:firstLineChars="200"/>
        <w:jc w:val="center"/>
        <w:textAlignment w:val="auto"/>
        <w:rPr>
          <w:rFonts w:hint="eastAsia" w:ascii="宋体" w:hAnsi="宋体" w:eastAsia="宋体" w:cs="宋体"/>
          <w:sz w:val="21"/>
          <w:szCs w:val="21"/>
          <w:lang w:val="en-US" w:eastAsia="zh-CN"/>
        </w:rPr>
      </w:pPr>
    </w:p>
    <w:p>
      <w:pPr>
        <w:keepNext w:val="0"/>
        <w:keepLines w:val="0"/>
        <w:pageBreakBefore w:val="0"/>
        <w:kinsoku/>
        <w:wordWrap/>
        <w:overflowPunct/>
        <w:topLinePunct w:val="0"/>
        <w:autoSpaceDE/>
        <w:autoSpaceDN/>
        <w:bidi w:val="0"/>
        <w:adjustRightInd/>
        <w:snapToGrid/>
        <w:spacing w:line="312" w:lineRule="auto"/>
        <w:ind w:firstLine="420" w:firstLineChars="200"/>
        <w:jc w:val="center"/>
        <w:textAlignment w:val="auto"/>
        <w:rPr>
          <w:rFonts w:hint="eastAsia" w:ascii="宋体" w:hAnsi="宋体" w:eastAsia="宋体" w:cs="宋体"/>
          <w:sz w:val="21"/>
          <w:szCs w:val="21"/>
          <w:lang w:val="en-US" w:eastAsia="zh-CN"/>
        </w:rPr>
      </w:pPr>
    </w:p>
    <w:p>
      <w:pPr>
        <w:keepNext w:val="0"/>
        <w:keepLines w:val="0"/>
        <w:pageBreakBefore w:val="0"/>
        <w:kinsoku/>
        <w:wordWrap/>
        <w:overflowPunct/>
        <w:topLinePunct w:val="0"/>
        <w:autoSpaceDE/>
        <w:autoSpaceDN/>
        <w:bidi w:val="0"/>
        <w:adjustRightInd/>
        <w:snapToGrid/>
        <w:spacing w:line="312" w:lineRule="auto"/>
        <w:ind w:firstLine="420" w:firstLineChars="200"/>
        <w:jc w:val="center"/>
        <w:textAlignment w:val="auto"/>
        <w:rPr>
          <w:rFonts w:hint="eastAsia" w:ascii="宋体" w:hAnsi="宋体" w:eastAsia="宋体" w:cs="宋体"/>
          <w:sz w:val="21"/>
          <w:szCs w:val="21"/>
          <w:lang w:val="en-US" w:eastAsia="zh-CN"/>
        </w:rPr>
      </w:pPr>
    </w:p>
    <w:p>
      <w:pPr>
        <w:keepNext w:val="0"/>
        <w:keepLines w:val="0"/>
        <w:pageBreakBefore w:val="0"/>
        <w:kinsoku/>
        <w:wordWrap/>
        <w:overflowPunct/>
        <w:topLinePunct w:val="0"/>
        <w:autoSpaceDE/>
        <w:autoSpaceDN/>
        <w:bidi w:val="0"/>
        <w:adjustRightInd/>
        <w:snapToGrid/>
        <w:spacing w:line="312" w:lineRule="auto"/>
        <w:ind w:firstLine="420" w:firstLineChars="200"/>
        <w:jc w:val="center"/>
        <w:textAlignment w:val="auto"/>
        <w:rPr>
          <w:rFonts w:hint="eastAsia" w:ascii="宋体" w:hAnsi="宋体" w:eastAsia="宋体" w:cs="宋体"/>
          <w:sz w:val="21"/>
          <w:szCs w:val="21"/>
          <w:lang w:val="en-US" w:eastAsia="zh-CN"/>
        </w:rPr>
      </w:pPr>
    </w:p>
    <w:p>
      <w:pPr>
        <w:keepNext w:val="0"/>
        <w:keepLines w:val="0"/>
        <w:pageBreakBefore w:val="0"/>
        <w:kinsoku/>
        <w:wordWrap/>
        <w:overflowPunct/>
        <w:topLinePunct w:val="0"/>
        <w:autoSpaceDE/>
        <w:autoSpaceDN/>
        <w:bidi w:val="0"/>
        <w:adjustRightInd/>
        <w:snapToGrid/>
        <w:spacing w:line="312" w:lineRule="auto"/>
        <w:ind w:firstLine="420" w:firstLineChars="200"/>
        <w:jc w:val="center"/>
        <w:textAlignment w:val="auto"/>
        <w:rPr>
          <w:rFonts w:hint="eastAsia" w:ascii="宋体" w:hAnsi="宋体" w:eastAsia="宋体" w:cs="宋体"/>
          <w:sz w:val="21"/>
          <w:szCs w:val="21"/>
          <w:lang w:val="en-US" w:eastAsia="zh-CN"/>
        </w:rPr>
      </w:pPr>
    </w:p>
    <w:p>
      <w:pPr>
        <w:keepNext w:val="0"/>
        <w:keepLines w:val="0"/>
        <w:pageBreakBefore w:val="0"/>
        <w:kinsoku/>
        <w:wordWrap/>
        <w:overflowPunct/>
        <w:topLinePunct w:val="0"/>
        <w:autoSpaceDE/>
        <w:autoSpaceDN/>
        <w:bidi w:val="0"/>
        <w:adjustRightInd/>
        <w:snapToGrid/>
        <w:spacing w:line="312" w:lineRule="auto"/>
        <w:ind w:firstLine="420" w:firstLineChars="200"/>
        <w:jc w:val="center"/>
        <w:textAlignment w:val="auto"/>
        <w:rPr>
          <w:rFonts w:hint="eastAsia" w:ascii="宋体" w:hAnsi="宋体" w:eastAsia="宋体" w:cs="宋体"/>
          <w:sz w:val="21"/>
          <w:szCs w:val="21"/>
          <w:lang w:val="en-US" w:eastAsia="zh-CN"/>
        </w:rPr>
      </w:pPr>
    </w:p>
    <w:p>
      <w:pPr>
        <w:keepNext w:val="0"/>
        <w:keepLines w:val="0"/>
        <w:pageBreakBefore w:val="0"/>
        <w:kinsoku/>
        <w:wordWrap/>
        <w:overflowPunct/>
        <w:topLinePunct w:val="0"/>
        <w:autoSpaceDE/>
        <w:autoSpaceDN/>
        <w:bidi w:val="0"/>
        <w:adjustRightInd/>
        <w:snapToGrid/>
        <w:spacing w:line="312" w:lineRule="auto"/>
        <w:ind w:firstLine="420" w:firstLineChars="200"/>
        <w:jc w:val="center"/>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表1改进型弗兰德斯互动行为编码表</w:t>
      </w:r>
    </w:p>
    <w:p>
      <w:pPr>
        <w:keepNext w:val="0"/>
        <w:keepLines w:val="0"/>
        <w:pageBreakBefore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rPr>
        <w:drawing>
          <wp:inline distT="0" distB="0" distL="114300" distR="114300">
            <wp:extent cx="4345940" cy="3321685"/>
            <wp:effectExtent l="0" t="0" r="6985"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rcRect l="25790" t="23645" r="24851" b="15992"/>
                    <a:stretch>
                      <a:fillRect/>
                    </a:stretch>
                  </pic:blipFill>
                  <pic:spPr>
                    <a:xfrm>
                      <a:off x="0" y="0"/>
                      <a:ext cx="4345940" cy="3321685"/>
                    </a:xfrm>
                    <a:prstGeom prst="rect">
                      <a:avLst/>
                    </a:prstGeom>
                    <a:noFill/>
                    <a:ln>
                      <a:noFill/>
                    </a:ln>
                  </pic:spPr>
                </pic:pic>
              </a:graphicData>
            </a:graphic>
          </wp:inline>
        </w:drawing>
      </w:r>
    </w:p>
    <w:p>
      <w:pPr>
        <w:keepNext w:val="0"/>
        <w:keepLines w:val="0"/>
        <w:pageBreakBefore w:val="0"/>
        <w:kinsoku/>
        <w:wordWrap/>
        <w:overflowPunct/>
        <w:topLinePunct w:val="0"/>
        <w:autoSpaceDE/>
        <w:autoSpaceDN/>
        <w:bidi w:val="0"/>
        <w:adjustRightInd/>
        <w:snapToGrid/>
        <w:spacing w:line="312" w:lineRule="auto"/>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2.2研究过程</w:t>
      </w:r>
    </w:p>
    <w:p>
      <w:pPr>
        <w:keepNext w:val="0"/>
        <w:keepLines w:val="0"/>
        <w:pageBreakBefore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研究于2024年5月17日获取德国G大高校一节中级汉语听说课的课堂音频、视频资料，共计时长85分钟。因获取数据来自于真实课堂，所以笔者提前将学生课前走进教室闲聊，教师下课后与学生寒暄等无关记录占用的课堂时间排除。根据iFIAS 互动分析系统要求，按照每三秒钟的时间间隔进行编码记录，共得到编码数据1700个，绘制成关于课堂互动行为的曲线图、矩阵图，并测算出相关互动行为的比率分析表。</w:t>
      </w:r>
    </w:p>
    <w:p>
      <w:pPr>
        <w:keepNext w:val="0"/>
        <w:keepLines w:val="0"/>
        <w:pageBreakBefore w:val="0"/>
        <w:numPr>
          <w:ilvl w:val="0"/>
          <w:numId w:val="0"/>
        </w:numPr>
        <w:kinsoku/>
        <w:wordWrap/>
        <w:overflowPunct/>
        <w:topLinePunct w:val="0"/>
        <w:autoSpaceDE/>
        <w:autoSpaceDN/>
        <w:bidi w:val="0"/>
        <w:adjustRightInd/>
        <w:snapToGrid/>
        <w:spacing w:line="312" w:lineRule="auto"/>
        <w:jc w:val="center"/>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3.结果与分析</w:t>
      </w:r>
    </w:p>
    <w:p>
      <w:pPr>
        <w:keepNext w:val="0"/>
        <w:keepLines w:val="0"/>
        <w:pageBreakBefore w:val="0"/>
        <w:numPr>
          <w:ilvl w:val="0"/>
          <w:numId w:val="0"/>
        </w:numPr>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rPr>
      </w:pPr>
      <w:r>
        <w:rPr>
          <w:rFonts w:hint="eastAsia" w:ascii="宋体" w:hAnsi="宋体" w:eastAsia="宋体" w:cs="宋体"/>
          <w:b/>
          <w:bCs/>
          <w:sz w:val="24"/>
          <w:szCs w:val="24"/>
          <w:lang w:val="en-US" w:eastAsia="zh-CN"/>
        </w:rPr>
        <w:t>3.1宏观层面课堂互动特征——曲线图分析</w:t>
      </w:r>
    </w:p>
    <w:p>
      <w:pPr>
        <w:keepNext w:val="0"/>
        <w:keepLines w:val="0"/>
        <w:pageBreakBefore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sz w:val="24"/>
          <w:szCs w:val="24"/>
        </w:rPr>
      </w:pPr>
      <w:bookmarkStart w:id="0" w:name="_GoBack"/>
      <w:r>
        <w:rPr>
          <w:rFonts w:hint="eastAsia" w:ascii="宋体" w:hAnsi="宋体" w:eastAsia="宋体" w:cs="宋体"/>
          <w:sz w:val="24"/>
          <w:szCs w:val="24"/>
        </w:rPr>
        <w:drawing>
          <wp:inline distT="0" distB="0" distL="0" distR="0">
            <wp:extent cx="2994660" cy="2143125"/>
            <wp:effectExtent l="0" t="0" r="5715" b="0"/>
            <wp:docPr id="19534228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422895" name="图片 1"/>
                    <pic:cNvPicPr>
                      <a:picLocks noChangeAspect="1" noChangeArrowheads="1"/>
                    </pic:cNvPicPr>
                  </pic:nvPicPr>
                  <pic:blipFill>
                    <a:blip r:embed="rId8">
                      <a:extLst>
                        <a:ext uri="{28A0092B-C50C-407E-A947-70E740481C1C}">
                          <a14:useLocalDpi xmlns:a14="http://schemas.microsoft.com/office/drawing/2010/main" val="0"/>
                        </a:ext>
                      </a:extLst>
                    </a:blip>
                    <a:srcRect l="1116" t="5618"/>
                    <a:stretch>
                      <a:fillRect/>
                    </a:stretch>
                  </pic:blipFill>
                  <pic:spPr>
                    <a:xfrm>
                      <a:off x="0" y="0"/>
                      <a:ext cx="2994660" cy="2143125"/>
                    </a:xfrm>
                    <a:prstGeom prst="rect">
                      <a:avLst/>
                    </a:prstGeom>
                    <a:noFill/>
                    <a:ln>
                      <a:noFill/>
                    </a:ln>
                  </pic:spPr>
                </pic:pic>
              </a:graphicData>
            </a:graphic>
          </wp:inline>
        </w:drawing>
      </w:r>
      <w:bookmarkEnd w:id="0"/>
    </w:p>
    <w:p>
      <w:pPr>
        <w:keepNext w:val="0"/>
        <w:keepLines w:val="0"/>
        <w:pageBreakBefore w:val="0"/>
        <w:numPr>
          <w:ilvl w:val="0"/>
          <w:numId w:val="0"/>
        </w:numPr>
        <w:kinsoku/>
        <w:wordWrap/>
        <w:overflowPunct/>
        <w:topLinePunct w:val="0"/>
        <w:autoSpaceDE/>
        <w:autoSpaceDN/>
        <w:bidi w:val="0"/>
        <w:adjustRightInd/>
        <w:snapToGrid/>
        <w:spacing w:line="312" w:lineRule="auto"/>
        <w:jc w:val="center"/>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图1某G大高校中级汉语课课堂互动行为曲线图</w:t>
      </w:r>
    </w:p>
    <w:p>
      <w:pPr>
        <w:keepNext w:val="0"/>
        <w:keepLines w:val="0"/>
        <w:pageBreakBefore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sz w:val="24"/>
          <w:szCs w:val="24"/>
          <w:lang w:val="en-US" w:eastAsia="zh-CN"/>
        </w:rPr>
      </w:pPr>
    </w:p>
    <w:p>
      <w:pPr>
        <w:keepNext w:val="0"/>
        <w:keepLines w:val="0"/>
        <w:pageBreakBefore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该课堂互动行为比率曲线图的横坐标是时长，每五分钟为一记录间隔，纵坐标是不同行为所占据的总行为比率，红色曲线为教师语言，蓝色为学生语言，绿色为有益于教学的沉寂行为记录，因没有出现无助于课堂的混乱情况，因此并未呈现在曲线图上，黄色为操纵教学设备、运用技术的行为曲线。经过系统观察分析，本研究发现曲线图中反映出了以下几点关于该听说课堂的互动特征：</w:t>
      </w:r>
    </w:p>
    <w:p>
      <w:pPr>
        <w:keepNext w:val="0"/>
        <w:keepLines w:val="0"/>
        <w:pageBreakBefore w:val="0"/>
        <w:numPr>
          <w:ilvl w:val="0"/>
          <w:numId w:val="0"/>
        </w:numPr>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3.1.1师生语言互动呈现出以学生为中心、精讲多练的课堂模式。</w:t>
      </w:r>
    </w:p>
    <w:p>
      <w:pPr>
        <w:keepNext w:val="0"/>
        <w:keepLines w:val="0"/>
        <w:pageBreakBefore w:val="0"/>
        <w:numPr>
          <w:ilvl w:val="0"/>
          <w:numId w:val="0"/>
        </w:numPr>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通过曲线图不难发现，整体上学生语言输出量占据课堂话语的大部分，无论是教师设计的男女角色听力判断习题还是听后小组展开关于“你愿意接受家庭主夫”的讨论，都有效地保证了学生汉语表达的输出达到了较为理想的状态。整堂课教师也在有意识地控制教授语言的输出，以练代讲，大部分情况下教师处于聆听、引导的角色，为学生提供了更多的时间与机会锻炼口语能力。</w:t>
      </w:r>
    </w:p>
    <w:p>
      <w:pPr>
        <w:keepNext w:val="0"/>
        <w:keepLines w:val="0"/>
        <w:pageBreakBefore w:val="0"/>
        <w:numPr>
          <w:ilvl w:val="0"/>
          <w:numId w:val="0"/>
        </w:numPr>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3.1.2课堂氛围较为平缓和谐，前半段整体较为沉寂，后半程学生逐渐进入了积极开口的状态。</w:t>
      </w:r>
    </w:p>
    <w:p>
      <w:pPr>
        <w:keepNext w:val="0"/>
        <w:keepLines w:val="0"/>
        <w:pageBreakBefore w:val="0"/>
        <w:numPr>
          <w:ilvl w:val="0"/>
          <w:numId w:val="0"/>
        </w:numPr>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绿色曲线代表的是有益于课堂的沉寂现象，也就是反映学生沉默不开口占据总体课堂时间的比率。在课堂的前半程，教师引入中国传统社会中男主外、女主内的社会分工观念时，具有较大文化差异的德国学生无法很精准地了解其中的内涵。每当教师针对听力材料展开开放性提问时，学生普遍会需要较长的思考时间，大概持续2-3分钟，当涉及到男女关系平等中的一些专有名词时，例如像大男子主义、同工不同酬等较难词汇，教师需要做进一步解释，结合社会现象以及德国社会中存在的相似情况，同学们才能尝试着代入理解。这也反映出教师预留了部分时间供学生思考，并没有随意打断。而这种提问之后的沉默，在后40分钟得到了很大程度上的缓解。伴随着老师的引入，语言点句式的逐步熟练，专有词语以及文化内涵的进一步了解，同学们回答问题所需要的沉默思考时间也在缩短，对于教师提问的反应速度也有相应地提升，这也从侧面印证了同学们对于本堂课语言、文化、技能知识的接收与消化渐入佳境。</w:t>
      </w:r>
    </w:p>
    <w:p>
      <w:pPr>
        <w:keepNext w:val="0"/>
        <w:keepLines w:val="0"/>
        <w:pageBreakBefore w:val="0"/>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3.1.3教学设备较为稳定，利用技术进行互动的时间较少。</w:t>
      </w:r>
    </w:p>
    <w:p>
      <w:pPr>
        <w:keepNext w:val="0"/>
        <w:keepLines w:val="0"/>
        <w:pageBreakBefore w:val="0"/>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黄色曲线的峰值数是25，出现在课堂进行到的第40-45分钟区间，这一时间段内教师在操控多媒体设备，公布听力判断对错的答案。其余多数情况下技术操作行为占比为0，并且整体起伏趋势较小，每一个小高峰伴随着教师语言输出同步出现，由此可见教师主要利用技术播放听力音频或者切换练习，利用技术与学生进行互动的频率较低，这也从侧面反映出该教师的教学设备处于稳定状态，教师并未在调试多媒体上花费过多时间。</w:t>
      </w:r>
    </w:p>
    <w:p>
      <w:pPr>
        <w:keepNext w:val="0"/>
        <w:keepLines w:val="0"/>
        <w:pageBreakBefore w:val="0"/>
        <w:numPr>
          <w:ilvl w:val="0"/>
          <w:numId w:val="0"/>
        </w:numPr>
        <w:kinsoku/>
        <w:wordWrap/>
        <w:overflowPunct/>
        <w:topLinePunct w:val="0"/>
        <w:autoSpaceDE/>
        <w:autoSpaceDN/>
        <w:bidi w:val="0"/>
        <w:adjustRightInd/>
        <w:snapToGrid/>
        <w:spacing w:line="312" w:lineRule="auto"/>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3.2微观视角课堂互动深入剖析——矩阵分析、比率分析</w:t>
      </w:r>
    </w:p>
    <w:p>
      <w:pPr>
        <w:keepNext w:val="0"/>
        <w:keepLines w:val="0"/>
        <w:pageBreakBefore w:val="0"/>
        <w:numPr>
          <w:ilvl w:val="0"/>
          <w:numId w:val="0"/>
        </w:numPr>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3.2.1矩阵分析法</w:t>
      </w:r>
    </w:p>
    <w:p>
      <w:pPr>
        <w:keepNext w:val="0"/>
        <w:keepLines w:val="0"/>
        <w:pageBreakBefore w:val="0"/>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矩阵分析可以将大量的编码进行直观的分类和分析。矩阵表横行和竖行都表示的行为编码，分别有 14 个，每个单元格的互动行为是横行与竖行行为编码的组合，单元格中的数字表示出现的次数，主要是课堂中连续出现的互动行为出现的次数，编码组合则是由课堂观</w:t>
      </w:r>
    </w:p>
    <w:p>
      <w:pPr>
        <w:keepNext w:val="0"/>
        <w:keepLines w:val="0"/>
        <w:pageBreakBefore w:val="0"/>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察编码表的前一个编码和后一个编码的结合形成的序对（马静，2023）。根据编码表的记录内容，绘制出矩阵图如下。</w:t>
      </w:r>
    </w:p>
    <w:tbl>
      <w:tblPr>
        <w:tblStyle w:val="7"/>
        <w:tblW w:w="500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9"/>
        <w:gridCol w:w="569"/>
        <w:gridCol w:w="569"/>
        <w:gridCol w:w="569"/>
        <w:gridCol w:w="569"/>
        <w:gridCol w:w="569"/>
        <w:gridCol w:w="569"/>
        <w:gridCol w:w="569"/>
        <w:gridCol w:w="569"/>
        <w:gridCol w:w="569"/>
        <w:gridCol w:w="569"/>
        <w:gridCol w:w="569"/>
        <w:gridCol w:w="569"/>
        <w:gridCol w:w="569"/>
        <w:gridCol w:w="5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left"/>
              <w:textAlignment w:val="auto"/>
              <w:rPr>
                <w:rFonts w:hint="eastAsia" w:ascii="宋体" w:hAnsi="宋体" w:eastAsia="宋体" w:cs="宋体"/>
                <w:color w:val="000000"/>
                <w:kern w:val="0"/>
                <w:sz w:val="21"/>
                <w:szCs w:val="21"/>
                <w14:ligatures w14:val="none"/>
              </w:rPr>
            </w:pP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1</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2</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3</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4</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5</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6</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7</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8</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9</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10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11</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12</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13</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1</w:t>
            </w:r>
          </w:p>
        </w:tc>
        <w:tc>
          <w:tcPr>
            <w:tcW w:w="333" w:type="pct"/>
            <w:shd w:val="clear" w:color="auto" w:fill="FEF2CC"/>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39</w:t>
            </w:r>
          </w:p>
        </w:tc>
        <w:tc>
          <w:tcPr>
            <w:tcW w:w="333" w:type="pct"/>
            <w:shd w:val="clear" w:color="auto" w:fill="FEF2CC"/>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FEF2CC"/>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5</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7</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7</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2</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11</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2</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4</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4</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2</w:t>
            </w:r>
          </w:p>
        </w:tc>
        <w:tc>
          <w:tcPr>
            <w:tcW w:w="333" w:type="pct"/>
            <w:shd w:val="clear" w:color="auto" w:fill="FEF2CC"/>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FEF2CC"/>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1</w:t>
            </w:r>
          </w:p>
        </w:tc>
        <w:tc>
          <w:tcPr>
            <w:tcW w:w="333" w:type="pct"/>
            <w:shd w:val="clear" w:color="auto" w:fill="FEF2CC"/>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1</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1</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3</w:t>
            </w:r>
          </w:p>
        </w:tc>
        <w:tc>
          <w:tcPr>
            <w:tcW w:w="333" w:type="pct"/>
            <w:shd w:val="clear" w:color="auto" w:fill="FEF2CC"/>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FEF2CC"/>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FEF2CC"/>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22</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5</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4</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8</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8</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2</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1</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1</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4</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1</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1</w:t>
            </w:r>
          </w:p>
        </w:tc>
        <w:tc>
          <w:tcPr>
            <w:tcW w:w="333" w:type="pct"/>
            <w:shd w:val="clear" w:color="auto" w:fill="FBE4D5"/>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21</w:t>
            </w:r>
          </w:p>
        </w:tc>
        <w:tc>
          <w:tcPr>
            <w:tcW w:w="333" w:type="pct"/>
            <w:shd w:val="clear" w:color="auto" w:fill="FBE4D5"/>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6</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FBD9E4"/>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8</w:t>
            </w:r>
          </w:p>
        </w:tc>
        <w:tc>
          <w:tcPr>
            <w:tcW w:w="333" w:type="pct"/>
            <w:shd w:val="clear" w:color="auto" w:fill="FBD9E4"/>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13</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3</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5</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1</w:t>
            </w:r>
          </w:p>
        </w:tc>
        <w:tc>
          <w:tcPr>
            <w:tcW w:w="333" w:type="pct"/>
            <w:shd w:val="clear" w:color="auto" w:fill="FBE4D5"/>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2</w:t>
            </w:r>
          </w:p>
        </w:tc>
        <w:tc>
          <w:tcPr>
            <w:tcW w:w="333" w:type="pct"/>
            <w:shd w:val="clear" w:color="auto" w:fill="FBE4D5"/>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155</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8</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FBD9E4"/>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7</w:t>
            </w:r>
          </w:p>
        </w:tc>
        <w:tc>
          <w:tcPr>
            <w:tcW w:w="333" w:type="pct"/>
            <w:shd w:val="clear" w:color="auto" w:fill="FBD9E4"/>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4</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9</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8</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5</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6</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2</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8</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30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1</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2</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7</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E2EFD9"/>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E2EFD9"/>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8</w:t>
            </w:r>
          </w:p>
        </w:tc>
        <w:tc>
          <w:tcPr>
            <w:tcW w:w="333" w:type="pct"/>
            <w:shd w:val="clear" w:color="auto" w:fill="D9E2F3"/>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19</w:t>
            </w:r>
          </w:p>
        </w:tc>
        <w:tc>
          <w:tcPr>
            <w:tcW w:w="333" w:type="pct"/>
            <w:shd w:val="clear" w:color="auto" w:fill="D9E2F3"/>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1</w:t>
            </w:r>
          </w:p>
        </w:tc>
        <w:tc>
          <w:tcPr>
            <w:tcW w:w="333" w:type="pct"/>
            <w:shd w:val="clear" w:color="auto" w:fill="D9E2F3"/>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20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8</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8</w:t>
            </w:r>
          </w:p>
        </w:tc>
        <w:tc>
          <w:tcPr>
            <w:tcW w:w="333" w:type="pct"/>
            <w:shd w:val="clear" w:color="auto" w:fill="E2EFD9"/>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7</w:t>
            </w:r>
          </w:p>
        </w:tc>
        <w:tc>
          <w:tcPr>
            <w:tcW w:w="333" w:type="pct"/>
            <w:shd w:val="clear" w:color="auto" w:fill="E2EFD9"/>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D9E2FF"/>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288</w:t>
            </w:r>
          </w:p>
        </w:tc>
        <w:tc>
          <w:tcPr>
            <w:tcW w:w="333" w:type="pct"/>
            <w:shd w:val="clear" w:color="auto" w:fill="D9E2FF"/>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D9E2FF"/>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2</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2</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1</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9</w:t>
            </w:r>
          </w:p>
        </w:tc>
        <w:tc>
          <w:tcPr>
            <w:tcW w:w="333" w:type="pct"/>
            <w:shd w:val="clear" w:color="auto" w:fill="D9E2F3"/>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16</w:t>
            </w:r>
          </w:p>
        </w:tc>
        <w:tc>
          <w:tcPr>
            <w:tcW w:w="333" w:type="pct"/>
            <w:shd w:val="clear" w:color="auto" w:fill="D9E2F3"/>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1</w:t>
            </w:r>
          </w:p>
        </w:tc>
        <w:tc>
          <w:tcPr>
            <w:tcW w:w="333" w:type="pct"/>
            <w:shd w:val="clear" w:color="auto" w:fill="D9E2F3"/>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2</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5</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2</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1</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D9E2FF"/>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D9E2FF"/>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41</w:t>
            </w:r>
          </w:p>
        </w:tc>
        <w:tc>
          <w:tcPr>
            <w:tcW w:w="333" w:type="pct"/>
            <w:shd w:val="clear" w:color="auto" w:fill="D9E2FF"/>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2</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10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6</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2</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6</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1</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D9E2FF"/>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D9E2FF"/>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4</w:t>
            </w:r>
          </w:p>
        </w:tc>
        <w:tc>
          <w:tcPr>
            <w:tcW w:w="333" w:type="pct"/>
            <w:shd w:val="clear" w:color="auto" w:fill="D9E2FF"/>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384</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6</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11</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12</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3</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14</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1</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2</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3</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10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384</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4</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13</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1</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1</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1</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8</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8</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14</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c>
          <w:tcPr>
            <w:tcW w:w="333" w:type="pct"/>
            <w:shd w:val="clear" w:color="auto" w:fill="auto"/>
            <w:noWrap/>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w:t>
            </w:r>
          </w:p>
        </w:tc>
      </w:tr>
    </w:tbl>
    <w:p>
      <w:pPr>
        <w:keepNext w:val="0"/>
        <w:keepLines w:val="0"/>
        <w:pageBreakBefore w:val="0"/>
        <w:kinsoku/>
        <w:wordWrap/>
        <w:overflowPunct/>
        <w:topLinePunct w:val="0"/>
        <w:autoSpaceDE/>
        <w:autoSpaceDN/>
        <w:bidi w:val="0"/>
        <w:adjustRightInd/>
        <w:snapToGrid/>
        <w:spacing w:line="312" w:lineRule="auto"/>
        <w:jc w:val="center"/>
        <w:textAlignment w:val="auto"/>
        <w:rPr>
          <w:rFonts w:hint="eastAsia" w:ascii="宋体" w:hAnsi="宋体" w:eastAsia="宋体" w:cs="宋体"/>
          <w:sz w:val="24"/>
          <w:szCs w:val="24"/>
          <w:lang w:val="en-US"/>
        </w:rPr>
      </w:pPr>
      <w:r>
        <w:rPr>
          <w:rFonts w:hint="eastAsia" w:ascii="宋体" w:hAnsi="宋体" w:eastAsia="宋体" w:cs="宋体"/>
          <w:sz w:val="24"/>
          <w:szCs w:val="24"/>
          <w:lang w:val="en-US" w:eastAsia="zh-CN"/>
        </w:rPr>
        <w:t>图2某G大高校中级汉语课课堂互动行为矩阵图</w:t>
      </w:r>
    </w:p>
    <w:p>
      <w:pPr>
        <w:keepNext w:val="0"/>
        <w:keepLines w:val="0"/>
        <w:pageBreakBefore w:val="0"/>
        <w:kinsoku/>
        <w:wordWrap/>
        <w:overflowPunct/>
        <w:topLinePunct w:val="0"/>
        <w:autoSpaceDE/>
        <w:autoSpaceDN/>
        <w:bidi w:val="0"/>
        <w:adjustRightInd/>
        <w:snapToGrid/>
        <w:spacing w:line="312" w:lineRule="auto"/>
        <w:ind w:firstLine="42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依据iFIAS分析方法，矩阵图中带有色彩标注的是一些呈现课堂互动特征的特殊区域。左上角的黄色为积极整合区，是评判师生互动关系融洽度与课堂氛围的重要指标，中间偏下的绿色区域为缺陷格，代表着教师指令、批评学生、维护课堂的语言输出，中间偏上的橘色块为教师讲授与提问，右下角的浅紫色则代表学生回答问题以及课堂讨论的情况，左下角雾蓝色区域对应教师对学生回答问题的积极反馈程度，右上角的粉色方格反映出教师提问与学生回答问题的频率。每个区域中所包含的数值越大，代表该区域反映相应特征的程度越深。</w:t>
      </w:r>
    </w:p>
    <w:p>
      <w:pPr>
        <w:keepNext w:val="0"/>
        <w:keepLines w:val="0"/>
        <w:pageBreakBefore w:val="0"/>
        <w:kinsoku/>
        <w:wordWrap/>
        <w:overflowPunct/>
        <w:topLinePunct w:val="0"/>
        <w:autoSpaceDE/>
        <w:autoSpaceDN/>
        <w:bidi w:val="0"/>
        <w:adjustRightInd/>
        <w:snapToGrid/>
        <w:spacing w:line="312" w:lineRule="auto"/>
        <w:ind w:firstLine="42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结合曲线图的整体趋势，合并已得到的课堂互动特征，通过矩阵图粉色区域的特殊性进一步发现该听说课的师生互动新特征为：教师对学生回答的积极反馈有限。</w:t>
      </w:r>
    </w:p>
    <w:p>
      <w:pPr>
        <w:keepNext w:val="0"/>
        <w:keepLines w:val="0"/>
        <w:pageBreakBefore w:val="0"/>
        <w:kinsoku/>
        <w:wordWrap/>
        <w:overflowPunct/>
        <w:topLinePunct w:val="0"/>
        <w:autoSpaceDE/>
        <w:autoSpaceDN/>
        <w:bidi w:val="0"/>
        <w:adjustRightInd/>
        <w:snapToGrid/>
        <w:spacing w:line="312" w:lineRule="auto"/>
        <w:ind w:firstLine="42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不难发现，整堂课的大部分时间均以学生输出话语为主，然而矩阵图中左下角的教师积极反馈区域总数对59，与学生回答问题及讨论的总数对706间差距悬殊。通过课堂观察，本研究发现教师对学生回答以及观点分享的回应方式较为单一，以接纳为主，大部分情况下教师仅仅通过点头示意或者是对视聆听等非语言动作的方式反馈学生，并未进一步与同学探讨。教师并未批评或者反对学生的回答，也没有对学生给予明显的积极正向反馈，久而久之，学生并没有因为发言得到期望的鼓舞与肯定，也就会逐步失去主动分享的积极性与主动性。无论是处于任何汉语水平，任何年龄段的二语学习者，都有被肯定、被鼓舞的需要，这是支撑他们继续深入学习的动力。</w:t>
      </w:r>
    </w:p>
    <w:p>
      <w:pPr>
        <w:keepNext w:val="0"/>
        <w:keepLines w:val="0"/>
        <w:pageBreakBefore w:val="0"/>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3.2.2比率分析法</w:t>
      </w:r>
    </w:p>
    <w:p>
      <w:pPr>
        <w:keepNext w:val="0"/>
        <w:keepLines w:val="0"/>
        <w:pageBreakBefore w:val="0"/>
        <w:kinsoku/>
        <w:wordWrap/>
        <w:overflowPunct/>
        <w:topLinePunct w:val="0"/>
        <w:autoSpaceDE/>
        <w:autoSpaceDN/>
        <w:bidi w:val="0"/>
        <w:adjustRightInd/>
        <w:snapToGrid/>
        <w:spacing w:line="312" w:lineRule="auto"/>
        <w:ind w:firstLine="42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比率分析法可以将数据进行进一步的分析，运用百分比更直观的观察某个互动行为在教学过程中的占比大小，以便于进行每个课程之间差异对比。将选用iFIAS中的各类行为比率表中的计算方式来计算教师言语百分比，学生言语百分比，教师间接影响或直接影响百分比等，呈现微观视角下该课堂的互动特征（马静，2023）。</w:t>
      </w:r>
    </w:p>
    <w:p>
      <w:pPr>
        <w:keepNext w:val="0"/>
        <w:keepLines w:val="0"/>
        <w:pageBreakBefore w:val="0"/>
        <w:kinsoku/>
        <w:wordWrap/>
        <w:overflowPunct/>
        <w:topLinePunct w:val="0"/>
        <w:autoSpaceDE/>
        <w:autoSpaceDN/>
        <w:bidi w:val="0"/>
        <w:adjustRightInd/>
        <w:snapToGrid/>
        <w:spacing w:line="312" w:lineRule="auto"/>
        <w:ind w:firstLine="420" w:firstLineChars="20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表2 某G大高校中级汉语课课堂互动行为比率分析图</w:t>
      </w:r>
    </w:p>
    <w:tbl>
      <w:tblPr>
        <w:tblStyle w:val="8"/>
        <w:tblW w:w="8899" w:type="dxa"/>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974"/>
        <w:gridCol w:w="2278"/>
        <w:gridCol w:w="3191"/>
        <w:gridCol w:w="1456"/>
      </w:tblGrid>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730" w:hRule="atLeast"/>
        </w:trPr>
        <w:tc>
          <w:tcPr>
            <w:tcW w:w="1974" w:type="dxa"/>
            <w:tcBorders>
              <w:top w:val="single" w:color="auto" w:sz="4" w:space="0"/>
              <w:left w:val="nil"/>
              <w:bottom w:val="single" w:color="auto" w:sz="4" w:space="0"/>
              <w:right w:val="nil"/>
            </w:tcBorders>
            <w:vAlign w:val="center"/>
          </w:tcPr>
          <w:p>
            <w:pPr>
              <w:keepNext w:val="0"/>
              <w:keepLines w:val="0"/>
              <w:pageBreakBefore w:val="0"/>
              <w:kinsoku/>
              <w:wordWrap/>
              <w:overflowPunct/>
              <w:topLinePunct w:val="0"/>
              <w:autoSpaceDE/>
              <w:autoSpaceDN/>
              <w:bidi w:val="0"/>
              <w:adjustRightInd/>
              <w:snapToGrid/>
              <w:spacing w:line="312" w:lineRule="auto"/>
              <w:ind w:firstLine="840" w:firstLineChars="400"/>
              <w:textAlignment w:val="auto"/>
              <w:rPr>
                <w:rFonts w:hint="eastAsia" w:ascii="宋体" w:hAnsi="宋体" w:eastAsia="宋体" w:cs="宋体"/>
                <w:kern w:val="0"/>
                <w:sz w:val="21"/>
                <w:szCs w:val="21"/>
                <w14:ligatures w14:val="standardContextual"/>
              </w:rPr>
            </w:pPr>
            <w:r>
              <w:rPr>
                <w:rFonts w:hint="eastAsia" w:ascii="宋体" w:hAnsi="宋体" w:eastAsia="宋体" w:cs="宋体"/>
                <w:kern w:val="0"/>
                <w:sz w:val="21"/>
                <w:szCs w:val="21"/>
                <w14:ligatures w14:val="standardContextual"/>
              </w:rPr>
              <w:t>统计项</w:t>
            </w:r>
          </w:p>
        </w:tc>
        <w:tc>
          <w:tcPr>
            <w:tcW w:w="2278" w:type="dxa"/>
            <w:tcBorders>
              <w:top w:val="single" w:color="auto" w:sz="4" w:space="0"/>
              <w:left w:val="nil"/>
              <w:bottom w:val="single" w:color="auto" w:sz="4" w:space="0"/>
              <w:right w:val="nil"/>
            </w:tcBorders>
            <w:vAlign w:val="center"/>
          </w:tcPr>
          <w:p>
            <w:pPr>
              <w:keepNext w:val="0"/>
              <w:keepLines w:val="0"/>
              <w:pageBreakBefore w:val="0"/>
              <w:kinsoku/>
              <w:wordWrap/>
              <w:overflowPunct/>
              <w:topLinePunct w:val="0"/>
              <w:autoSpaceDE/>
              <w:autoSpaceDN/>
              <w:bidi w:val="0"/>
              <w:adjustRightInd/>
              <w:snapToGrid/>
              <w:spacing w:line="312" w:lineRule="auto"/>
              <w:jc w:val="center"/>
              <w:textAlignment w:val="auto"/>
              <w:rPr>
                <w:rFonts w:hint="eastAsia" w:ascii="宋体" w:hAnsi="宋体" w:eastAsia="宋体" w:cs="宋体"/>
                <w:kern w:val="0"/>
                <w:sz w:val="21"/>
                <w:szCs w:val="21"/>
                <w14:ligatures w14:val="standardContextual"/>
              </w:rPr>
            </w:pPr>
            <w:r>
              <w:rPr>
                <w:rFonts w:hint="eastAsia" w:ascii="宋体" w:hAnsi="宋体" w:eastAsia="宋体" w:cs="宋体"/>
                <w:kern w:val="0"/>
                <w:sz w:val="21"/>
                <w:szCs w:val="21"/>
                <w14:ligatures w14:val="standardContextual"/>
              </w:rPr>
              <w:t>比例</w:t>
            </w:r>
          </w:p>
        </w:tc>
        <w:tc>
          <w:tcPr>
            <w:tcW w:w="3191" w:type="dxa"/>
            <w:tcBorders>
              <w:top w:val="single" w:color="auto" w:sz="4" w:space="0"/>
              <w:left w:val="nil"/>
              <w:bottom w:val="single" w:color="auto" w:sz="4" w:space="0"/>
              <w:right w:val="nil"/>
            </w:tcBorders>
          </w:tcPr>
          <w:p>
            <w:pPr>
              <w:keepNext w:val="0"/>
              <w:keepLines w:val="0"/>
              <w:pageBreakBefore w:val="0"/>
              <w:kinsoku/>
              <w:wordWrap/>
              <w:overflowPunct/>
              <w:topLinePunct w:val="0"/>
              <w:autoSpaceDE/>
              <w:autoSpaceDN/>
              <w:bidi w:val="0"/>
              <w:adjustRightInd/>
              <w:snapToGrid/>
              <w:spacing w:line="312" w:lineRule="auto"/>
              <w:ind w:firstLine="1260" w:firstLineChars="600"/>
              <w:textAlignment w:val="auto"/>
              <w:rPr>
                <w:rFonts w:hint="eastAsia" w:ascii="宋体" w:hAnsi="宋体" w:eastAsia="宋体" w:cs="宋体"/>
                <w:kern w:val="0"/>
                <w:sz w:val="21"/>
                <w:szCs w:val="21"/>
                <w14:ligatures w14:val="standardContextual"/>
              </w:rPr>
            </w:pPr>
            <w:r>
              <w:rPr>
                <w:rFonts w:hint="eastAsia" w:ascii="宋体" w:hAnsi="宋体" w:eastAsia="宋体" w:cs="宋体"/>
                <w:kern w:val="0"/>
                <w:sz w:val="21"/>
                <w:szCs w:val="21"/>
                <w14:ligatures w14:val="standardContextual"/>
              </w:rPr>
              <w:t>统计项</w:t>
            </w:r>
          </w:p>
        </w:tc>
        <w:tc>
          <w:tcPr>
            <w:tcW w:w="1456" w:type="dxa"/>
            <w:tcBorders>
              <w:top w:val="single" w:color="auto" w:sz="4" w:space="0"/>
              <w:left w:val="nil"/>
              <w:bottom w:val="single" w:color="auto" w:sz="4" w:space="0"/>
              <w:right w:val="nil"/>
            </w:tcBorders>
            <w:vAlign w:val="center"/>
          </w:tcPr>
          <w:p>
            <w:pPr>
              <w:keepNext w:val="0"/>
              <w:keepLines w:val="0"/>
              <w:pageBreakBefore w:val="0"/>
              <w:kinsoku/>
              <w:wordWrap/>
              <w:overflowPunct/>
              <w:topLinePunct w:val="0"/>
              <w:autoSpaceDE/>
              <w:autoSpaceDN/>
              <w:bidi w:val="0"/>
              <w:adjustRightInd/>
              <w:snapToGrid/>
              <w:spacing w:line="312" w:lineRule="auto"/>
              <w:jc w:val="center"/>
              <w:textAlignment w:val="auto"/>
              <w:rPr>
                <w:rFonts w:hint="eastAsia" w:ascii="宋体" w:hAnsi="宋体" w:eastAsia="宋体" w:cs="宋体"/>
                <w:kern w:val="0"/>
                <w:sz w:val="21"/>
                <w:szCs w:val="21"/>
                <w14:ligatures w14:val="standardContextual"/>
              </w:rPr>
            </w:pPr>
            <w:r>
              <w:rPr>
                <w:rFonts w:hint="eastAsia" w:ascii="宋体" w:hAnsi="宋体" w:eastAsia="宋体" w:cs="宋体"/>
                <w:kern w:val="0"/>
                <w:sz w:val="21"/>
                <w:szCs w:val="21"/>
                <w14:ligatures w14:val="standardContextual"/>
              </w:rPr>
              <w:t>比例</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424" w:hRule="atLeast"/>
        </w:trPr>
        <w:tc>
          <w:tcPr>
            <w:tcW w:w="1974" w:type="dxa"/>
            <w:tcBorders>
              <w:top w:val="single" w:color="auto" w:sz="4" w:space="0"/>
              <w:left w:val="nil"/>
              <w:bottom w:val="nil"/>
              <w:right w:val="nil"/>
            </w:tcBorders>
          </w:tcPr>
          <w:p>
            <w:pPr>
              <w:keepNext w:val="0"/>
              <w:keepLines w:val="0"/>
              <w:pageBreakBefore w:val="0"/>
              <w:kinsoku/>
              <w:wordWrap/>
              <w:overflowPunct/>
              <w:topLinePunct w:val="0"/>
              <w:autoSpaceDE/>
              <w:autoSpaceDN/>
              <w:bidi w:val="0"/>
              <w:adjustRightInd/>
              <w:snapToGrid/>
              <w:spacing w:line="312" w:lineRule="auto"/>
              <w:textAlignment w:val="auto"/>
              <w:rPr>
                <w:rFonts w:hint="eastAsia" w:ascii="宋体" w:hAnsi="宋体" w:eastAsia="宋体" w:cs="宋体"/>
                <w:kern w:val="0"/>
                <w:sz w:val="21"/>
                <w:szCs w:val="21"/>
                <w14:ligatures w14:val="standardContextual"/>
              </w:rPr>
            </w:pPr>
            <w:r>
              <w:rPr>
                <w:rFonts w:hint="eastAsia" w:ascii="宋体" w:hAnsi="宋体" w:eastAsia="宋体" w:cs="宋体"/>
                <w:kern w:val="0"/>
                <w:sz w:val="21"/>
                <w:szCs w:val="21"/>
                <w14:ligatures w14:val="standardContextual"/>
              </w:rPr>
              <w:t>接受感情</w:t>
            </w:r>
          </w:p>
        </w:tc>
        <w:tc>
          <w:tcPr>
            <w:tcW w:w="2278" w:type="dxa"/>
            <w:tcBorders>
              <w:top w:val="single" w:color="auto" w:sz="4" w:space="0"/>
              <w:left w:val="nil"/>
              <w:bottom w:val="nil"/>
              <w:right w:val="nil"/>
            </w:tcBorders>
            <w:vAlign w:val="bottom"/>
          </w:tcPr>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333333"/>
                <w:kern w:val="0"/>
                <w:sz w:val="21"/>
                <w:szCs w:val="21"/>
                <w14:ligatures w14:val="standardContextual"/>
              </w:rPr>
            </w:pPr>
            <w:r>
              <w:rPr>
                <w:rFonts w:hint="eastAsia" w:ascii="宋体" w:hAnsi="宋体" w:eastAsia="宋体" w:cs="宋体"/>
                <w:color w:val="333333"/>
                <w:kern w:val="0"/>
                <w:sz w:val="21"/>
                <w:szCs w:val="21"/>
                <w14:ligatures w14:val="standardContextual"/>
              </w:rPr>
              <w:t>4.75%</w:t>
            </w:r>
          </w:p>
        </w:tc>
        <w:tc>
          <w:tcPr>
            <w:tcW w:w="3191" w:type="dxa"/>
            <w:tcBorders>
              <w:top w:val="single" w:color="auto" w:sz="4" w:space="0"/>
              <w:left w:val="nil"/>
              <w:bottom w:val="nil"/>
              <w:right w:val="nil"/>
            </w:tcBorders>
            <w:vAlign w:val="center"/>
          </w:tcPr>
          <w:p>
            <w:pPr>
              <w:keepNext w:val="0"/>
              <w:keepLines w:val="0"/>
              <w:pageBreakBefore w:val="0"/>
              <w:kinsoku/>
              <w:wordWrap/>
              <w:overflowPunct/>
              <w:topLinePunct w:val="0"/>
              <w:autoSpaceDE/>
              <w:autoSpaceDN/>
              <w:bidi w:val="0"/>
              <w:adjustRightInd/>
              <w:snapToGrid/>
              <w:spacing w:line="312" w:lineRule="auto"/>
              <w:textAlignment w:val="auto"/>
              <w:rPr>
                <w:rFonts w:hint="eastAsia" w:ascii="宋体" w:hAnsi="宋体" w:eastAsia="宋体" w:cs="宋体"/>
                <w:kern w:val="0"/>
                <w:sz w:val="21"/>
                <w:szCs w:val="21"/>
                <w14:ligatures w14:val="standardContextual"/>
              </w:rPr>
            </w:pPr>
            <w:r>
              <w:rPr>
                <w:rFonts w:hint="eastAsia" w:ascii="宋体" w:hAnsi="宋体" w:eastAsia="宋体" w:cs="宋体"/>
                <w:kern w:val="0"/>
                <w:sz w:val="21"/>
                <w:szCs w:val="21"/>
                <w14:ligatures w14:val="standardContextual"/>
              </w:rPr>
              <w:t>教师操纵技术</w:t>
            </w:r>
          </w:p>
        </w:tc>
        <w:tc>
          <w:tcPr>
            <w:tcW w:w="1456" w:type="dxa"/>
            <w:tcBorders>
              <w:top w:val="single" w:color="auto" w:sz="4" w:space="0"/>
              <w:left w:val="nil"/>
              <w:bottom w:val="nil"/>
              <w:right w:val="nil"/>
            </w:tcBorders>
            <w:vAlign w:val="center"/>
          </w:tcPr>
          <w:p>
            <w:pPr>
              <w:keepNext w:val="0"/>
              <w:keepLines w:val="0"/>
              <w:pageBreakBefore w:val="0"/>
              <w:kinsoku/>
              <w:wordWrap/>
              <w:overflowPunct/>
              <w:topLinePunct w:val="0"/>
              <w:autoSpaceDE/>
              <w:autoSpaceDN/>
              <w:bidi w:val="0"/>
              <w:adjustRightInd/>
              <w:snapToGrid/>
              <w:spacing w:line="312" w:lineRule="auto"/>
              <w:jc w:val="center"/>
              <w:textAlignment w:val="auto"/>
              <w:rPr>
                <w:rFonts w:hint="eastAsia" w:ascii="宋体" w:hAnsi="宋体" w:eastAsia="宋体" w:cs="宋体"/>
                <w:kern w:val="0"/>
                <w:sz w:val="21"/>
                <w:szCs w:val="21"/>
                <w14:ligatures w14:val="standardContextual"/>
              </w:rPr>
            </w:pPr>
            <w:r>
              <w:rPr>
                <w:rFonts w:hint="eastAsia" w:ascii="宋体" w:hAnsi="宋体" w:eastAsia="宋体" w:cs="宋体"/>
                <w:kern w:val="0"/>
                <w:sz w:val="21"/>
                <w:szCs w:val="21"/>
                <w14:ligatures w14:val="standardContextual"/>
              </w:rPr>
              <w:t>1.11%</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414" w:hRule="atLeast"/>
        </w:trPr>
        <w:tc>
          <w:tcPr>
            <w:tcW w:w="1974" w:type="dxa"/>
            <w:tcBorders>
              <w:top w:val="nil"/>
              <w:left w:val="nil"/>
              <w:bottom w:val="nil"/>
              <w:right w:val="nil"/>
            </w:tcBorders>
            <w:vAlign w:val="center"/>
          </w:tcPr>
          <w:p>
            <w:pPr>
              <w:keepNext w:val="0"/>
              <w:keepLines w:val="0"/>
              <w:pageBreakBefore w:val="0"/>
              <w:kinsoku/>
              <w:wordWrap/>
              <w:overflowPunct/>
              <w:topLinePunct w:val="0"/>
              <w:autoSpaceDE/>
              <w:autoSpaceDN/>
              <w:bidi w:val="0"/>
              <w:adjustRightInd/>
              <w:snapToGrid/>
              <w:spacing w:line="312" w:lineRule="auto"/>
              <w:textAlignment w:val="auto"/>
              <w:rPr>
                <w:rFonts w:hint="eastAsia" w:ascii="宋体" w:hAnsi="宋体" w:eastAsia="宋体" w:cs="宋体"/>
                <w:kern w:val="0"/>
                <w:sz w:val="21"/>
                <w:szCs w:val="21"/>
                <w14:ligatures w14:val="standardContextual"/>
              </w:rPr>
            </w:pPr>
            <w:r>
              <w:rPr>
                <w:rFonts w:hint="eastAsia" w:ascii="宋体" w:hAnsi="宋体" w:eastAsia="宋体" w:cs="宋体"/>
                <w:kern w:val="0"/>
                <w:sz w:val="21"/>
                <w:szCs w:val="21"/>
                <w14:ligatures w14:val="standardContextual"/>
              </w:rPr>
              <w:t>鼓励表扬</w:t>
            </w:r>
          </w:p>
        </w:tc>
        <w:tc>
          <w:tcPr>
            <w:tcW w:w="2278" w:type="dxa"/>
            <w:tcBorders>
              <w:top w:val="nil"/>
              <w:left w:val="nil"/>
              <w:bottom w:val="nil"/>
              <w:right w:val="nil"/>
            </w:tcBorders>
            <w:vAlign w:val="bottom"/>
          </w:tcPr>
          <w:p>
            <w:pPr>
              <w:keepNext w:val="0"/>
              <w:keepLines w:val="0"/>
              <w:pageBreakBefore w:val="0"/>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333333"/>
                <w:kern w:val="0"/>
                <w:sz w:val="21"/>
                <w:szCs w:val="21"/>
                <w14:ligatures w14:val="standardContextual"/>
              </w:rPr>
            </w:pPr>
            <w:r>
              <w:rPr>
                <w:rFonts w:hint="eastAsia" w:ascii="宋体" w:hAnsi="宋体" w:eastAsia="宋体" w:cs="宋体"/>
                <w:color w:val="333333"/>
                <w:kern w:val="0"/>
                <w:sz w:val="21"/>
                <w:szCs w:val="21"/>
                <w14:ligatures w14:val="standardContextual"/>
              </w:rPr>
              <w:t>0.18%</w:t>
            </w:r>
          </w:p>
        </w:tc>
        <w:tc>
          <w:tcPr>
            <w:tcW w:w="3191" w:type="dxa"/>
            <w:tcBorders>
              <w:top w:val="nil"/>
              <w:left w:val="nil"/>
              <w:bottom w:val="nil"/>
              <w:right w:val="nil"/>
            </w:tcBorders>
            <w:vAlign w:val="center"/>
          </w:tcPr>
          <w:p>
            <w:pPr>
              <w:keepNext w:val="0"/>
              <w:keepLines w:val="0"/>
              <w:pageBreakBefore w:val="0"/>
              <w:kinsoku/>
              <w:wordWrap/>
              <w:overflowPunct/>
              <w:topLinePunct w:val="0"/>
              <w:autoSpaceDE/>
              <w:autoSpaceDN/>
              <w:bidi w:val="0"/>
              <w:adjustRightInd/>
              <w:snapToGrid/>
              <w:spacing w:line="312" w:lineRule="auto"/>
              <w:textAlignment w:val="auto"/>
              <w:rPr>
                <w:rFonts w:hint="eastAsia" w:ascii="宋体" w:hAnsi="宋体" w:eastAsia="宋体" w:cs="宋体"/>
                <w:kern w:val="0"/>
                <w:sz w:val="21"/>
                <w:szCs w:val="21"/>
                <w14:ligatures w14:val="standardContextual"/>
              </w:rPr>
            </w:pPr>
            <w:r>
              <w:rPr>
                <w:rFonts w:hint="eastAsia" w:ascii="宋体" w:hAnsi="宋体" w:eastAsia="宋体" w:cs="宋体"/>
                <w:kern w:val="0"/>
                <w:sz w:val="21"/>
                <w:szCs w:val="21"/>
                <w14:ligatures w14:val="standardContextual"/>
              </w:rPr>
              <w:t>学生操纵技术</w:t>
            </w:r>
          </w:p>
        </w:tc>
        <w:tc>
          <w:tcPr>
            <w:tcW w:w="1456" w:type="dxa"/>
            <w:tcBorders>
              <w:top w:val="nil"/>
              <w:left w:val="nil"/>
              <w:bottom w:val="nil"/>
              <w:right w:val="nil"/>
            </w:tcBorders>
            <w:vAlign w:val="center"/>
          </w:tcPr>
          <w:p>
            <w:pPr>
              <w:keepNext w:val="0"/>
              <w:keepLines w:val="0"/>
              <w:pageBreakBefore w:val="0"/>
              <w:kinsoku/>
              <w:wordWrap/>
              <w:overflowPunct/>
              <w:topLinePunct w:val="0"/>
              <w:autoSpaceDE/>
              <w:autoSpaceDN/>
              <w:bidi w:val="0"/>
              <w:adjustRightInd/>
              <w:snapToGrid/>
              <w:spacing w:line="312" w:lineRule="auto"/>
              <w:jc w:val="center"/>
              <w:textAlignment w:val="auto"/>
              <w:rPr>
                <w:rFonts w:hint="eastAsia" w:ascii="宋体" w:hAnsi="宋体" w:eastAsia="宋体" w:cs="宋体"/>
                <w:kern w:val="0"/>
                <w:sz w:val="21"/>
                <w:szCs w:val="21"/>
                <w14:ligatures w14:val="standardContextual"/>
              </w:rPr>
            </w:pPr>
            <w:r>
              <w:rPr>
                <w:rFonts w:hint="eastAsia" w:ascii="宋体" w:hAnsi="宋体" w:eastAsia="宋体" w:cs="宋体"/>
                <w:kern w:val="0"/>
                <w:sz w:val="21"/>
                <w:szCs w:val="21"/>
                <w14:ligatures w14:val="standardContextual"/>
              </w:rPr>
              <w:t>0%</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414" w:hRule="atLeast"/>
        </w:trPr>
        <w:tc>
          <w:tcPr>
            <w:tcW w:w="1974" w:type="dxa"/>
            <w:tcBorders>
              <w:top w:val="nil"/>
              <w:left w:val="nil"/>
              <w:bottom w:val="nil"/>
              <w:right w:val="nil"/>
            </w:tcBorders>
            <w:vAlign w:val="center"/>
          </w:tcPr>
          <w:p>
            <w:pPr>
              <w:keepNext w:val="0"/>
              <w:keepLines w:val="0"/>
              <w:pageBreakBefore w:val="0"/>
              <w:kinsoku/>
              <w:wordWrap/>
              <w:overflowPunct/>
              <w:topLinePunct w:val="0"/>
              <w:autoSpaceDE/>
              <w:autoSpaceDN/>
              <w:bidi w:val="0"/>
              <w:adjustRightInd/>
              <w:snapToGrid/>
              <w:spacing w:line="312" w:lineRule="auto"/>
              <w:textAlignment w:val="auto"/>
              <w:rPr>
                <w:rFonts w:hint="eastAsia" w:ascii="宋体" w:hAnsi="宋体" w:eastAsia="宋体" w:cs="宋体"/>
                <w:kern w:val="0"/>
                <w:sz w:val="21"/>
                <w:szCs w:val="21"/>
                <w14:ligatures w14:val="standardContextual"/>
              </w:rPr>
            </w:pPr>
            <w:r>
              <w:rPr>
                <w:rFonts w:hint="eastAsia" w:ascii="宋体" w:hAnsi="宋体" w:eastAsia="宋体" w:cs="宋体"/>
                <w:kern w:val="0"/>
                <w:sz w:val="21"/>
                <w:szCs w:val="21"/>
                <w14:ligatures w14:val="standardContextual"/>
              </w:rPr>
              <w:t>采纳意见</w:t>
            </w:r>
          </w:p>
        </w:tc>
        <w:tc>
          <w:tcPr>
            <w:tcW w:w="2278" w:type="dxa"/>
            <w:tcBorders>
              <w:top w:val="nil"/>
              <w:left w:val="nil"/>
              <w:bottom w:val="nil"/>
              <w:right w:val="nil"/>
            </w:tcBorders>
            <w:vAlign w:val="bottom"/>
          </w:tcPr>
          <w:p>
            <w:pPr>
              <w:keepNext w:val="0"/>
              <w:keepLines w:val="0"/>
              <w:pageBreakBefore w:val="0"/>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333333"/>
                <w:kern w:val="0"/>
                <w:sz w:val="21"/>
                <w:szCs w:val="21"/>
                <w14:ligatures w14:val="standardContextual"/>
              </w:rPr>
            </w:pPr>
            <w:r>
              <w:rPr>
                <w:rFonts w:hint="eastAsia" w:ascii="宋体" w:hAnsi="宋体" w:eastAsia="宋体" w:cs="宋体"/>
                <w:color w:val="333333"/>
                <w:kern w:val="0"/>
                <w:sz w:val="21"/>
                <w:szCs w:val="21"/>
                <w14:ligatures w14:val="standardContextual"/>
              </w:rPr>
              <w:t>2.99%</w:t>
            </w:r>
          </w:p>
        </w:tc>
        <w:tc>
          <w:tcPr>
            <w:tcW w:w="3191" w:type="dxa"/>
            <w:tcBorders>
              <w:top w:val="nil"/>
              <w:left w:val="nil"/>
              <w:bottom w:val="nil"/>
              <w:right w:val="nil"/>
            </w:tcBorders>
          </w:tcPr>
          <w:p>
            <w:pPr>
              <w:keepNext w:val="0"/>
              <w:keepLines w:val="0"/>
              <w:pageBreakBefore w:val="0"/>
              <w:kinsoku/>
              <w:wordWrap/>
              <w:overflowPunct/>
              <w:topLinePunct w:val="0"/>
              <w:autoSpaceDE/>
              <w:autoSpaceDN/>
              <w:bidi w:val="0"/>
              <w:adjustRightInd/>
              <w:snapToGrid/>
              <w:spacing w:line="312" w:lineRule="auto"/>
              <w:textAlignment w:val="auto"/>
              <w:rPr>
                <w:rFonts w:hint="eastAsia" w:ascii="宋体" w:hAnsi="宋体" w:eastAsia="宋体" w:cs="宋体"/>
                <w:kern w:val="0"/>
                <w:sz w:val="21"/>
                <w:szCs w:val="21"/>
                <w14:ligatures w14:val="standardContextual"/>
              </w:rPr>
            </w:pPr>
            <w:r>
              <w:rPr>
                <w:rFonts w:hint="eastAsia" w:ascii="宋体" w:hAnsi="宋体" w:eastAsia="宋体" w:cs="宋体"/>
                <w:kern w:val="0"/>
                <w:sz w:val="21"/>
                <w:szCs w:val="21"/>
                <w14:ligatures w14:val="standardContextual"/>
              </w:rPr>
              <w:t>教师言语比率</w:t>
            </w:r>
          </w:p>
        </w:tc>
        <w:tc>
          <w:tcPr>
            <w:tcW w:w="1456" w:type="dxa"/>
            <w:tcBorders>
              <w:top w:val="nil"/>
              <w:left w:val="nil"/>
              <w:bottom w:val="nil"/>
              <w:right w:val="nil"/>
            </w:tcBorders>
            <w:vAlign w:val="center"/>
          </w:tcPr>
          <w:p>
            <w:pPr>
              <w:keepNext w:val="0"/>
              <w:keepLines w:val="0"/>
              <w:pageBreakBefore w:val="0"/>
              <w:kinsoku/>
              <w:wordWrap/>
              <w:overflowPunct/>
              <w:topLinePunct w:val="0"/>
              <w:autoSpaceDE/>
              <w:autoSpaceDN/>
              <w:bidi w:val="0"/>
              <w:adjustRightInd/>
              <w:snapToGrid/>
              <w:spacing w:line="312" w:lineRule="auto"/>
              <w:jc w:val="center"/>
              <w:textAlignment w:val="auto"/>
              <w:rPr>
                <w:rFonts w:hint="eastAsia" w:ascii="宋体" w:hAnsi="宋体" w:eastAsia="宋体" w:cs="宋体"/>
                <w:kern w:val="0"/>
                <w:sz w:val="21"/>
                <w:szCs w:val="21"/>
                <w14:ligatures w14:val="standardContextual"/>
              </w:rPr>
            </w:pPr>
            <w:r>
              <w:rPr>
                <w:rFonts w:hint="eastAsia" w:ascii="宋体" w:hAnsi="宋体" w:eastAsia="宋体" w:cs="宋体"/>
                <w:kern w:val="0"/>
                <w:sz w:val="21"/>
                <w:szCs w:val="21"/>
                <w14:ligatures w14:val="standardContextual"/>
              </w:rPr>
              <w:t>25.22%</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730" w:hRule="atLeast"/>
        </w:trPr>
        <w:tc>
          <w:tcPr>
            <w:tcW w:w="1974" w:type="dxa"/>
            <w:tcBorders>
              <w:top w:val="nil"/>
              <w:left w:val="nil"/>
              <w:bottom w:val="nil"/>
              <w:right w:val="nil"/>
            </w:tcBorders>
            <w:vAlign w:val="center"/>
          </w:tcPr>
          <w:p>
            <w:pPr>
              <w:keepNext w:val="0"/>
              <w:keepLines w:val="0"/>
              <w:pageBreakBefore w:val="0"/>
              <w:kinsoku/>
              <w:wordWrap/>
              <w:overflowPunct/>
              <w:topLinePunct w:val="0"/>
              <w:autoSpaceDE/>
              <w:autoSpaceDN/>
              <w:bidi w:val="0"/>
              <w:adjustRightInd/>
              <w:snapToGrid/>
              <w:spacing w:line="312" w:lineRule="auto"/>
              <w:textAlignment w:val="auto"/>
              <w:rPr>
                <w:rFonts w:hint="eastAsia" w:ascii="宋体" w:hAnsi="宋体" w:eastAsia="宋体" w:cs="宋体"/>
                <w:kern w:val="0"/>
                <w:sz w:val="21"/>
                <w:szCs w:val="21"/>
                <w14:ligatures w14:val="standardContextual"/>
              </w:rPr>
            </w:pPr>
            <w:r>
              <w:rPr>
                <w:rFonts w:hint="eastAsia" w:ascii="宋体" w:hAnsi="宋体" w:eastAsia="宋体" w:cs="宋体"/>
                <w:kern w:val="0"/>
                <w:sz w:val="21"/>
                <w:szCs w:val="21"/>
                <w14:ligatures w14:val="standardContextual"/>
              </w:rPr>
              <w:t>提问开放性问题</w:t>
            </w:r>
          </w:p>
        </w:tc>
        <w:tc>
          <w:tcPr>
            <w:tcW w:w="2278" w:type="dxa"/>
            <w:tcBorders>
              <w:top w:val="nil"/>
              <w:left w:val="nil"/>
              <w:bottom w:val="nil"/>
              <w:right w:val="nil"/>
            </w:tcBorders>
            <w:vAlign w:val="bottom"/>
          </w:tcPr>
          <w:p>
            <w:pPr>
              <w:keepNext w:val="0"/>
              <w:keepLines w:val="0"/>
              <w:pageBreakBefore w:val="0"/>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333333"/>
                <w:kern w:val="0"/>
                <w:sz w:val="21"/>
                <w:szCs w:val="21"/>
                <w14:ligatures w14:val="standardContextual"/>
              </w:rPr>
            </w:pPr>
            <w:r>
              <w:rPr>
                <w:rFonts w:hint="eastAsia" w:ascii="宋体" w:hAnsi="宋体" w:eastAsia="宋体" w:cs="宋体"/>
                <w:color w:val="333333"/>
                <w:kern w:val="0"/>
                <w:sz w:val="21"/>
                <w:szCs w:val="21"/>
                <w14:ligatures w14:val="standardContextual"/>
              </w:rPr>
              <w:t>3.11%</w:t>
            </w:r>
          </w:p>
        </w:tc>
        <w:tc>
          <w:tcPr>
            <w:tcW w:w="3191" w:type="dxa"/>
            <w:tcBorders>
              <w:top w:val="nil"/>
              <w:left w:val="nil"/>
              <w:bottom w:val="nil"/>
              <w:right w:val="nil"/>
            </w:tcBorders>
          </w:tcPr>
          <w:p>
            <w:pPr>
              <w:keepNext w:val="0"/>
              <w:keepLines w:val="0"/>
              <w:pageBreakBefore w:val="0"/>
              <w:kinsoku/>
              <w:wordWrap/>
              <w:overflowPunct/>
              <w:topLinePunct w:val="0"/>
              <w:autoSpaceDE/>
              <w:autoSpaceDN/>
              <w:bidi w:val="0"/>
              <w:adjustRightInd/>
              <w:snapToGrid/>
              <w:spacing w:line="312" w:lineRule="auto"/>
              <w:textAlignment w:val="auto"/>
              <w:rPr>
                <w:rFonts w:hint="eastAsia" w:ascii="宋体" w:hAnsi="宋体" w:eastAsia="宋体" w:cs="宋体"/>
                <w:kern w:val="0"/>
                <w:sz w:val="21"/>
                <w:szCs w:val="21"/>
                <w14:ligatures w14:val="standardContextual"/>
              </w:rPr>
            </w:pPr>
            <w:r>
              <w:rPr>
                <w:rFonts w:hint="eastAsia" w:ascii="宋体" w:hAnsi="宋体" w:eastAsia="宋体" w:cs="宋体"/>
                <w:kern w:val="0"/>
                <w:sz w:val="21"/>
                <w:szCs w:val="21"/>
                <w14:ligatures w14:val="standardContextual"/>
              </w:rPr>
              <w:t>教师间接影响与直接影响比率</w:t>
            </w:r>
          </w:p>
        </w:tc>
        <w:tc>
          <w:tcPr>
            <w:tcW w:w="1456" w:type="dxa"/>
            <w:tcBorders>
              <w:top w:val="nil"/>
              <w:left w:val="nil"/>
              <w:bottom w:val="nil"/>
              <w:right w:val="nil"/>
            </w:tcBorders>
            <w:vAlign w:val="center"/>
          </w:tcPr>
          <w:p>
            <w:pPr>
              <w:keepNext w:val="0"/>
              <w:keepLines w:val="0"/>
              <w:pageBreakBefore w:val="0"/>
              <w:kinsoku/>
              <w:wordWrap/>
              <w:overflowPunct/>
              <w:topLinePunct w:val="0"/>
              <w:autoSpaceDE/>
              <w:autoSpaceDN/>
              <w:bidi w:val="0"/>
              <w:adjustRightInd/>
              <w:snapToGrid/>
              <w:spacing w:line="312" w:lineRule="auto"/>
              <w:jc w:val="center"/>
              <w:textAlignment w:val="auto"/>
              <w:rPr>
                <w:rFonts w:hint="eastAsia" w:ascii="宋体" w:hAnsi="宋体" w:eastAsia="宋体" w:cs="宋体"/>
                <w:kern w:val="0"/>
                <w:sz w:val="21"/>
                <w:szCs w:val="21"/>
                <w14:ligatures w14:val="standardContextual"/>
              </w:rPr>
            </w:pPr>
            <w:r>
              <w:rPr>
                <w:rFonts w:hint="eastAsia" w:ascii="宋体" w:hAnsi="宋体" w:eastAsia="宋体" w:cs="宋体"/>
                <w:kern w:val="0"/>
                <w:sz w:val="21"/>
                <w:szCs w:val="21"/>
                <w14:ligatures w14:val="standardContextual"/>
              </w:rPr>
              <w:t>44.21%</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730" w:hRule="atLeast"/>
        </w:trPr>
        <w:tc>
          <w:tcPr>
            <w:tcW w:w="1974" w:type="dxa"/>
            <w:tcBorders>
              <w:top w:val="nil"/>
              <w:left w:val="nil"/>
              <w:bottom w:val="nil"/>
              <w:right w:val="nil"/>
            </w:tcBorders>
            <w:vAlign w:val="center"/>
          </w:tcPr>
          <w:p>
            <w:pPr>
              <w:keepNext w:val="0"/>
              <w:keepLines w:val="0"/>
              <w:pageBreakBefore w:val="0"/>
              <w:kinsoku/>
              <w:wordWrap/>
              <w:overflowPunct/>
              <w:topLinePunct w:val="0"/>
              <w:autoSpaceDE/>
              <w:autoSpaceDN/>
              <w:bidi w:val="0"/>
              <w:adjustRightInd/>
              <w:snapToGrid/>
              <w:spacing w:line="312" w:lineRule="auto"/>
              <w:textAlignment w:val="auto"/>
              <w:rPr>
                <w:rFonts w:hint="eastAsia" w:ascii="宋体" w:hAnsi="宋体" w:eastAsia="宋体" w:cs="宋体"/>
                <w:kern w:val="0"/>
                <w:sz w:val="21"/>
                <w:szCs w:val="21"/>
                <w14:ligatures w14:val="standardContextual"/>
              </w:rPr>
            </w:pPr>
            <w:r>
              <w:rPr>
                <w:rFonts w:hint="eastAsia" w:ascii="宋体" w:hAnsi="宋体" w:eastAsia="宋体" w:cs="宋体"/>
                <w:kern w:val="0"/>
                <w:sz w:val="21"/>
                <w:szCs w:val="21"/>
                <w14:ligatures w14:val="standardContextual"/>
              </w:rPr>
              <w:t>提问封闭性问题</w:t>
            </w:r>
          </w:p>
        </w:tc>
        <w:tc>
          <w:tcPr>
            <w:tcW w:w="2278" w:type="dxa"/>
            <w:tcBorders>
              <w:top w:val="nil"/>
              <w:left w:val="nil"/>
              <w:bottom w:val="nil"/>
              <w:right w:val="nil"/>
            </w:tcBorders>
            <w:vAlign w:val="bottom"/>
          </w:tcPr>
          <w:p>
            <w:pPr>
              <w:keepNext w:val="0"/>
              <w:keepLines w:val="0"/>
              <w:pageBreakBefore w:val="0"/>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333333"/>
                <w:kern w:val="0"/>
                <w:sz w:val="21"/>
                <w:szCs w:val="21"/>
                <w14:ligatures w14:val="standardContextual"/>
              </w:rPr>
            </w:pPr>
            <w:r>
              <w:rPr>
                <w:rFonts w:hint="eastAsia" w:ascii="宋体" w:hAnsi="宋体" w:eastAsia="宋体" w:cs="宋体"/>
                <w:color w:val="333333"/>
                <w:kern w:val="0"/>
                <w:sz w:val="21"/>
                <w:szCs w:val="21"/>
                <w14:ligatures w14:val="standardContextual"/>
              </w:rPr>
              <w:t>0.00%</w:t>
            </w:r>
          </w:p>
        </w:tc>
        <w:tc>
          <w:tcPr>
            <w:tcW w:w="3191" w:type="dxa"/>
            <w:tcBorders>
              <w:top w:val="nil"/>
              <w:left w:val="nil"/>
              <w:bottom w:val="nil"/>
              <w:right w:val="nil"/>
            </w:tcBorders>
          </w:tcPr>
          <w:p>
            <w:pPr>
              <w:keepNext w:val="0"/>
              <w:keepLines w:val="0"/>
              <w:pageBreakBefore w:val="0"/>
              <w:kinsoku/>
              <w:wordWrap/>
              <w:overflowPunct/>
              <w:topLinePunct w:val="0"/>
              <w:autoSpaceDE/>
              <w:autoSpaceDN/>
              <w:bidi w:val="0"/>
              <w:adjustRightInd/>
              <w:snapToGrid/>
              <w:spacing w:line="312" w:lineRule="auto"/>
              <w:textAlignment w:val="auto"/>
              <w:rPr>
                <w:rFonts w:hint="eastAsia" w:ascii="宋体" w:hAnsi="宋体" w:eastAsia="宋体" w:cs="宋体"/>
                <w:kern w:val="0"/>
                <w:sz w:val="21"/>
                <w:szCs w:val="21"/>
                <w14:ligatures w14:val="standardContextual"/>
              </w:rPr>
            </w:pPr>
            <w:r>
              <w:rPr>
                <w:rFonts w:hint="eastAsia" w:ascii="宋体" w:hAnsi="宋体" w:eastAsia="宋体" w:cs="宋体"/>
                <w:kern w:val="0"/>
                <w:sz w:val="21"/>
                <w:szCs w:val="21"/>
                <w14:ligatures w14:val="standardContextual"/>
              </w:rPr>
              <w:t>教师积极强化与消极强化比率</w:t>
            </w:r>
          </w:p>
        </w:tc>
        <w:tc>
          <w:tcPr>
            <w:tcW w:w="1456" w:type="dxa"/>
            <w:tcBorders>
              <w:top w:val="nil"/>
              <w:left w:val="nil"/>
              <w:bottom w:val="nil"/>
              <w:right w:val="nil"/>
            </w:tcBorders>
            <w:vAlign w:val="center"/>
          </w:tcPr>
          <w:p>
            <w:pPr>
              <w:keepNext w:val="0"/>
              <w:keepLines w:val="0"/>
              <w:pageBreakBefore w:val="0"/>
              <w:kinsoku/>
              <w:wordWrap/>
              <w:overflowPunct/>
              <w:topLinePunct w:val="0"/>
              <w:autoSpaceDE/>
              <w:autoSpaceDN/>
              <w:bidi w:val="0"/>
              <w:adjustRightInd/>
              <w:snapToGrid/>
              <w:spacing w:line="312" w:lineRule="auto"/>
              <w:jc w:val="center"/>
              <w:textAlignment w:val="auto"/>
              <w:rPr>
                <w:rFonts w:hint="eastAsia" w:ascii="宋体" w:hAnsi="宋体" w:eastAsia="宋体" w:cs="宋体"/>
                <w:kern w:val="0"/>
                <w:sz w:val="21"/>
                <w:szCs w:val="21"/>
                <w14:ligatures w14:val="standardContextual"/>
              </w:rPr>
            </w:pPr>
            <w:r>
              <w:rPr>
                <w:rFonts w:hint="eastAsia" w:ascii="宋体" w:hAnsi="宋体" w:eastAsia="宋体" w:cs="宋体"/>
                <w:kern w:val="0"/>
                <w:sz w:val="21"/>
                <w:szCs w:val="21"/>
                <w14:ligatures w14:val="standardContextual"/>
              </w:rPr>
              <w:t>125.58%</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414" w:hRule="atLeast"/>
        </w:trPr>
        <w:tc>
          <w:tcPr>
            <w:tcW w:w="1974" w:type="dxa"/>
            <w:tcBorders>
              <w:top w:val="nil"/>
              <w:left w:val="nil"/>
              <w:bottom w:val="nil"/>
              <w:right w:val="nil"/>
            </w:tcBorders>
            <w:vAlign w:val="center"/>
          </w:tcPr>
          <w:p>
            <w:pPr>
              <w:keepNext w:val="0"/>
              <w:keepLines w:val="0"/>
              <w:pageBreakBefore w:val="0"/>
              <w:kinsoku/>
              <w:wordWrap/>
              <w:overflowPunct/>
              <w:topLinePunct w:val="0"/>
              <w:autoSpaceDE/>
              <w:autoSpaceDN/>
              <w:bidi w:val="0"/>
              <w:adjustRightInd/>
              <w:snapToGrid/>
              <w:spacing w:line="312" w:lineRule="auto"/>
              <w:textAlignment w:val="auto"/>
              <w:rPr>
                <w:rFonts w:hint="eastAsia" w:ascii="宋体" w:hAnsi="宋体" w:eastAsia="宋体" w:cs="宋体"/>
                <w:kern w:val="0"/>
                <w:sz w:val="21"/>
                <w:szCs w:val="21"/>
                <w14:ligatures w14:val="standardContextual"/>
              </w:rPr>
            </w:pPr>
            <w:r>
              <w:rPr>
                <w:rFonts w:hint="eastAsia" w:ascii="宋体" w:hAnsi="宋体" w:eastAsia="宋体" w:cs="宋体"/>
                <w:kern w:val="0"/>
                <w:sz w:val="21"/>
                <w:szCs w:val="21"/>
                <w14:ligatures w14:val="standardContextual"/>
              </w:rPr>
              <w:t>教师讲授</w:t>
            </w:r>
          </w:p>
        </w:tc>
        <w:tc>
          <w:tcPr>
            <w:tcW w:w="2278" w:type="dxa"/>
            <w:tcBorders>
              <w:top w:val="nil"/>
              <w:left w:val="nil"/>
              <w:bottom w:val="nil"/>
              <w:right w:val="nil"/>
            </w:tcBorders>
            <w:vAlign w:val="bottom"/>
          </w:tcPr>
          <w:p>
            <w:pPr>
              <w:keepNext w:val="0"/>
              <w:keepLines w:val="0"/>
              <w:pageBreakBefore w:val="0"/>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333333"/>
                <w:kern w:val="0"/>
                <w:sz w:val="21"/>
                <w:szCs w:val="21"/>
                <w14:ligatures w14:val="standardContextual"/>
              </w:rPr>
            </w:pPr>
            <w:r>
              <w:rPr>
                <w:rFonts w:hint="eastAsia" w:ascii="宋体" w:hAnsi="宋体" w:eastAsia="宋体" w:cs="宋体"/>
                <w:color w:val="333333"/>
                <w:kern w:val="0"/>
                <w:sz w:val="21"/>
                <w:szCs w:val="21"/>
                <w14:ligatures w14:val="standardContextual"/>
              </w:rPr>
              <w:t>11.67%</w:t>
            </w:r>
          </w:p>
        </w:tc>
        <w:tc>
          <w:tcPr>
            <w:tcW w:w="3191" w:type="dxa"/>
            <w:tcBorders>
              <w:top w:val="nil"/>
              <w:left w:val="nil"/>
              <w:bottom w:val="nil"/>
              <w:right w:val="nil"/>
            </w:tcBorders>
          </w:tcPr>
          <w:p>
            <w:pPr>
              <w:keepNext w:val="0"/>
              <w:keepLines w:val="0"/>
              <w:pageBreakBefore w:val="0"/>
              <w:kinsoku/>
              <w:wordWrap/>
              <w:overflowPunct/>
              <w:topLinePunct w:val="0"/>
              <w:autoSpaceDE/>
              <w:autoSpaceDN/>
              <w:bidi w:val="0"/>
              <w:adjustRightInd/>
              <w:snapToGrid/>
              <w:spacing w:line="312" w:lineRule="auto"/>
              <w:textAlignment w:val="auto"/>
              <w:rPr>
                <w:rFonts w:hint="eastAsia" w:ascii="宋体" w:hAnsi="宋体" w:eastAsia="宋体" w:cs="宋体"/>
                <w:kern w:val="0"/>
                <w:sz w:val="21"/>
                <w:szCs w:val="21"/>
                <w14:ligatures w14:val="standardContextual"/>
              </w:rPr>
            </w:pPr>
            <w:r>
              <w:rPr>
                <w:rFonts w:hint="eastAsia" w:ascii="宋体" w:hAnsi="宋体" w:eastAsia="宋体" w:cs="宋体"/>
                <w:kern w:val="0"/>
                <w:sz w:val="21"/>
                <w:szCs w:val="21"/>
                <w14:ligatures w14:val="standardContextual"/>
              </w:rPr>
              <w:t>学生言语比率</w:t>
            </w:r>
          </w:p>
        </w:tc>
        <w:tc>
          <w:tcPr>
            <w:tcW w:w="1456" w:type="dxa"/>
            <w:tcBorders>
              <w:top w:val="nil"/>
              <w:left w:val="nil"/>
              <w:bottom w:val="nil"/>
              <w:right w:val="nil"/>
            </w:tcBorders>
            <w:vAlign w:val="center"/>
          </w:tcPr>
          <w:p>
            <w:pPr>
              <w:keepNext w:val="0"/>
              <w:keepLines w:val="0"/>
              <w:pageBreakBefore w:val="0"/>
              <w:kinsoku/>
              <w:wordWrap/>
              <w:overflowPunct/>
              <w:topLinePunct w:val="0"/>
              <w:autoSpaceDE/>
              <w:autoSpaceDN/>
              <w:bidi w:val="0"/>
              <w:adjustRightInd/>
              <w:snapToGrid/>
              <w:spacing w:line="312" w:lineRule="auto"/>
              <w:jc w:val="center"/>
              <w:textAlignment w:val="auto"/>
              <w:rPr>
                <w:rFonts w:hint="eastAsia" w:ascii="宋体" w:hAnsi="宋体" w:eastAsia="宋体" w:cs="宋体"/>
                <w:kern w:val="0"/>
                <w:sz w:val="21"/>
                <w:szCs w:val="21"/>
                <w14:ligatures w14:val="standardContextual"/>
              </w:rPr>
            </w:pPr>
            <w:r>
              <w:rPr>
                <w:rFonts w:hint="eastAsia" w:ascii="宋体" w:hAnsi="宋体" w:eastAsia="宋体" w:cs="宋体"/>
                <w:kern w:val="0"/>
                <w:sz w:val="21"/>
                <w:szCs w:val="21"/>
                <w14:ligatures w14:val="standardContextual"/>
              </w:rPr>
              <w:t>48.97%</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414" w:hRule="atLeast"/>
        </w:trPr>
        <w:tc>
          <w:tcPr>
            <w:tcW w:w="1974" w:type="dxa"/>
            <w:tcBorders>
              <w:top w:val="nil"/>
              <w:left w:val="nil"/>
              <w:bottom w:val="nil"/>
              <w:right w:val="nil"/>
            </w:tcBorders>
            <w:vAlign w:val="center"/>
          </w:tcPr>
          <w:p>
            <w:pPr>
              <w:keepNext w:val="0"/>
              <w:keepLines w:val="0"/>
              <w:pageBreakBefore w:val="0"/>
              <w:kinsoku/>
              <w:wordWrap/>
              <w:overflowPunct/>
              <w:topLinePunct w:val="0"/>
              <w:autoSpaceDE/>
              <w:autoSpaceDN/>
              <w:bidi w:val="0"/>
              <w:adjustRightInd/>
              <w:snapToGrid/>
              <w:spacing w:line="312" w:lineRule="auto"/>
              <w:textAlignment w:val="auto"/>
              <w:rPr>
                <w:rFonts w:hint="eastAsia" w:ascii="宋体" w:hAnsi="宋体" w:eastAsia="宋体" w:cs="宋体"/>
                <w:kern w:val="0"/>
                <w:sz w:val="21"/>
                <w:szCs w:val="21"/>
                <w14:ligatures w14:val="standardContextual"/>
              </w:rPr>
            </w:pPr>
            <w:r>
              <w:rPr>
                <w:rFonts w:hint="eastAsia" w:ascii="宋体" w:hAnsi="宋体" w:eastAsia="宋体" w:cs="宋体"/>
                <w:kern w:val="0"/>
                <w:sz w:val="21"/>
                <w:szCs w:val="21"/>
                <w14:ligatures w14:val="standardContextual"/>
              </w:rPr>
              <w:t>指令</w:t>
            </w:r>
          </w:p>
        </w:tc>
        <w:tc>
          <w:tcPr>
            <w:tcW w:w="2278" w:type="dxa"/>
            <w:tcBorders>
              <w:top w:val="nil"/>
              <w:left w:val="nil"/>
              <w:bottom w:val="nil"/>
              <w:right w:val="nil"/>
            </w:tcBorders>
            <w:vAlign w:val="bottom"/>
          </w:tcPr>
          <w:p>
            <w:pPr>
              <w:keepNext w:val="0"/>
              <w:keepLines w:val="0"/>
              <w:pageBreakBefore w:val="0"/>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333333"/>
                <w:kern w:val="0"/>
                <w:sz w:val="21"/>
                <w:szCs w:val="21"/>
                <w14:ligatures w14:val="standardContextual"/>
              </w:rPr>
            </w:pPr>
            <w:r>
              <w:rPr>
                <w:rFonts w:hint="eastAsia" w:ascii="宋体" w:hAnsi="宋体" w:eastAsia="宋体" w:cs="宋体"/>
                <w:color w:val="333333"/>
                <w:kern w:val="0"/>
                <w:sz w:val="21"/>
                <w:szCs w:val="21"/>
                <w14:ligatures w14:val="standardContextual"/>
              </w:rPr>
              <w:t>2.52%</w:t>
            </w:r>
          </w:p>
        </w:tc>
        <w:tc>
          <w:tcPr>
            <w:tcW w:w="3191" w:type="dxa"/>
            <w:tcBorders>
              <w:top w:val="nil"/>
              <w:left w:val="nil"/>
              <w:bottom w:val="nil"/>
              <w:right w:val="nil"/>
            </w:tcBorders>
          </w:tcPr>
          <w:p>
            <w:pPr>
              <w:keepNext w:val="0"/>
              <w:keepLines w:val="0"/>
              <w:pageBreakBefore w:val="0"/>
              <w:kinsoku/>
              <w:wordWrap/>
              <w:overflowPunct/>
              <w:topLinePunct w:val="0"/>
              <w:autoSpaceDE/>
              <w:autoSpaceDN/>
              <w:bidi w:val="0"/>
              <w:adjustRightInd/>
              <w:snapToGrid/>
              <w:spacing w:line="312" w:lineRule="auto"/>
              <w:textAlignment w:val="auto"/>
              <w:rPr>
                <w:rFonts w:hint="eastAsia" w:ascii="宋体" w:hAnsi="宋体" w:eastAsia="宋体" w:cs="宋体"/>
                <w:kern w:val="0"/>
                <w:sz w:val="21"/>
                <w:szCs w:val="21"/>
                <w14:ligatures w14:val="standardContextual"/>
              </w:rPr>
            </w:pPr>
            <w:r>
              <w:rPr>
                <w:rFonts w:hint="eastAsia" w:ascii="宋体" w:hAnsi="宋体" w:eastAsia="宋体" w:cs="宋体"/>
                <w:kern w:val="0"/>
                <w:sz w:val="21"/>
                <w:szCs w:val="21"/>
                <w14:ligatures w14:val="standardContextual"/>
              </w:rPr>
              <w:t>技术应用比率</w:t>
            </w:r>
          </w:p>
        </w:tc>
        <w:tc>
          <w:tcPr>
            <w:tcW w:w="1456" w:type="dxa"/>
            <w:tcBorders>
              <w:top w:val="nil"/>
              <w:left w:val="nil"/>
              <w:bottom w:val="nil"/>
              <w:right w:val="nil"/>
            </w:tcBorders>
            <w:vAlign w:val="center"/>
          </w:tcPr>
          <w:p>
            <w:pPr>
              <w:keepNext w:val="0"/>
              <w:keepLines w:val="0"/>
              <w:pageBreakBefore w:val="0"/>
              <w:kinsoku/>
              <w:wordWrap/>
              <w:overflowPunct/>
              <w:topLinePunct w:val="0"/>
              <w:autoSpaceDE/>
              <w:autoSpaceDN/>
              <w:bidi w:val="0"/>
              <w:adjustRightInd/>
              <w:snapToGrid/>
              <w:spacing w:line="312" w:lineRule="auto"/>
              <w:jc w:val="center"/>
              <w:textAlignment w:val="auto"/>
              <w:rPr>
                <w:rFonts w:hint="eastAsia" w:ascii="宋体" w:hAnsi="宋体" w:eastAsia="宋体" w:cs="宋体"/>
                <w:kern w:val="0"/>
                <w:sz w:val="21"/>
                <w:szCs w:val="21"/>
                <w14:ligatures w14:val="standardContextual"/>
              </w:rPr>
            </w:pPr>
            <w:r>
              <w:rPr>
                <w:rFonts w:hint="eastAsia" w:ascii="宋体" w:hAnsi="宋体" w:eastAsia="宋体" w:cs="宋体"/>
                <w:kern w:val="0"/>
                <w:sz w:val="21"/>
                <w:szCs w:val="21"/>
                <w14:ligatures w14:val="standardContextual"/>
              </w:rPr>
              <w:t>1.11%</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830" w:hRule="atLeast"/>
        </w:trPr>
        <w:tc>
          <w:tcPr>
            <w:tcW w:w="1974" w:type="dxa"/>
            <w:tcBorders>
              <w:top w:val="nil"/>
              <w:left w:val="nil"/>
              <w:bottom w:val="nil"/>
              <w:right w:val="nil"/>
            </w:tcBorders>
            <w:vAlign w:val="center"/>
          </w:tcPr>
          <w:p>
            <w:pPr>
              <w:keepNext w:val="0"/>
              <w:keepLines w:val="0"/>
              <w:pageBreakBefore w:val="0"/>
              <w:kinsoku/>
              <w:wordWrap/>
              <w:overflowPunct/>
              <w:topLinePunct w:val="0"/>
              <w:autoSpaceDE/>
              <w:autoSpaceDN/>
              <w:bidi w:val="0"/>
              <w:adjustRightInd/>
              <w:snapToGrid/>
              <w:spacing w:line="312" w:lineRule="auto"/>
              <w:textAlignment w:val="auto"/>
              <w:rPr>
                <w:rFonts w:hint="eastAsia" w:ascii="宋体" w:hAnsi="宋体" w:eastAsia="宋体" w:cs="宋体"/>
                <w:kern w:val="0"/>
                <w:sz w:val="21"/>
                <w:szCs w:val="21"/>
                <w14:ligatures w14:val="standardContextual"/>
              </w:rPr>
            </w:pPr>
            <w:r>
              <w:rPr>
                <w:rFonts w:hint="eastAsia" w:ascii="宋体" w:hAnsi="宋体" w:eastAsia="宋体" w:cs="宋体"/>
                <w:kern w:val="0"/>
                <w:sz w:val="21"/>
                <w:szCs w:val="21"/>
                <w14:ligatures w14:val="standardContextual"/>
              </w:rPr>
              <w:t>批评或维护教师权威</w:t>
            </w:r>
          </w:p>
        </w:tc>
        <w:tc>
          <w:tcPr>
            <w:tcW w:w="2278" w:type="dxa"/>
            <w:tcBorders>
              <w:top w:val="nil"/>
              <w:left w:val="nil"/>
              <w:bottom w:val="nil"/>
              <w:right w:val="nil"/>
            </w:tcBorders>
            <w:vAlign w:val="bottom"/>
          </w:tcPr>
          <w:p>
            <w:pPr>
              <w:keepNext w:val="0"/>
              <w:keepLines w:val="0"/>
              <w:pageBreakBefore w:val="0"/>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333333"/>
                <w:kern w:val="0"/>
                <w:sz w:val="21"/>
                <w:szCs w:val="21"/>
                <w14:ligatures w14:val="standardContextual"/>
              </w:rPr>
            </w:pPr>
            <w:r>
              <w:rPr>
                <w:rFonts w:hint="eastAsia" w:ascii="宋体" w:hAnsi="宋体" w:eastAsia="宋体" w:cs="宋体"/>
                <w:color w:val="333333"/>
                <w:kern w:val="0"/>
                <w:sz w:val="21"/>
                <w:szCs w:val="21"/>
                <w14:ligatures w14:val="standardContextual"/>
              </w:rPr>
              <w:t>0%</w:t>
            </w:r>
          </w:p>
        </w:tc>
        <w:tc>
          <w:tcPr>
            <w:tcW w:w="3191" w:type="dxa"/>
            <w:tcBorders>
              <w:top w:val="nil"/>
              <w:left w:val="nil"/>
              <w:bottom w:val="nil"/>
              <w:right w:val="nil"/>
            </w:tcBorders>
          </w:tcPr>
          <w:p>
            <w:pPr>
              <w:keepNext w:val="0"/>
              <w:keepLines w:val="0"/>
              <w:pageBreakBefore w:val="0"/>
              <w:kinsoku/>
              <w:wordWrap/>
              <w:overflowPunct/>
              <w:topLinePunct w:val="0"/>
              <w:autoSpaceDE/>
              <w:autoSpaceDN/>
              <w:bidi w:val="0"/>
              <w:adjustRightInd/>
              <w:snapToGrid/>
              <w:spacing w:line="312" w:lineRule="auto"/>
              <w:textAlignment w:val="auto"/>
              <w:rPr>
                <w:rFonts w:hint="eastAsia" w:ascii="宋体" w:hAnsi="宋体" w:eastAsia="宋体" w:cs="宋体"/>
                <w:kern w:val="0"/>
                <w:sz w:val="21"/>
                <w:szCs w:val="21"/>
                <w14:ligatures w14:val="standardContextual"/>
              </w:rPr>
            </w:pPr>
            <w:r>
              <w:rPr>
                <w:rFonts w:hint="eastAsia" w:ascii="宋体" w:hAnsi="宋体" w:eastAsia="宋体" w:cs="宋体"/>
                <w:kern w:val="0"/>
                <w:sz w:val="21"/>
                <w:szCs w:val="21"/>
                <w14:ligatures w14:val="standardContextual"/>
              </w:rPr>
              <w:t>信息技术应用中教师操纵技术比率</w:t>
            </w:r>
          </w:p>
        </w:tc>
        <w:tc>
          <w:tcPr>
            <w:tcW w:w="1456" w:type="dxa"/>
            <w:tcBorders>
              <w:top w:val="nil"/>
              <w:left w:val="nil"/>
              <w:bottom w:val="nil"/>
              <w:right w:val="nil"/>
            </w:tcBorders>
            <w:vAlign w:val="center"/>
          </w:tcPr>
          <w:p>
            <w:pPr>
              <w:keepNext w:val="0"/>
              <w:keepLines w:val="0"/>
              <w:pageBreakBefore w:val="0"/>
              <w:kinsoku/>
              <w:wordWrap/>
              <w:overflowPunct/>
              <w:topLinePunct w:val="0"/>
              <w:autoSpaceDE/>
              <w:autoSpaceDN/>
              <w:bidi w:val="0"/>
              <w:adjustRightInd/>
              <w:snapToGrid/>
              <w:spacing w:line="312" w:lineRule="auto"/>
              <w:jc w:val="center"/>
              <w:textAlignment w:val="auto"/>
              <w:rPr>
                <w:rFonts w:hint="eastAsia" w:ascii="宋体" w:hAnsi="宋体" w:eastAsia="宋体" w:cs="宋体"/>
                <w:kern w:val="0"/>
                <w:sz w:val="21"/>
                <w:szCs w:val="21"/>
                <w14:ligatures w14:val="standardContextual"/>
              </w:rPr>
            </w:pPr>
            <w:r>
              <w:rPr>
                <w:rFonts w:hint="eastAsia" w:ascii="宋体" w:hAnsi="宋体" w:eastAsia="宋体" w:cs="宋体"/>
                <w:kern w:val="0"/>
                <w:sz w:val="21"/>
                <w:szCs w:val="21"/>
                <w14:ligatures w14:val="standardContextual"/>
              </w:rPr>
              <w:t>100%</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830" w:hRule="atLeast"/>
        </w:trPr>
        <w:tc>
          <w:tcPr>
            <w:tcW w:w="1974" w:type="dxa"/>
            <w:tcBorders>
              <w:top w:val="nil"/>
              <w:left w:val="nil"/>
              <w:bottom w:val="nil"/>
              <w:right w:val="nil"/>
            </w:tcBorders>
          </w:tcPr>
          <w:p>
            <w:pPr>
              <w:keepNext w:val="0"/>
              <w:keepLines w:val="0"/>
              <w:pageBreakBefore w:val="0"/>
              <w:kinsoku/>
              <w:wordWrap/>
              <w:overflowPunct/>
              <w:topLinePunct w:val="0"/>
              <w:autoSpaceDE/>
              <w:autoSpaceDN/>
              <w:bidi w:val="0"/>
              <w:adjustRightInd/>
              <w:snapToGrid/>
              <w:spacing w:line="312" w:lineRule="auto"/>
              <w:textAlignment w:val="auto"/>
              <w:rPr>
                <w:rFonts w:hint="eastAsia" w:ascii="宋体" w:hAnsi="宋体" w:eastAsia="宋体" w:cs="宋体"/>
                <w:kern w:val="0"/>
                <w:sz w:val="21"/>
                <w:szCs w:val="21"/>
                <w14:ligatures w14:val="standardContextual"/>
              </w:rPr>
            </w:pPr>
            <w:r>
              <w:rPr>
                <w:rFonts w:hint="eastAsia" w:ascii="宋体" w:hAnsi="宋体" w:eastAsia="宋体" w:cs="宋体"/>
                <w:kern w:val="0"/>
                <w:sz w:val="21"/>
                <w:szCs w:val="21"/>
                <w14:ligatures w14:val="standardContextual"/>
              </w:rPr>
              <w:t>学生被动应答</w:t>
            </w:r>
          </w:p>
        </w:tc>
        <w:tc>
          <w:tcPr>
            <w:tcW w:w="2278" w:type="dxa"/>
            <w:tcBorders>
              <w:top w:val="nil"/>
              <w:left w:val="nil"/>
              <w:bottom w:val="nil"/>
              <w:right w:val="nil"/>
            </w:tcBorders>
            <w:vAlign w:val="bottom"/>
          </w:tcPr>
          <w:p>
            <w:pPr>
              <w:keepNext w:val="0"/>
              <w:keepLines w:val="0"/>
              <w:pageBreakBefore w:val="0"/>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333333"/>
                <w:kern w:val="0"/>
                <w:sz w:val="21"/>
                <w:szCs w:val="21"/>
                <w14:ligatures w14:val="standardContextual"/>
              </w:rPr>
            </w:pPr>
            <w:r>
              <w:rPr>
                <w:rFonts w:hint="eastAsia" w:ascii="宋体" w:hAnsi="宋体" w:eastAsia="宋体" w:cs="宋体"/>
                <w:color w:val="333333"/>
                <w:kern w:val="0"/>
                <w:sz w:val="21"/>
                <w:szCs w:val="21"/>
                <w14:ligatures w14:val="standardContextual"/>
              </w:rPr>
              <w:t>20.88%</w:t>
            </w:r>
          </w:p>
        </w:tc>
        <w:tc>
          <w:tcPr>
            <w:tcW w:w="3191" w:type="dxa"/>
            <w:tcBorders>
              <w:top w:val="nil"/>
              <w:left w:val="nil"/>
              <w:bottom w:val="nil"/>
              <w:right w:val="nil"/>
            </w:tcBorders>
          </w:tcPr>
          <w:p>
            <w:pPr>
              <w:keepNext w:val="0"/>
              <w:keepLines w:val="0"/>
              <w:pageBreakBefore w:val="0"/>
              <w:kinsoku/>
              <w:wordWrap/>
              <w:overflowPunct/>
              <w:topLinePunct w:val="0"/>
              <w:autoSpaceDE/>
              <w:autoSpaceDN/>
              <w:bidi w:val="0"/>
              <w:adjustRightInd/>
              <w:snapToGrid/>
              <w:spacing w:line="312" w:lineRule="auto"/>
              <w:textAlignment w:val="auto"/>
              <w:rPr>
                <w:rFonts w:hint="eastAsia" w:ascii="宋体" w:hAnsi="宋体" w:eastAsia="宋体" w:cs="宋体"/>
                <w:kern w:val="0"/>
                <w:sz w:val="21"/>
                <w:szCs w:val="21"/>
                <w14:ligatures w14:val="standardContextual"/>
              </w:rPr>
            </w:pPr>
            <w:r>
              <w:rPr>
                <w:rFonts w:hint="eastAsia" w:ascii="宋体" w:hAnsi="宋体" w:eastAsia="宋体" w:cs="宋体"/>
                <w:kern w:val="0"/>
                <w:sz w:val="21"/>
                <w:szCs w:val="21"/>
                <w14:ligatures w14:val="standardContextual"/>
              </w:rPr>
              <w:t>信息技术应用中学生操纵技术比率</w:t>
            </w:r>
          </w:p>
        </w:tc>
        <w:tc>
          <w:tcPr>
            <w:tcW w:w="1456" w:type="dxa"/>
            <w:tcBorders>
              <w:top w:val="nil"/>
              <w:left w:val="nil"/>
              <w:bottom w:val="nil"/>
              <w:right w:val="nil"/>
            </w:tcBorders>
            <w:vAlign w:val="center"/>
          </w:tcPr>
          <w:p>
            <w:pPr>
              <w:keepNext w:val="0"/>
              <w:keepLines w:val="0"/>
              <w:pageBreakBefore w:val="0"/>
              <w:kinsoku/>
              <w:wordWrap/>
              <w:overflowPunct/>
              <w:topLinePunct w:val="0"/>
              <w:autoSpaceDE/>
              <w:autoSpaceDN/>
              <w:bidi w:val="0"/>
              <w:adjustRightInd/>
              <w:snapToGrid/>
              <w:spacing w:line="312" w:lineRule="auto"/>
              <w:jc w:val="center"/>
              <w:textAlignment w:val="auto"/>
              <w:rPr>
                <w:rFonts w:hint="eastAsia" w:ascii="宋体" w:hAnsi="宋体" w:eastAsia="宋体" w:cs="宋体"/>
                <w:kern w:val="0"/>
                <w:sz w:val="21"/>
                <w:szCs w:val="21"/>
                <w14:ligatures w14:val="standardContextual"/>
              </w:rPr>
            </w:pPr>
            <w:r>
              <w:rPr>
                <w:rFonts w:hint="eastAsia" w:ascii="宋体" w:hAnsi="宋体" w:eastAsia="宋体" w:cs="宋体"/>
                <w:kern w:val="0"/>
                <w:sz w:val="21"/>
                <w:szCs w:val="21"/>
                <w14:ligatures w14:val="standardContextual"/>
              </w:rPr>
              <w:t>0%</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695" w:hRule="atLeast"/>
        </w:trPr>
        <w:tc>
          <w:tcPr>
            <w:tcW w:w="1974" w:type="dxa"/>
            <w:tcBorders>
              <w:top w:val="nil"/>
              <w:left w:val="nil"/>
              <w:bottom w:val="nil"/>
              <w:right w:val="nil"/>
            </w:tcBorders>
            <w:vAlign w:val="center"/>
          </w:tcPr>
          <w:p>
            <w:pPr>
              <w:keepNext w:val="0"/>
              <w:keepLines w:val="0"/>
              <w:pageBreakBefore w:val="0"/>
              <w:kinsoku/>
              <w:wordWrap/>
              <w:overflowPunct/>
              <w:topLinePunct w:val="0"/>
              <w:autoSpaceDE/>
              <w:autoSpaceDN/>
              <w:bidi w:val="0"/>
              <w:adjustRightInd/>
              <w:snapToGrid/>
              <w:spacing w:line="312" w:lineRule="auto"/>
              <w:textAlignment w:val="auto"/>
              <w:rPr>
                <w:rFonts w:hint="eastAsia" w:ascii="宋体" w:hAnsi="宋体" w:eastAsia="宋体" w:cs="宋体"/>
                <w:kern w:val="0"/>
                <w:sz w:val="21"/>
                <w:szCs w:val="21"/>
                <w14:ligatures w14:val="standardContextual"/>
              </w:rPr>
            </w:pPr>
            <w:r>
              <w:rPr>
                <w:rFonts w:hint="eastAsia" w:ascii="宋体" w:hAnsi="宋体" w:eastAsia="宋体" w:cs="宋体"/>
                <w:kern w:val="0"/>
                <w:sz w:val="21"/>
                <w:szCs w:val="21"/>
                <w14:ligatures w14:val="standardContextual"/>
              </w:rPr>
              <w:t>学生主动应答</w:t>
            </w:r>
          </w:p>
        </w:tc>
        <w:tc>
          <w:tcPr>
            <w:tcW w:w="2278" w:type="dxa"/>
            <w:tcBorders>
              <w:top w:val="nil"/>
              <w:left w:val="nil"/>
              <w:bottom w:val="nil"/>
              <w:right w:val="nil"/>
            </w:tcBorders>
            <w:vAlign w:val="bottom"/>
          </w:tcPr>
          <w:p>
            <w:pPr>
              <w:keepNext w:val="0"/>
              <w:keepLines w:val="0"/>
              <w:pageBreakBefore w:val="0"/>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333333"/>
                <w:kern w:val="0"/>
                <w:sz w:val="21"/>
                <w:szCs w:val="21"/>
                <w14:ligatures w14:val="standardContextual"/>
              </w:rPr>
            </w:pPr>
            <w:r>
              <w:rPr>
                <w:rFonts w:hint="eastAsia" w:ascii="宋体" w:hAnsi="宋体" w:eastAsia="宋体" w:cs="宋体"/>
                <w:color w:val="333333"/>
                <w:kern w:val="0"/>
                <w:sz w:val="21"/>
                <w:szCs w:val="21"/>
                <w14:ligatures w14:val="standardContextual"/>
              </w:rPr>
              <w:t>3.70%</w:t>
            </w:r>
          </w:p>
        </w:tc>
        <w:tc>
          <w:tcPr>
            <w:tcW w:w="3191" w:type="dxa"/>
            <w:tcBorders>
              <w:top w:val="nil"/>
              <w:left w:val="nil"/>
              <w:bottom w:val="nil"/>
              <w:right w:val="nil"/>
            </w:tcBorders>
          </w:tcPr>
          <w:p>
            <w:pPr>
              <w:keepNext w:val="0"/>
              <w:keepLines w:val="0"/>
              <w:pageBreakBefore w:val="0"/>
              <w:kinsoku/>
              <w:wordWrap/>
              <w:overflowPunct/>
              <w:topLinePunct w:val="0"/>
              <w:autoSpaceDE/>
              <w:autoSpaceDN/>
              <w:bidi w:val="0"/>
              <w:adjustRightInd/>
              <w:snapToGrid/>
              <w:spacing w:line="312" w:lineRule="auto"/>
              <w:textAlignment w:val="auto"/>
              <w:rPr>
                <w:rFonts w:hint="eastAsia" w:ascii="宋体" w:hAnsi="宋体" w:eastAsia="宋体" w:cs="宋体"/>
                <w:kern w:val="0"/>
                <w:sz w:val="21"/>
                <w:szCs w:val="21"/>
                <w14:ligatures w14:val="standardContextual"/>
              </w:rPr>
            </w:pPr>
            <w:r>
              <w:rPr>
                <w:rFonts w:hint="eastAsia" w:ascii="宋体" w:hAnsi="宋体" w:eastAsia="宋体" w:cs="宋体"/>
                <w:kern w:val="0"/>
                <w:sz w:val="21"/>
                <w:szCs w:val="21"/>
                <w14:ligatures w14:val="standardContextual"/>
              </w:rPr>
              <w:t>开放性问题占教师提问比例</w:t>
            </w:r>
          </w:p>
        </w:tc>
        <w:tc>
          <w:tcPr>
            <w:tcW w:w="1456" w:type="dxa"/>
            <w:tcBorders>
              <w:top w:val="nil"/>
              <w:left w:val="nil"/>
              <w:bottom w:val="nil"/>
              <w:right w:val="nil"/>
            </w:tcBorders>
            <w:vAlign w:val="center"/>
          </w:tcPr>
          <w:p>
            <w:pPr>
              <w:keepNext w:val="0"/>
              <w:keepLines w:val="0"/>
              <w:pageBreakBefore w:val="0"/>
              <w:kinsoku/>
              <w:wordWrap/>
              <w:overflowPunct/>
              <w:topLinePunct w:val="0"/>
              <w:autoSpaceDE/>
              <w:autoSpaceDN/>
              <w:bidi w:val="0"/>
              <w:adjustRightInd/>
              <w:snapToGrid/>
              <w:spacing w:line="312" w:lineRule="auto"/>
              <w:jc w:val="center"/>
              <w:textAlignment w:val="auto"/>
              <w:rPr>
                <w:rFonts w:hint="eastAsia" w:ascii="宋体" w:hAnsi="宋体" w:eastAsia="宋体" w:cs="宋体"/>
                <w:kern w:val="0"/>
                <w:sz w:val="21"/>
                <w:szCs w:val="21"/>
                <w14:ligatures w14:val="standardContextual"/>
              </w:rPr>
            </w:pPr>
            <w:r>
              <w:rPr>
                <w:rFonts w:hint="eastAsia" w:ascii="宋体" w:hAnsi="宋体" w:eastAsia="宋体" w:cs="宋体"/>
                <w:kern w:val="0"/>
                <w:sz w:val="21"/>
                <w:szCs w:val="21"/>
                <w14:ligatures w14:val="standardContextual"/>
              </w:rPr>
              <w:t>100%</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695" w:hRule="atLeast"/>
        </w:trPr>
        <w:tc>
          <w:tcPr>
            <w:tcW w:w="1974" w:type="dxa"/>
            <w:tcBorders>
              <w:top w:val="nil"/>
              <w:left w:val="nil"/>
              <w:bottom w:val="nil"/>
              <w:right w:val="nil"/>
            </w:tcBorders>
            <w:vAlign w:val="center"/>
          </w:tcPr>
          <w:p>
            <w:pPr>
              <w:keepNext w:val="0"/>
              <w:keepLines w:val="0"/>
              <w:pageBreakBefore w:val="0"/>
              <w:kinsoku/>
              <w:wordWrap/>
              <w:overflowPunct/>
              <w:topLinePunct w:val="0"/>
              <w:autoSpaceDE/>
              <w:autoSpaceDN/>
              <w:bidi w:val="0"/>
              <w:adjustRightInd/>
              <w:snapToGrid/>
              <w:spacing w:line="312" w:lineRule="auto"/>
              <w:textAlignment w:val="auto"/>
              <w:rPr>
                <w:rFonts w:hint="eastAsia" w:ascii="宋体" w:hAnsi="宋体" w:eastAsia="宋体" w:cs="宋体"/>
                <w:kern w:val="0"/>
                <w:sz w:val="21"/>
                <w:szCs w:val="21"/>
                <w14:ligatures w14:val="standardContextual"/>
              </w:rPr>
            </w:pPr>
            <w:r>
              <w:rPr>
                <w:rFonts w:hint="eastAsia" w:ascii="宋体" w:hAnsi="宋体" w:eastAsia="宋体" w:cs="宋体"/>
                <w:kern w:val="0"/>
                <w:sz w:val="21"/>
                <w:szCs w:val="21"/>
                <w14:ligatures w14:val="standardContextual"/>
              </w:rPr>
              <w:t>学生主动提问</w:t>
            </w:r>
          </w:p>
        </w:tc>
        <w:tc>
          <w:tcPr>
            <w:tcW w:w="2278" w:type="dxa"/>
            <w:tcBorders>
              <w:top w:val="nil"/>
              <w:left w:val="nil"/>
              <w:bottom w:val="nil"/>
              <w:right w:val="nil"/>
            </w:tcBorders>
            <w:vAlign w:val="bottom"/>
          </w:tcPr>
          <w:p>
            <w:pPr>
              <w:keepNext w:val="0"/>
              <w:keepLines w:val="0"/>
              <w:pageBreakBefore w:val="0"/>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333333"/>
                <w:kern w:val="0"/>
                <w:sz w:val="21"/>
                <w:szCs w:val="21"/>
                <w14:ligatures w14:val="standardContextual"/>
              </w:rPr>
            </w:pPr>
            <w:r>
              <w:rPr>
                <w:rFonts w:hint="eastAsia" w:ascii="宋体" w:hAnsi="宋体" w:eastAsia="宋体" w:cs="宋体"/>
                <w:color w:val="333333"/>
                <w:kern w:val="0"/>
                <w:sz w:val="21"/>
                <w:szCs w:val="21"/>
                <w14:ligatures w14:val="standardContextual"/>
              </w:rPr>
              <w:t>0.41%</w:t>
            </w:r>
          </w:p>
        </w:tc>
        <w:tc>
          <w:tcPr>
            <w:tcW w:w="3191" w:type="dxa"/>
            <w:tcBorders>
              <w:top w:val="nil"/>
              <w:left w:val="nil"/>
              <w:bottom w:val="nil"/>
              <w:right w:val="nil"/>
            </w:tcBorders>
          </w:tcPr>
          <w:p>
            <w:pPr>
              <w:keepNext w:val="0"/>
              <w:keepLines w:val="0"/>
              <w:pageBreakBefore w:val="0"/>
              <w:kinsoku/>
              <w:wordWrap/>
              <w:overflowPunct/>
              <w:topLinePunct w:val="0"/>
              <w:autoSpaceDE/>
              <w:autoSpaceDN/>
              <w:bidi w:val="0"/>
              <w:adjustRightInd/>
              <w:snapToGrid/>
              <w:spacing w:line="312" w:lineRule="auto"/>
              <w:textAlignment w:val="auto"/>
              <w:rPr>
                <w:rFonts w:hint="eastAsia" w:ascii="宋体" w:hAnsi="宋体" w:eastAsia="宋体" w:cs="宋体"/>
                <w:kern w:val="0"/>
                <w:sz w:val="21"/>
                <w:szCs w:val="21"/>
                <w14:ligatures w14:val="standardContextual"/>
              </w:rPr>
            </w:pPr>
            <w:r>
              <w:rPr>
                <w:rFonts w:hint="eastAsia" w:ascii="宋体" w:hAnsi="宋体" w:eastAsia="宋体" w:cs="宋体"/>
                <w:kern w:val="0"/>
                <w:sz w:val="21"/>
                <w:szCs w:val="21"/>
                <w14:ligatures w14:val="standardContextual"/>
              </w:rPr>
              <w:t>封闭性问题占教师提问比例</w:t>
            </w:r>
          </w:p>
        </w:tc>
        <w:tc>
          <w:tcPr>
            <w:tcW w:w="1456" w:type="dxa"/>
            <w:tcBorders>
              <w:top w:val="nil"/>
              <w:left w:val="nil"/>
              <w:bottom w:val="nil"/>
              <w:right w:val="nil"/>
            </w:tcBorders>
            <w:vAlign w:val="center"/>
          </w:tcPr>
          <w:p>
            <w:pPr>
              <w:keepNext w:val="0"/>
              <w:keepLines w:val="0"/>
              <w:pageBreakBefore w:val="0"/>
              <w:kinsoku/>
              <w:wordWrap/>
              <w:overflowPunct/>
              <w:topLinePunct w:val="0"/>
              <w:autoSpaceDE/>
              <w:autoSpaceDN/>
              <w:bidi w:val="0"/>
              <w:adjustRightInd/>
              <w:snapToGrid/>
              <w:spacing w:line="312" w:lineRule="auto"/>
              <w:jc w:val="center"/>
              <w:textAlignment w:val="auto"/>
              <w:rPr>
                <w:rFonts w:hint="eastAsia" w:ascii="宋体" w:hAnsi="宋体" w:eastAsia="宋体" w:cs="宋体"/>
                <w:kern w:val="0"/>
                <w:sz w:val="21"/>
                <w:szCs w:val="21"/>
                <w14:ligatures w14:val="standardContextual"/>
              </w:rPr>
            </w:pPr>
            <w:r>
              <w:rPr>
                <w:rFonts w:hint="eastAsia" w:ascii="宋体" w:hAnsi="宋体" w:eastAsia="宋体" w:cs="宋体"/>
                <w:kern w:val="0"/>
                <w:sz w:val="21"/>
                <w:szCs w:val="21"/>
                <w14:ligatures w14:val="standardContextual"/>
              </w:rPr>
              <w:t>0%</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730" w:hRule="atLeast"/>
        </w:trPr>
        <w:tc>
          <w:tcPr>
            <w:tcW w:w="1974" w:type="dxa"/>
            <w:tcBorders>
              <w:top w:val="nil"/>
              <w:left w:val="nil"/>
              <w:bottom w:val="nil"/>
              <w:right w:val="nil"/>
            </w:tcBorders>
          </w:tcPr>
          <w:p>
            <w:pPr>
              <w:keepNext w:val="0"/>
              <w:keepLines w:val="0"/>
              <w:pageBreakBefore w:val="0"/>
              <w:kinsoku/>
              <w:wordWrap/>
              <w:overflowPunct/>
              <w:topLinePunct w:val="0"/>
              <w:autoSpaceDE/>
              <w:autoSpaceDN/>
              <w:bidi w:val="0"/>
              <w:adjustRightInd/>
              <w:snapToGrid/>
              <w:spacing w:line="312" w:lineRule="auto"/>
              <w:textAlignment w:val="auto"/>
              <w:rPr>
                <w:rFonts w:hint="eastAsia" w:ascii="宋体" w:hAnsi="宋体" w:eastAsia="宋体" w:cs="宋体"/>
                <w:kern w:val="0"/>
                <w:sz w:val="21"/>
                <w:szCs w:val="21"/>
                <w14:ligatures w14:val="standardContextual"/>
              </w:rPr>
            </w:pPr>
            <w:r>
              <w:rPr>
                <w:rFonts w:hint="eastAsia" w:ascii="宋体" w:hAnsi="宋体" w:eastAsia="宋体" w:cs="宋体"/>
                <w:kern w:val="0"/>
                <w:sz w:val="21"/>
                <w:szCs w:val="21"/>
                <w14:ligatures w14:val="standardContextual"/>
              </w:rPr>
              <w:t>学生与同伴讨论</w:t>
            </w:r>
          </w:p>
        </w:tc>
        <w:tc>
          <w:tcPr>
            <w:tcW w:w="2278" w:type="dxa"/>
            <w:tcBorders>
              <w:top w:val="nil"/>
              <w:left w:val="nil"/>
              <w:bottom w:val="nil"/>
              <w:right w:val="nil"/>
            </w:tcBorders>
            <w:vAlign w:val="bottom"/>
          </w:tcPr>
          <w:p>
            <w:pPr>
              <w:keepNext w:val="0"/>
              <w:keepLines w:val="0"/>
              <w:pageBreakBefore w:val="0"/>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333333"/>
                <w:kern w:val="0"/>
                <w:sz w:val="21"/>
                <w:szCs w:val="21"/>
                <w14:ligatures w14:val="standardContextual"/>
              </w:rPr>
            </w:pPr>
            <w:r>
              <w:rPr>
                <w:rFonts w:hint="eastAsia" w:ascii="宋体" w:hAnsi="宋体" w:eastAsia="宋体" w:cs="宋体"/>
                <w:color w:val="333333"/>
                <w:kern w:val="0"/>
                <w:sz w:val="21"/>
                <w:szCs w:val="21"/>
                <w14:ligatures w14:val="standardContextual"/>
              </w:rPr>
              <w:t>23.99%</w:t>
            </w:r>
          </w:p>
        </w:tc>
        <w:tc>
          <w:tcPr>
            <w:tcW w:w="3191" w:type="dxa"/>
            <w:tcBorders>
              <w:top w:val="nil"/>
              <w:left w:val="nil"/>
              <w:bottom w:val="nil"/>
              <w:right w:val="nil"/>
            </w:tcBorders>
          </w:tcPr>
          <w:p>
            <w:pPr>
              <w:keepNext w:val="0"/>
              <w:keepLines w:val="0"/>
              <w:pageBreakBefore w:val="0"/>
              <w:kinsoku/>
              <w:wordWrap/>
              <w:overflowPunct/>
              <w:topLinePunct w:val="0"/>
              <w:autoSpaceDE/>
              <w:autoSpaceDN/>
              <w:bidi w:val="0"/>
              <w:adjustRightInd/>
              <w:snapToGrid/>
              <w:spacing w:line="312" w:lineRule="auto"/>
              <w:textAlignment w:val="auto"/>
              <w:rPr>
                <w:rFonts w:hint="eastAsia" w:ascii="宋体" w:hAnsi="宋体" w:eastAsia="宋体" w:cs="宋体"/>
                <w:kern w:val="0"/>
                <w:sz w:val="21"/>
                <w:szCs w:val="21"/>
                <w14:ligatures w14:val="standardContextual"/>
              </w:rPr>
            </w:pPr>
            <w:r>
              <w:rPr>
                <w:rFonts w:hint="eastAsia" w:ascii="宋体" w:hAnsi="宋体" w:eastAsia="宋体" w:cs="宋体"/>
                <w:kern w:val="0"/>
                <w:sz w:val="21"/>
                <w:szCs w:val="21"/>
                <w14:ligatures w14:val="standardContextual"/>
              </w:rPr>
              <w:t>学生主动应答占学生应答比例</w:t>
            </w:r>
          </w:p>
        </w:tc>
        <w:tc>
          <w:tcPr>
            <w:tcW w:w="1456" w:type="dxa"/>
            <w:tcBorders>
              <w:top w:val="nil"/>
              <w:left w:val="nil"/>
              <w:bottom w:val="nil"/>
              <w:right w:val="nil"/>
            </w:tcBorders>
            <w:vAlign w:val="center"/>
          </w:tcPr>
          <w:p>
            <w:pPr>
              <w:keepNext w:val="0"/>
              <w:keepLines w:val="0"/>
              <w:pageBreakBefore w:val="0"/>
              <w:kinsoku/>
              <w:wordWrap/>
              <w:overflowPunct/>
              <w:topLinePunct w:val="0"/>
              <w:autoSpaceDE/>
              <w:autoSpaceDN/>
              <w:bidi w:val="0"/>
              <w:adjustRightInd/>
              <w:snapToGrid/>
              <w:spacing w:line="312" w:lineRule="auto"/>
              <w:jc w:val="center"/>
              <w:textAlignment w:val="auto"/>
              <w:rPr>
                <w:rFonts w:hint="eastAsia" w:ascii="宋体" w:hAnsi="宋体" w:eastAsia="宋体" w:cs="宋体"/>
                <w:kern w:val="0"/>
                <w:sz w:val="21"/>
                <w:szCs w:val="21"/>
                <w14:ligatures w14:val="standardContextual"/>
              </w:rPr>
            </w:pPr>
            <w:r>
              <w:rPr>
                <w:rFonts w:hint="eastAsia" w:ascii="宋体" w:hAnsi="宋体" w:eastAsia="宋体" w:cs="宋体"/>
                <w:kern w:val="0"/>
                <w:sz w:val="21"/>
                <w:szCs w:val="21"/>
                <w14:ligatures w14:val="standardContextual"/>
              </w:rPr>
              <w:t>15.04%</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830" w:hRule="atLeast"/>
        </w:trPr>
        <w:tc>
          <w:tcPr>
            <w:tcW w:w="1974" w:type="dxa"/>
            <w:tcBorders>
              <w:top w:val="nil"/>
              <w:left w:val="nil"/>
              <w:bottom w:val="nil"/>
              <w:right w:val="nil"/>
            </w:tcBorders>
            <w:vAlign w:val="center"/>
          </w:tcPr>
          <w:p>
            <w:pPr>
              <w:keepNext w:val="0"/>
              <w:keepLines w:val="0"/>
              <w:pageBreakBefore w:val="0"/>
              <w:kinsoku/>
              <w:wordWrap/>
              <w:overflowPunct/>
              <w:topLinePunct w:val="0"/>
              <w:autoSpaceDE/>
              <w:autoSpaceDN/>
              <w:bidi w:val="0"/>
              <w:adjustRightInd/>
              <w:snapToGrid/>
              <w:spacing w:line="312" w:lineRule="auto"/>
              <w:textAlignment w:val="auto"/>
              <w:rPr>
                <w:rFonts w:hint="eastAsia" w:ascii="宋体" w:hAnsi="宋体" w:eastAsia="宋体" w:cs="宋体"/>
                <w:kern w:val="0"/>
                <w:sz w:val="21"/>
                <w:szCs w:val="21"/>
                <w14:ligatures w14:val="standardContextual"/>
              </w:rPr>
            </w:pPr>
            <w:r>
              <w:rPr>
                <w:rFonts w:hint="eastAsia" w:ascii="宋体" w:hAnsi="宋体" w:eastAsia="宋体" w:cs="宋体"/>
                <w:kern w:val="0"/>
                <w:sz w:val="21"/>
                <w:szCs w:val="21"/>
                <w14:ligatures w14:val="standardContextual"/>
              </w:rPr>
              <w:t>无助于教学的混乱</w:t>
            </w:r>
          </w:p>
        </w:tc>
        <w:tc>
          <w:tcPr>
            <w:tcW w:w="2278" w:type="dxa"/>
            <w:tcBorders>
              <w:top w:val="nil"/>
              <w:left w:val="nil"/>
              <w:bottom w:val="nil"/>
              <w:right w:val="nil"/>
            </w:tcBorders>
            <w:vAlign w:val="bottom"/>
          </w:tcPr>
          <w:p>
            <w:pPr>
              <w:keepNext w:val="0"/>
              <w:keepLines w:val="0"/>
              <w:pageBreakBefore w:val="0"/>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333333"/>
                <w:kern w:val="0"/>
                <w:sz w:val="21"/>
                <w:szCs w:val="21"/>
                <w14:ligatures w14:val="standardContextual"/>
              </w:rPr>
            </w:pPr>
            <w:r>
              <w:rPr>
                <w:rFonts w:hint="eastAsia" w:ascii="宋体" w:hAnsi="宋体" w:eastAsia="宋体" w:cs="宋体"/>
                <w:color w:val="333333"/>
                <w:kern w:val="0"/>
                <w:sz w:val="21"/>
                <w:szCs w:val="21"/>
                <w14:ligatures w14:val="standardContextual"/>
              </w:rPr>
              <w:t>0%</w:t>
            </w:r>
          </w:p>
        </w:tc>
        <w:tc>
          <w:tcPr>
            <w:tcW w:w="3191" w:type="dxa"/>
            <w:tcBorders>
              <w:top w:val="nil"/>
              <w:left w:val="nil"/>
              <w:bottom w:val="nil"/>
              <w:right w:val="nil"/>
            </w:tcBorders>
          </w:tcPr>
          <w:p>
            <w:pPr>
              <w:keepNext w:val="0"/>
              <w:keepLines w:val="0"/>
              <w:pageBreakBefore w:val="0"/>
              <w:kinsoku/>
              <w:wordWrap/>
              <w:overflowPunct/>
              <w:topLinePunct w:val="0"/>
              <w:autoSpaceDE/>
              <w:autoSpaceDN/>
              <w:bidi w:val="0"/>
              <w:adjustRightInd/>
              <w:snapToGrid/>
              <w:spacing w:line="312" w:lineRule="auto"/>
              <w:textAlignment w:val="auto"/>
              <w:rPr>
                <w:rFonts w:hint="eastAsia" w:ascii="宋体" w:hAnsi="宋体" w:eastAsia="宋体" w:cs="宋体"/>
                <w:kern w:val="0"/>
                <w:sz w:val="21"/>
                <w:szCs w:val="21"/>
                <w14:ligatures w14:val="standardContextual"/>
              </w:rPr>
            </w:pPr>
            <w:r>
              <w:rPr>
                <w:rFonts w:hint="eastAsia" w:ascii="宋体" w:hAnsi="宋体" w:eastAsia="宋体" w:cs="宋体"/>
                <w:kern w:val="0"/>
                <w:sz w:val="21"/>
                <w:szCs w:val="21"/>
                <w14:ligatures w14:val="standardContextual"/>
              </w:rPr>
              <w:t>学生被动应答占学生应答比例</w:t>
            </w:r>
          </w:p>
        </w:tc>
        <w:tc>
          <w:tcPr>
            <w:tcW w:w="1456" w:type="dxa"/>
            <w:tcBorders>
              <w:top w:val="nil"/>
              <w:left w:val="nil"/>
              <w:bottom w:val="nil"/>
              <w:right w:val="nil"/>
            </w:tcBorders>
            <w:vAlign w:val="center"/>
          </w:tcPr>
          <w:p>
            <w:pPr>
              <w:keepNext w:val="0"/>
              <w:keepLines w:val="0"/>
              <w:pageBreakBefore w:val="0"/>
              <w:kinsoku/>
              <w:wordWrap/>
              <w:overflowPunct/>
              <w:topLinePunct w:val="0"/>
              <w:autoSpaceDE/>
              <w:autoSpaceDN/>
              <w:bidi w:val="0"/>
              <w:adjustRightInd/>
              <w:snapToGrid/>
              <w:spacing w:line="312" w:lineRule="auto"/>
              <w:jc w:val="center"/>
              <w:textAlignment w:val="auto"/>
              <w:rPr>
                <w:rFonts w:hint="eastAsia" w:ascii="宋体" w:hAnsi="宋体" w:eastAsia="宋体" w:cs="宋体"/>
                <w:kern w:val="0"/>
                <w:sz w:val="21"/>
                <w:szCs w:val="21"/>
                <w14:ligatures w14:val="standardContextual"/>
              </w:rPr>
            </w:pPr>
            <w:r>
              <w:rPr>
                <w:rFonts w:hint="eastAsia" w:ascii="宋体" w:hAnsi="宋体" w:eastAsia="宋体" w:cs="宋体"/>
                <w:kern w:val="0"/>
                <w:sz w:val="21"/>
                <w:szCs w:val="21"/>
                <w14:ligatures w14:val="standardContextual"/>
              </w:rPr>
              <w:t>84.96%</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840" w:hRule="atLeast"/>
        </w:trPr>
        <w:tc>
          <w:tcPr>
            <w:tcW w:w="1974" w:type="dxa"/>
            <w:tcBorders>
              <w:top w:val="nil"/>
              <w:left w:val="nil"/>
              <w:bottom w:val="single" w:color="auto" w:sz="4" w:space="0"/>
              <w:right w:val="nil"/>
            </w:tcBorders>
            <w:vAlign w:val="center"/>
          </w:tcPr>
          <w:p>
            <w:pPr>
              <w:keepNext w:val="0"/>
              <w:keepLines w:val="0"/>
              <w:pageBreakBefore w:val="0"/>
              <w:kinsoku/>
              <w:wordWrap/>
              <w:overflowPunct/>
              <w:topLinePunct w:val="0"/>
              <w:autoSpaceDE/>
              <w:autoSpaceDN/>
              <w:bidi w:val="0"/>
              <w:adjustRightInd/>
              <w:snapToGrid/>
              <w:spacing w:line="312" w:lineRule="auto"/>
              <w:textAlignment w:val="auto"/>
              <w:rPr>
                <w:rFonts w:hint="eastAsia" w:ascii="宋体" w:hAnsi="宋体" w:eastAsia="宋体" w:cs="宋体"/>
                <w:kern w:val="0"/>
                <w:sz w:val="21"/>
                <w:szCs w:val="21"/>
                <w14:ligatures w14:val="standardContextual"/>
              </w:rPr>
            </w:pPr>
            <w:r>
              <w:rPr>
                <w:rFonts w:hint="eastAsia" w:ascii="宋体" w:hAnsi="宋体" w:eastAsia="宋体" w:cs="宋体"/>
                <w:kern w:val="0"/>
                <w:sz w:val="21"/>
                <w:szCs w:val="21"/>
                <w14:ligatures w14:val="standardContextual"/>
              </w:rPr>
              <w:t>有益于教学的沉寂</w:t>
            </w:r>
          </w:p>
        </w:tc>
        <w:tc>
          <w:tcPr>
            <w:tcW w:w="2278" w:type="dxa"/>
            <w:tcBorders>
              <w:top w:val="nil"/>
              <w:left w:val="nil"/>
              <w:bottom w:val="single" w:color="auto" w:sz="4" w:space="0"/>
              <w:right w:val="nil"/>
            </w:tcBorders>
            <w:vAlign w:val="bottom"/>
          </w:tcPr>
          <w:p>
            <w:pPr>
              <w:keepNext w:val="0"/>
              <w:keepLines w:val="0"/>
              <w:pageBreakBefore w:val="0"/>
              <w:kinsoku/>
              <w:wordWrap/>
              <w:overflowPunct/>
              <w:topLinePunct w:val="0"/>
              <w:autoSpaceDE/>
              <w:autoSpaceDN/>
              <w:bidi w:val="0"/>
              <w:adjustRightInd/>
              <w:snapToGrid/>
              <w:spacing w:line="312" w:lineRule="auto"/>
              <w:jc w:val="center"/>
              <w:textAlignment w:val="auto"/>
              <w:rPr>
                <w:rFonts w:hint="eastAsia" w:ascii="宋体" w:hAnsi="宋体" w:eastAsia="宋体" w:cs="宋体"/>
                <w:color w:val="333333"/>
                <w:kern w:val="0"/>
                <w:sz w:val="21"/>
                <w:szCs w:val="21"/>
                <w14:ligatures w14:val="standardContextual"/>
              </w:rPr>
            </w:pPr>
            <w:r>
              <w:rPr>
                <w:rFonts w:hint="eastAsia" w:ascii="宋体" w:hAnsi="宋体" w:eastAsia="宋体" w:cs="宋体"/>
                <w:color w:val="333333"/>
                <w:kern w:val="0"/>
                <w:sz w:val="21"/>
                <w:szCs w:val="21"/>
                <w14:ligatures w14:val="standardContextual"/>
              </w:rPr>
              <w:t>24.69%</w:t>
            </w:r>
          </w:p>
        </w:tc>
        <w:tc>
          <w:tcPr>
            <w:tcW w:w="3191" w:type="dxa"/>
            <w:tcBorders>
              <w:top w:val="nil"/>
              <w:left w:val="nil"/>
              <w:bottom w:val="single" w:color="auto" w:sz="4" w:space="0"/>
              <w:right w:val="nil"/>
            </w:tcBorders>
          </w:tcPr>
          <w:p>
            <w:pPr>
              <w:keepNext w:val="0"/>
              <w:keepLines w:val="0"/>
              <w:pageBreakBefore w:val="0"/>
              <w:kinsoku/>
              <w:wordWrap/>
              <w:overflowPunct/>
              <w:topLinePunct w:val="0"/>
              <w:autoSpaceDE/>
              <w:autoSpaceDN/>
              <w:bidi w:val="0"/>
              <w:adjustRightInd/>
              <w:snapToGrid/>
              <w:spacing w:line="312" w:lineRule="auto"/>
              <w:textAlignment w:val="auto"/>
              <w:rPr>
                <w:rFonts w:hint="eastAsia" w:ascii="宋体" w:hAnsi="宋体" w:eastAsia="宋体" w:cs="宋体"/>
                <w:kern w:val="0"/>
                <w:sz w:val="21"/>
                <w:szCs w:val="21"/>
                <w14:ligatures w14:val="standardContextual"/>
              </w:rPr>
            </w:pPr>
          </w:p>
        </w:tc>
        <w:tc>
          <w:tcPr>
            <w:tcW w:w="1456" w:type="dxa"/>
            <w:tcBorders>
              <w:top w:val="nil"/>
              <w:left w:val="nil"/>
              <w:bottom w:val="single" w:color="auto" w:sz="4" w:space="0"/>
              <w:right w:val="nil"/>
            </w:tcBorders>
            <w:vAlign w:val="center"/>
          </w:tcPr>
          <w:p>
            <w:pPr>
              <w:keepNext w:val="0"/>
              <w:keepLines w:val="0"/>
              <w:pageBreakBefore w:val="0"/>
              <w:kinsoku/>
              <w:wordWrap/>
              <w:overflowPunct/>
              <w:topLinePunct w:val="0"/>
              <w:autoSpaceDE/>
              <w:autoSpaceDN/>
              <w:bidi w:val="0"/>
              <w:adjustRightInd/>
              <w:snapToGrid/>
              <w:spacing w:line="312" w:lineRule="auto"/>
              <w:jc w:val="center"/>
              <w:textAlignment w:val="auto"/>
              <w:rPr>
                <w:rFonts w:hint="eastAsia" w:ascii="宋体" w:hAnsi="宋体" w:eastAsia="宋体" w:cs="宋体"/>
                <w:kern w:val="0"/>
                <w:sz w:val="21"/>
                <w:szCs w:val="21"/>
                <w14:ligatures w14:val="standardContextual"/>
              </w:rPr>
            </w:pPr>
          </w:p>
        </w:tc>
      </w:tr>
    </w:tbl>
    <w:p>
      <w:pPr>
        <w:keepNext w:val="0"/>
        <w:keepLines w:val="0"/>
        <w:pageBreakBefore w:val="0"/>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p>
    <w:p>
      <w:pPr>
        <w:keepNext w:val="0"/>
        <w:keepLines w:val="0"/>
        <w:pageBreakBefore w:val="0"/>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3.2.2.1生生互动形式单一</w:t>
      </w:r>
    </w:p>
    <w:p>
      <w:pPr>
        <w:keepNext w:val="0"/>
        <w:keepLines w:val="0"/>
        <w:pageBreakBefore w:val="0"/>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尽管学生语言输出占据该听说课的大部分时间，但是其组成形式却较为单一。对于每一段听力材料的话题，教师都会安排小组内讨论，学生与同伴交流观点的占比达到了将近24%，成为学生语言的主要部分之一。通过课堂观察，笔者也发现小组讨论的效果并不尽如人意，对于前两个话题同学们讨论得较为热烈，但当他们发现后续每一段材料都对应着一个讨论题时，便逐渐失去了兴趣。伴随着课程的推进，有一个小组的男生开始通过低头玩手机或者是趴着发呆的行为对讨论活动“软抵抗”，同组的女生也只能尴尬地加入邻桌小组的讨论。大量的听力材料，加之机械重复的小组讨论，会给学生带来一种循环枯燥的课堂感受，出现困倦、注意力不集中的情况，这并不利于知识的理解以及口语表达能力的提升。</w:t>
      </w:r>
    </w:p>
    <w:p>
      <w:pPr>
        <w:keepNext w:val="0"/>
        <w:keepLines w:val="0"/>
        <w:pageBreakBefore w:val="0"/>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3.2.2.2学生回答及提问的主动性有限</w:t>
      </w:r>
    </w:p>
    <w:p>
      <w:pPr>
        <w:keepNext w:val="0"/>
        <w:keepLines w:val="0"/>
        <w:pageBreakBefore w:val="0"/>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该听说课中学生主动应答教师提问的比率仅有3.7%，而被动应答却超过20%，被动应答占到学生总体应答的84.96%，这种悬殊的比例反映出学生回答问题大多处于被动位置，积极性不高，需要教师多次引导、点名之后才能参与到问题的讨论与解决之中。而学生主动提问的频率则处于更低的数值，为0.41%。这一结论弥补了曲线图和矩阵图呈现结果的局限性，单单从曲线和学生语言的矩阵数值来看，整堂课是以学生为主导的听说操练课，但这种主导仅仅是以语言输出量为评判标准，如果从主动性和参与性的角度来看，学生依旧处于被动接受知识，课堂参与积极度有待提高的状态。</w:t>
      </w:r>
    </w:p>
    <w:p>
      <w:pPr>
        <w:keepNext w:val="0"/>
        <w:keepLines w:val="0"/>
        <w:pageBreakBefore w:val="0"/>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3.2.2.3教师言语倾向直接影响</w:t>
      </w:r>
    </w:p>
    <w:p>
      <w:pPr>
        <w:keepNext w:val="0"/>
        <w:keepLines w:val="0"/>
        <w:pageBreakBefore w:val="0"/>
        <w:kinsoku/>
        <w:wordWrap/>
        <w:overflowPunct/>
        <w:topLinePunct w:val="0"/>
        <w:autoSpaceDE/>
        <w:autoSpaceDN/>
        <w:bidi w:val="0"/>
        <w:adjustRightInd/>
        <w:snapToGrid/>
        <w:spacing w:line="312" w:lineRule="auto"/>
        <w:ind w:firstLine="42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教师对学生发挥间接影响主要通过接受感情、鼓励表扬、采纳意见等三种形式，直接影响则是以提问、讲授、指令等较为明确清晰的方式呈现。该课堂中教师间接影响与直接影响比率为44.21%，低于常模1，说明教师更倾向于通过直接明了的语言表达方式组织课堂并影响学生的行为，较少使用接纳、鼓励、表扬等方式反馈学生的回答。美国心理学家安德森的研究发现，当教师使用“控制型”的批评、命令等直接言语时，学生会受到很大的困扰，只表面上服从教师的管理，而实际上在某些情况下会与教师产生冲突。相反，当教师表现出接纳学生情感、夸奖、鼓励等“间接性”的态度时，学生在课堂中表现出更大的自主性，能够自主地发现和解决问题（武张馨，2022）。听说课的目的在于让学生多开口积极发言，这就意味着培养学生参与课堂的积极性是至关重要的，只有当学习者发自内心地愿意表达、主动表达时，其口语能力才能得到进一步的提升。在教师直接语言影响过多的情况下，一方面学生缺乏自主思考和表达的机会，无法充分发挥自己的潜力，另一方面学生的自信心得不到鼓舞和支持，便会渐渐游离在课堂教学之外，不愿发表意见，容易在课堂上走神，成为课堂教学活动的“观众”，最终造成课堂效率的低下（徐美伦，2021）。</w:t>
      </w:r>
    </w:p>
    <w:p>
      <w:pPr>
        <w:keepNext w:val="0"/>
        <w:keepLines w:val="0"/>
        <w:pageBreakBefore w:val="0"/>
        <w:kinsoku/>
        <w:wordWrap/>
        <w:overflowPunct/>
        <w:topLinePunct w:val="0"/>
        <w:autoSpaceDE/>
        <w:autoSpaceDN/>
        <w:bidi w:val="0"/>
        <w:adjustRightInd/>
        <w:snapToGrid/>
        <w:spacing w:line="312" w:lineRule="auto"/>
        <w:jc w:val="center"/>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4.结论及对策建议</w:t>
      </w:r>
    </w:p>
    <w:p>
      <w:pPr>
        <w:keepNext w:val="0"/>
        <w:keepLines w:val="0"/>
        <w:pageBreakBefore w:val="0"/>
        <w:numPr>
          <w:ilvl w:val="0"/>
          <w:numId w:val="0"/>
        </w:numPr>
        <w:kinsoku/>
        <w:wordWrap/>
        <w:overflowPunct/>
        <w:topLinePunct w:val="0"/>
        <w:autoSpaceDE/>
        <w:autoSpaceDN/>
        <w:bidi w:val="0"/>
        <w:adjustRightInd/>
        <w:snapToGrid/>
        <w:spacing w:line="312" w:lineRule="auto"/>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4.1结论</w:t>
      </w:r>
    </w:p>
    <w:p>
      <w:pPr>
        <w:keepNext w:val="0"/>
        <w:keepLines w:val="0"/>
        <w:pageBreakBefore w:val="0"/>
        <w:numPr>
          <w:ilvl w:val="0"/>
          <w:numId w:val="0"/>
        </w:numPr>
        <w:kinsoku/>
        <w:wordWrap/>
        <w:overflowPunct/>
        <w:topLinePunct w:val="0"/>
        <w:autoSpaceDE/>
        <w:autoSpaceDN/>
        <w:bidi w:val="0"/>
        <w:adjustRightInd/>
        <w:snapToGrid/>
        <w:spacing w:line="312" w:lineRule="auto"/>
        <w:ind w:firstLine="42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本研究以德国某G大学一节中级汉语听说课为例，借助改进型弗兰德斯互动分析系统，通过课堂观察、编码记录、生成曲线图、绘制矩阵图、测算各互动行为间的比率从两个层面总结了样本课堂的互动特征：</w:t>
      </w:r>
    </w:p>
    <w:p>
      <w:pPr>
        <w:keepNext w:val="0"/>
        <w:keepLines w:val="0"/>
        <w:pageBreakBefore w:val="0"/>
        <w:numPr>
          <w:ilvl w:val="0"/>
          <w:numId w:val="0"/>
        </w:numPr>
        <w:kinsoku/>
        <w:wordWrap/>
        <w:overflowPunct/>
        <w:topLinePunct w:val="0"/>
        <w:autoSpaceDE/>
        <w:autoSpaceDN/>
        <w:bidi w:val="0"/>
        <w:adjustRightInd/>
        <w:snapToGrid/>
        <w:spacing w:line="312" w:lineRule="auto"/>
        <w:ind w:firstLine="42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从宏观整体层面上来看呈现出三大特征，首先，该课堂属于以学生为中心、精讲多练的课堂模式；其次，课堂氛围较为平缓和谐，前半段整体较为沉寂，后半程学生逐渐进入了积极开口的状态；最后，教学设备较为稳定，教师利用技术进行互动的时间较少。</w:t>
      </w:r>
    </w:p>
    <w:p>
      <w:pPr>
        <w:keepNext w:val="0"/>
        <w:keepLines w:val="0"/>
        <w:pageBreakBefore w:val="0"/>
        <w:numPr>
          <w:ilvl w:val="0"/>
          <w:numId w:val="0"/>
        </w:numPr>
        <w:kinsoku/>
        <w:wordWrap/>
        <w:overflowPunct/>
        <w:topLinePunct w:val="0"/>
        <w:autoSpaceDE/>
        <w:autoSpaceDN/>
        <w:bidi w:val="0"/>
        <w:adjustRightInd/>
        <w:snapToGrid/>
        <w:spacing w:line="312" w:lineRule="auto"/>
        <w:ind w:firstLine="42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从微观视角切入发现该听说课也存在着一些局限性与问题：第一，教师对学生回答问题的积极反馈较为有限；第二，课堂生生互动形式单一，为小组讨论的形式；第三，学生回答问题及主动提问的积极性不高；第四，教师言语行为倾向于直接影响学生，较少采用接纳、鼓励、夸奖等间接方式。</w:t>
      </w:r>
    </w:p>
    <w:p>
      <w:pPr>
        <w:keepNext w:val="0"/>
        <w:keepLines w:val="0"/>
        <w:pageBreakBefore w:val="0"/>
        <w:numPr>
          <w:ilvl w:val="0"/>
          <w:numId w:val="0"/>
        </w:numPr>
        <w:kinsoku/>
        <w:wordWrap/>
        <w:overflowPunct/>
        <w:topLinePunct w:val="0"/>
        <w:autoSpaceDE/>
        <w:autoSpaceDN/>
        <w:bidi w:val="0"/>
        <w:adjustRightInd/>
        <w:snapToGrid/>
        <w:spacing w:line="312" w:lineRule="auto"/>
        <w:ind w:leftChars="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4.2对策及改进建议</w:t>
      </w:r>
    </w:p>
    <w:p>
      <w:pPr>
        <w:keepNext w:val="0"/>
        <w:keepLines w:val="0"/>
        <w:pageBreakBefore w:val="0"/>
        <w:numPr>
          <w:ilvl w:val="0"/>
          <w:numId w:val="0"/>
        </w:numPr>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4.2.1教师维度——提升教学活动设置、反馈评价方式的多样性</w:t>
      </w:r>
    </w:p>
    <w:p>
      <w:pPr>
        <w:keepNext w:val="0"/>
        <w:keepLines w:val="0"/>
        <w:pageBreakBefore w:val="0"/>
        <w:numPr>
          <w:ilvl w:val="0"/>
          <w:numId w:val="0"/>
        </w:numPr>
        <w:kinsoku/>
        <w:wordWrap/>
        <w:overflowPunct/>
        <w:topLinePunct w:val="0"/>
        <w:autoSpaceDE/>
        <w:autoSpaceDN/>
        <w:bidi w:val="0"/>
        <w:adjustRightInd/>
        <w:snapToGrid/>
        <w:spacing w:line="312" w:lineRule="auto"/>
        <w:ind w:left="105" w:lef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需要改变目前听说课教学遇到的瓶颈——听力材料繁复琐碎、练习形式单一、句式语法讲解脱节、学生积极性弱参与度低等等问题，就需要教师尝试一改对听说课的传统刻板印象，将多样化的教学法运用于课堂。不妨尝试产出导向法，让同学们了解每一节课的具体教学目标，掌握哪些语法知识、词汇句式、文化现象、描述能力等等，通过课前讲义的重点标注以及热身练习，让学生通过自我评价了解到目前存在的产出能力有哪些不足，由此激发其在课堂积极回答问题、获取知识、主动提问的信心与热情。伴随着一个个小目标的完成，学生的问题解决意识以及个人自学能力、团队合作能力也得到充分锻炼，并且会油然而生一种攻克难题的获得感与自豪感。除此之外，教师也可以采用翻转课堂的教学模式，让每一位同学负责一个话题的听力材料补充查找，例如本课是关于男女角色分工的，除了课本的内容外，负责该章节的同学需要充当小老师的角色，查找补充听力素材并设计活动，交给教师审阅后，该同学要上台组织同学们听听力，带领大家一起完成相应的学习任务。这样不仅给予了学生从做中学的宝贵机会，只有在熟悉掌握该章节知识内容的基础上才能挖掘到合适的补充材料，才具备上台分享的能力，与此同时这种课堂模式也在一定程度上激励了汉语学习者的自信心和主人翁意识，他们不仅是接受者更是知识的传播者与分享者。可以采取的教学法还有很多种，例如情景法和交际法中的角色扮演游戏，让同学们身临其境地扮演不同职业不同年龄段的角色，一起完成交际任务，又或者是通过简单辩论赛的方式，培养学生主动思辨、热衷表达的意识，而这些教学法的选取与搭配组合，可以根据课程主题的不同灵活安排。</w:t>
      </w:r>
    </w:p>
    <w:p>
      <w:pPr>
        <w:keepNext w:val="0"/>
        <w:keepLines w:val="0"/>
        <w:pageBreakBefore w:val="0"/>
        <w:numPr>
          <w:ilvl w:val="0"/>
          <w:numId w:val="0"/>
        </w:numPr>
        <w:kinsoku/>
        <w:wordWrap/>
        <w:overflowPunct/>
        <w:topLinePunct w:val="0"/>
        <w:autoSpaceDE/>
        <w:autoSpaceDN/>
        <w:bidi w:val="0"/>
        <w:adjustRightInd/>
        <w:snapToGrid/>
        <w:spacing w:line="312" w:lineRule="auto"/>
        <w:ind w:left="105" w:lef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教师丰富语言反馈评价对于改善听说课氛围沉寂、学生被动的情况也同样重要。教师在对学生的回答进行回应和点评时，需要让学生感受到被诅尊重、被认可、被鼓励的感觉。特别是听说课中有大量的涉及到个人观点发表的环节，对于一个问题，每个人都有自己的看法，不分对错，只要不涉及到三观不正的言论，只要言之有理教师就需要根据学生的观点给出恰当的反馈，不能仅仅是肢体上细微的动作，例如点头、眼神对视等等，需要明确地让学生感受到他们的回答是有价值的，是值得在课堂中一起讨论的，因此教师不应吝啬表达鼓舞、肯定、赞赏的话语，帮助学生建立起敢说爱说的勇气。</w:t>
      </w:r>
    </w:p>
    <w:p>
      <w:pPr>
        <w:keepNext w:val="0"/>
        <w:keepLines w:val="0"/>
        <w:pageBreakBefore w:val="0"/>
        <w:numPr>
          <w:ilvl w:val="0"/>
          <w:numId w:val="0"/>
        </w:numPr>
        <w:kinsoku/>
        <w:wordWrap/>
        <w:overflowPunct/>
        <w:topLinePunct w:val="0"/>
        <w:autoSpaceDE/>
        <w:autoSpaceDN/>
        <w:bidi w:val="0"/>
        <w:adjustRightInd/>
        <w:snapToGrid/>
        <w:spacing w:line="312" w:lineRule="auto"/>
        <w:ind w:left="105" w:lef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4.2.2学习者维度——增强汉语学习信心，与教师建立融洽关系</w:t>
      </w:r>
    </w:p>
    <w:p>
      <w:pPr>
        <w:keepNext w:val="0"/>
        <w:keepLines w:val="0"/>
        <w:pageBreakBefore w:val="0"/>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当教师采取灵活多样的课堂教学策略，将以尊重鼓励为主的反馈评价应用于听说课堂中时，学生也应克服不敢开口说的畏难情绪，主动回答问题并积极提出与课程进行相关的疑惑。观察样本课程的学生语言特征不难发现，当学生回答教师提问时，经常伴随着学生言语行为的陡然下降，与此同时教师语言出现高峰的情况，这反映出学生在输出观点时经常存在着说了一半突然中止，再也说不下去的情况，需要教师的进一步引导，才能勉强总结收尾，听力技能与口语技能的提升需要经历大量的操练与不断修正，没有其他捷径可走，因此学习者需要跨越心中碍于面子不敢说、害怕自己说得不好被嘲笑等等障碍，尝试从较为简单的问题入手，例如进行到第一遍听力环节时，可以试图回答答案较为固定的判断选择题，伴随着答对题的正确不断升高，其自信心也逐渐建立了起来，在此基础上继续挑战话题讨论、观点分享等对口语表达要求更高一层的任务。</w:t>
      </w:r>
    </w:p>
    <w:p>
      <w:pPr>
        <w:keepNext w:val="0"/>
        <w:keepLines w:val="0"/>
        <w:pageBreakBefore w:val="0"/>
        <w:kinsoku/>
        <w:wordWrap/>
        <w:overflowPunct/>
        <w:topLinePunct w:val="0"/>
        <w:autoSpaceDE/>
        <w:autoSpaceDN/>
        <w:bidi w:val="0"/>
        <w:adjustRightInd/>
        <w:snapToGrid/>
        <w:spacing w:line="312" w:lineRule="auto"/>
        <w:textAlignment w:val="auto"/>
        <w:rPr>
          <w:rFonts w:hint="default"/>
          <w:lang w:val="en-US" w:eastAsia="zh-CN"/>
        </w:rPr>
      </w:pPr>
      <w:r>
        <w:rPr>
          <w:rFonts w:hint="eastAsia" w:ascii="宋体" w:hAnsi="宋体" w:eastAsia="宋体" w:cs="宋体"/>
          <w:sz w:val="24"/>
          <w:szCs w:val="24"/>
          <w:lang w:val="en-US" w:eastAsia="zh-CN"/>
        </w:rPr>
        <w:t xml:space="preserve">    而师生间融洽和谐关系的建立也能在一定程度上促使学习者更好地融入课堂。本研究通过对该听说课的观察记录发现课堂之外师生的互动较少，上课之前教师也是一直处于讲台的位置上，与同学们简单问好，但学生落座后都是在忙自己的事情，偶尔会和同桌闲聊几句，但与教师的交集并不多，而下课之后同学们纷纷离开教室，并没有同学留下来与老师讨论问题。良好的课堂氛围一定建立在和谐亲切的师生关系的基础上，这有利于拉近师生之间的心理距离，从而帮助学习者克服畏难情绪，提升开口率与主动提问的意愿。由此可见，除了课上教师与学生之间的交流以外，课下学生与教师保持良好的情感交流，学生在课堂中对教师的畏怯心理降低，敢于主动应答和提问，是提高学生口语能力的有效途径之一，同时也能够帮助提高口语课的师生言语互动频率（马静，2023）。</w:t>
      </w:r>
    </w:p>
    <w:p>
      <w:pPr>
        <w:ind w:firstLine="420"/>
        <w:rPr>
          <w:rFonts w:hint="default"/>
          <w:lang w:val="en-US" w:eastAsia="zh-CN"/>
        </w:rPr>
      </w:pPr>
    </w:p>
    <w:p>
      <w:pPr>
        <w:ind w:firstLine="420"/>
        <w:rPr>
          <w:rFonts w:hint="default"/>
          <w:lang w:val="en-US" w:eastAsia="zh-CN"/>
        </w:rPr>
      </w:pPr>
    </w:p>
    <w:p>
      <w:pPr>
        <w:rPr>
          <w:rFonts w:hint="default"/>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ascii="黑体" w:hAnsi="黑体" w:eastAsia="黑体" w:cs="黑体"/>
          <w:lang w:val="en-US" w:eastAsia="zh-CN"/>
        </w:rPr>
      </w:pPr>
      <w:r>
        <w:rPr>
          <w:rFonts w:hint="eastAsia" w:ascii="黑体" w:hAnsi="黑体" w:eastAsia="黑体" w:cs="黑体"/>
          <w:lang w:val="en-US" w:eastAsia="zh-CN"/>
        </w:rPr>
        <w:t>参考文献</w:t>
      </w:r>
    </w:p>
    <w:p>
      <w:pPr>
        <w:numPr>
          <w:ilvl w:val="0"/>
          <w:numId w:val="2"/>
        </w:numPr>
        <w:rPr>
          <w:rFonts w:hint="default"/>
          <w:lang w:val="en-US" w:eastAsia="zh-CN"/>
        </w:rPr>
      </w:pPr>
      <w:r>
        <w:rPr>
          <w:rFonts w:hint="default"/>
          <w:lang w:val="en-US" w:eastAsia="zh-CN"/>
        </w:rPr>
        <w:t>方海光,孔新梅,郑志宏,等.一种智慧课堂交互行为数据的标准分数常模计算方法研究——基于改进型弗兰德斯互动分析系统iFIAS[J].远程教育杂志,2023,41(05):67-75.</w:t>
      </w:r>
    </w:p>
    <w:p>
      <w:pPr>
        <w:numPr>
          <w:ilvl w:val="0"/>
          <w:numId w:val="2"/>
        </w:numPr>
        <w:rPr>
          <w:rFonts w:hint="default"/>
          <w:lang w:val="en-US" w:eastAsia="zh-CN"/>
        </w:rPr>
      </w:pPr>
      <w:r>
        <w:rPr>
          <w:rFonts w:hint="default"/>
          <w:lang w:val="en-US" w:eastAsia="zh-CN"/>
        </w:rPr>
        <w:t>梁梦琪.基于iFIAS的汉语直播课堂互动有效性研究[D].苏州大学,2023.</w:t>
      </w:r>
    </w:p>
    <w:p>
      <w:pPr>
        <w:numPr>
          <w:ilvl w:val="0"/>
          <w:numId w:val="2"/>
        </w:numPr>
        <w:rPr>
          <w:rFonts w:hint="default"/>
          <w:lang w:val="en-US" w:eastAsia="zh-CN"/>
        </w:rPr>
      </w:pPr>
      <w:r>
        <w:rPr>
          <w:rFonts w:hint="default"/>
          <w:lang w:val="en-US" w:eastAsia="zh-CN"/>
        </w:rPr>
        <w:t>马静.基于iFIAS的国际中文线上口语课师生言语互动研究[D].西安石油大学,2023.</w:t>
      </w:r>
    </w:p>
    <w:p>
      <w:pPr>
        <w:numPr>
          <w:ilvl w:val="0"/>
          <w:numId w:val="2"/>
        </w:numPr>
        <w:rPr>
          <w:rFonts w:hint="default"/>
          <w:lang w:val="en-US" w:eastAsia="zh-CN"/>
        </w:rPr>
      </w:pPr>
      <w:r>
        <w:rPr>
          <w:rFonts w:hint="default"/>
          <w:lang w:val="en-US" w:eastAsia="zh-CN"/>
        </w:rPr>
        <w:t>马千惠.对外汉语新手教师与熟手教师课堂反馈语运用对比研究[D].上海外国语大学,2019.</w:t>
      </w:r>
    </w:p>
    <w:p>
      <w:pPr>
        <w:numPr>
          <w:ilvl w:val="0"/>
          <w:numId w:val="2"/>
        </w:numPr>
        <w:rPr>
          <w:rFonts w:hint="default"/>
          <w:lang w:val="en-US" w:eastAsia="zh-CN"/>
        </w:rPr>
      </w:pPr>
      <w:r>
        <w:rPr>
          <w:rFonts w:hint="default"/>
          <w:lang w:val="en-US" w:eastAsia="zh-CN"/>
        </w:rPr>
        <w:t>孙玉卿,沈咪.对外汉语中级阶段听说课教师提问研究[C]//重庆大学,厦门大学,意大利米兰国立大学.变革中的国际汉语教育——第四届汉语国别化教材国际研讨会论文集（2015 IV-ICCSCLT）.暨南大学华文学院;广州英国学院;,2015:21.</w:t>
      </w:r>
    </w:p>
    <w:p>
      <w:pPr>
        <w:numPr>
          <w:ilvl w:val="0"/>
          <w:numId w:val="2"/>
        </w:numPr>
        <w:rPr>
          <w:rFonts w:hint="default"/>
          <w:lang w:val="en-US" w:eastAsia="zh-CN"/>
        </w:rPr>
      </w:pPr>
      <w:r>
        <w:rPr>
          <w:rFonts w:hint="default"/>
          <w:lang w:val="en-US" w:eastAsia="zh-CN"/>
        </w:rPr>
        <w:t>谭鑫.基于iFIAS的万州区初中英语听说课师生言语互动研究[D].重庆三峡学院,2023.</w:t>
      </w:r>
    </w:p>
    <w:p>
      <w:pPr>
        <w:numPr>
          <w:ilvl w:val="0"/>
          <w:numId w:val="2"/>
        </w:numPr>
        <w:rPr>
          <w:rFonts w:hint="default"/>
          <w:lang w:val="en-US" w:eastAsia="zh-CN"/>
        </w:rPr>
      </w:pPr>
      <w:r>
        <w:rPr>
          <w:rFonts w:hint="default"/>
          <w:lang w:val="en-US" w:eastAsia="zh-CN"/>
        </w:rPr>
        <w:t>文秋芳,孙曙光.“产出导向法”驱动场景设计要素例析[J].外语教育研究前沿,2020,3(02):4-11+90.</w:t>
      </w:r>
    </w:p>
    <w:p>
      <w:pPr>
        <w:numPr>
          <w:ilvl w:val="0"/>
          <w:numId w:val="2"/>
        </w:numPr>
        <w:rPr>
          <w:rFonts w:hint="default"/>
          <w:lang w:val="en-US" w:eastAsia="zh-CN"/>
        </w:rPr>
      </w:pPr>
      <w:r>
        <w:rPr>
          <w:rFonts w:hint="default"/>
          <w:lang w:val="en-US" w:eastAsia="zh-CN"/>
        </w:rPr>
        <w:t>徐美伦.基于IFIAS的泰国小学汉语线上教学互动质量提升策略探究[D].广西师范大学,2023.</w:t>
      </w:r>
    </w:p>
    <w:p>
      <w:pPr>
        <w:adjustRightInd w:val="0"/>
        <w:snapToGrid w:val="0"/>
        <w:rPr>
          <w:rFonts w:hint="eastAsia" w:ascii="Batang" w:hAnsi="Batang" w:cs="Batang"/>
          <w:szCs w:val="21"/>
        </w:rPr>
      </w:pPr>
    </w:p>
    <w:p>
      <w:pPr>
        <w:adjustRightInd w:val="0"/>
        <w:snapToGrid w:val="0"/>
        <w:rPr>
          <w:rFonts w:hint="eastAsia" w:ascii="Batang" w:hAnsi="Batang" w:cs="Batang"/>
          <w:szCs w:val="21"/>
        </w:rPr>
      </w:pPr>
    </w:p>
    <w:p>
      <w:pPr>
        <w:adjustRightInd w:val="0"/>
        <w:snapToGrid w:val="0"/>
        <w:rPr>
          <w:rFonts w:hint="eastAsia" w:ascii="Batang" w:hAnsi="Batang" w:cs="Batang"/>
          <w:szCs w:val="21"/>
        </w:rPr>
      </w:pPr>
    </w:p>
    <w:p>
      <w:pPr>
        <w:adjustRightInd w:val="0"/>
        <w:snapToGrid w:val="0"/>
        <w:rPr>
          <w:rFonts w:hint="eastAsia" w:ascii="Batang" w:hAnsi="Batang" w:cs="Batang"/>
          <w:szCs w:val="21"/>
        </w:rPr>
      </w:pPr>
    </w:p>
    <w:p>
      <w:pPr>
        <w:pStyle w:val="6"/>
        <w:keepNext w:val="0"/>
        <w:keepLines w:val="0"/>
        <w:widowControl/>
        <w:suppressLineNumbers w:val="0"/>
        <w:spacing w:before="0" w:beforeAutospacing="0" w:after="0" w:afterAutospacing="0" w:line="10" w:lineRule="atLeast"/>
        <w:ind w:left="0" w:right="0"/>
        <w:jc w:val="center"/>
        <w:rPr>
          <w:rFonts w:hint="eastAsia" w:ascii="华文中宋" w:hAnsi="华文中宋" w:eastAsia="华文中宋" w:cs="华文中宋"/>
          <w:b/>
          <w:bCs/>
          <w:i w:val="0"/>
          <w:iCs w:val="0"/>
          <w:color w:val="000000"/>
          <w:spacing w:val="0"/>
          <w:sz w:val="72"/>
          <w:szCs w:val="72"/>
          <w:vertAlign w:val="baseline"/>
        </w:rPr>
      </w:pPr>
    </w:p>
    <w:p>
      <w:pPr>
        <w:adjustRightInd w:val="0"/>
        <w:snapToGrid w:val="0"/>
        <w:rPr>
          <w:rFonts w:hint="eastAsia" w:ascii="Batang" w:hAnsi="Batang" w:cs="Batang"/>
          <w:szCs w:val="21"/>
        </w:rPr>
      </w:pPr>
    </w:p>
    <w:sectPr>
      <w:headerReference r:id="rId4" w:type="default"/>
      <w:footerReference r:id="rId5"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Batang">
    <w:altName w:val="Malgun Gothic"/>
    <w:panose1 w:val="02030600000101010101"/>
    <w:charset w:val="81"/>
    <w:family w:val="roman"/>
    <w:pitch w:val="default"/>
    <w:sig w:usb0="00000000" w:usb1="00000000" w:usb2="00000030" w:usb3="00000000" w:csb0="0008009F" w:csb1="00000000"/>
  </w:font>
  <w:font w:name="Malgun Gothic">
    <w:panose1 w:val="020B0503020000020004"/>
    <w:charset w:val="81"/>
    <w:family w:val="auto"/>
    <w:pitch w:val="default"/>
    <w:sig w:usb0="9000002F" w:usb1="29D77CFB" w:usb2="00000012"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28199998"/>
      <w:docPartObj>
        <w:docPartGallery w:val="autotext"/>
      </w:docPartObj>
    </w:sdtPr>
    <w:sdtContent>
      <w:p>
        <w:pPr>
          <w:pStyle w:val="3"/>
          <w:jc w:val="center"/>
        </w:pPr>
        <w:r>
          <w:fldChar w:fldCharType="begin"/>
        </w:r>
        <w:r>
          <w:instrText xml:space="preserve">PAGE   \* MERGEFORMAT</w:instrText>
        </w:r>
        <w:r>
          <w:fldChar w:fldCharType="separate"/>
        </w:r>
        <w:r>
          <w:rPr>
            <w:lang w:val="zh-CN"/>
          </w:rPr>
          <w:t>2</w:t>
        </w:r>
        <w:r>
          <w:fldChar w:fldCharType="end"/>
        </w:r>
      </w:p>
    </w:sdtContent>
  </w:sdt>
  <w:p>
    <w:pPr>
      <w:pStyle w:val="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6">
    <w:p>
      <w:r>
        <w:separator/>
      </w:r>
    </w:p>
  </w:footnote>
  <w:footnote w:type="continuationSeparator" w:id="7">
    <w:p>
      <w:r>
        <w:continuationSeparator/>
      </w:r>
    </w:p>
  </w:footnote>
  <w:footnote w:id="0">
    <w:p>
      <w:pPr>
        <w:pStyle w:val="5"/>
        <w:snapToGrid w:val="0"/>
        <w:rPr>
          <w:rFonts w:hint="eastAsia" w:ascii="宋体" w:hAnsi="宋体" w:eastAsia="宋体" w:cs="宋体"/>
          <w:sz w:val="21"/>
          <w:szCs w:val="28"/>
          <w:lang w:val="en-US" w:eastAsia="zh-CN"/>
        </w:rPr>
      </w:pPr>
      <w:r>
        <w:rPr>
          <w:rStyle w:val="11"/>
          <w:rFonts w:hint="eastAsia" w:ascii="宋体" w:hAnsi="宋体" w:eastAsia="宋体" w:cs="宋体"/>
          <w:sz w:val="21"/>
          <w:szCs w:val="28"/>
        </w:rPr>
        <w:footnoteRef/>
      </w:r>
      <w:r>
        <w:rPr>
          <w:rFonts w:hint="eastAsia" w:ascii="宋体" w:hAnsi="宋体" w:eastAsia="宋体" w:cs="宋体"/>
          <w:sz w:val="21"/>
          <w:szCs w:val="28"/>
        </w:rPr>
        <w:t xml:space="preserve"> </w:t>
      </w:r>
      <w:r>
        <w:rPr>
          <w:rFonts w:hint="eastAsia" w:ascii="宋体" w:hAnsi="宋体" w:eastAsia="宋体" w:cs="宋体"/>
          <w:sz w:val="21"/>
          <w:szCs w:val="28"/>
          <w:lang w:val="en-US" w:eastAsia="zh-CN"/>
        </w:rPr>
        <w:t>本案例由南京大学海外教育学院的23级汉硕生吴蕊珈撰写，案例的知识产权归属作者及所在单位所有。</w:t>
      </w:r>
    </w:p>
  </w:footnote>
  <w:footnote w:id="1">
    <w:p>
      <w:pPr>
        <w:pStyle w:val="5"/>
        <w:snapToGrid w:val="0"/>
        <w:rPr>
          <w:rFonts w:hint="eastAsia" w:ascii="宋体" w:hAnsi="宋体" w:eastAsia="宋体" w:cs="宋体"/>
          <w:sz w:val="20"/>
          <w:szCs w:val="24"/>
          <w:lang w:val="en-US" w:eastAsia="zh-CN"/>
        </w:rPr>
      </w:pPr>
      <w:r>
        <w:rPr>
          <w:rStyle w:val="11"/>
          <w:rFonts w:hint="eastAsia" w:ascii="宋体" w:hAnsi="宋体" w:eastAsia="宋体" w:cs="宋体"/>
          <w:sz w:val="20"/>
          <w:szCs w:val="24"/>
        </w:rPr>
        <w:footnoteRef/>
      </w:r>
      <w:r>
        <w:rPr>
          <w:rFonts w:hint="eastAsia" w:ascii="宋体" w:hAnsi="宋体" w:eastAsia="宋体" w:cs="宋体"/>
          <w:sz w:val="20"/>
          <w:szCs w:val="24"/>
        </w:rPr>
        <w:t xml:space="preserve"> </w:t>
      </w:r>
      <w:r>
        <w:rPr>
          <w:rFonts w:hint="eastAsia" w:ascii="宋体" w:hAnsi="宋体" w:eastAsia="宋体" w:cs="宋体"/>
          <w:sz w:val="20"/>
          <w:szCs w:val="24"/>
          <w:lang w:val="en-US" w:eastAsia="zh-CN"/>
        </w:rPr>
        <w:t>本案例源自2024年5月17日下午16：00开展的德国某G大学某节中级汉语听说课，由于保密的要求，在本案例中对有关名称，数据等做了必要的掩饰性处理。</w:t>
      </w:r>
    </w:p>
  </w:footnote>
  <w:footnote w:id="2">
    <w:p>
      <w:pPr>
        <w:pStyle w:val="5"/>
        <w:snapToGrid w:val="0"/>
        <w:rPr>
          <w:rFonts w:hint="eastAsia" w:ascii="宋体" w:hAnsi="宋体" w:eastAsia="宋体" w:cs="宋体"/>
          <w:sz w:val="20"/>
          <w:szCs w:val="24"/>
          <w:lang w:val="en-US" w:eastAsia="zh-CN"/>
        </w:rPr>
      </w:pPr>
      <w:r>
        <w:rPr>
          <w:rStyle w:val="11"/>
          <w:rFonts w:hint="eastAsia" w:ascii="宋体" w:hAnsi="宋体" w:eastAsia="宋体" w:cs="宋体"/>
          <w:sz w:val="20"/>
          <w:szCs w:val="24"/>
        </w:rPr>
        <w:footnoteRef/>
      </w:r>
      <w:r>
        <w:rPr>
          <w:rFonts w:hint="eastAsia" w:ascii="宋体" w:hAnsi="宋体" w:eastAsia="宋体" w:cs="宋体"/>
          <w:sz w:val="20"/>
          <w:szCs w:val="24"/>
        </w:rPr>
        <w:t xml:space="preserve"> </w:t>
      </w:r>
      <w:r>
        <w:rPr>
          <w:rFonts w:hint="eastAsia" w:ascii="宋体" w:hAnsi="宋体" w:eastAsia="宋体" w:cs="宋体"/>
          <w:sz w:val="20"/>
          <w:szCs w:val="24"/>
          <w:lang w:val="en-US" w:eastAsia="zh-CN"/>
        </w:rPr>
        <w:t>本案例只供课堂讨论之用，并无意暗示或说明某种管理行为是否有效。</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rPr>
        <w:rFonts w:hint="default" w:eastAsiaTheme="minorEastAsia"/>
        <w:lang w:val="en-US" w:eastAsia="zh-CN"/>
      </w:rPr>
    </w:pPr>
    <w:r>
      <w:rPr>
        <w:rFonts w:hint="eastAsia"/>
        <w:lang w:val="en-US" w:eastAsia="zh-CN"/>
      </w:rPr>
      <w:t>南京大学《国外教学案例分析》 期末课程作业</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98A7E00"/>
    <w:multiLevelType w:val="singleLevel"/>
    <w:tmpl w:val="C98A7E00"/>
    <w:lvl w:ilvl="0" w:tentative="0">
      <w:start w:val="1"/>
      <w:numFmt w:val="decimal"/>
      <w:lvlText w:val="%1."/>
      <w:lvlJc w:val="left"/>
      <w:pPr>
        <w:tabs>
          <w:tab w:val="left" w:pos="312"/>
        </w:tabs>
      </w:pPr>
    </w:lvl>
  </w:abstractNum>
  <w:abstractNum w:abstractNumId="1">
    <w:nsid w:val="CAC71600"/>
    <w:multiLevelType w:val="singleLevel"/>
    <w:tmpl w:val="CAC71600"/>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6"/>
    <w:footnote w:id="7"/>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mVkMGFmNzUzNmZmYmQzNDQ5YzI0MzBhMDI1NGVmYWYifQ=="/>
  </w:docVars>
  <w:rsids>
    <w:rsidRoot w:val="005A40AB"/>
    <w:rsid w:val="000209E3"/>
    <w:rsid w:val="00024F3E"/>
    <w:rsid w:val="00033B91"/>
    <w:rsid w:val="00035AAF"/>
    <w:rsid w:val="00044A7F"/>
    <w:rsid w:val="0004543B"/>
    <w:rsid w:val="00050D91"/>
    <w:rsid w:val="00053286"/>
    <w:rsid w:val="000542E5"/>
    <w:rsid w:val="00057D2B"/>
    <w:rsid w:val="00060D88"/>
    <w:rsid w:val="0007664B"/>
    <w:rsid w:val="000928BB"/>
    <w:rsid w:val="000A0A55"/>
    <w:rsid w:val="000B6D26"/>
    <w:rsid w:val="000C5DA7"/>
    <w:rsid w:val="000D32CA"/>
    <w:rsid w:val="000D5011"/>
    <w:rsid w:val="000E10D3"/>
    <w:rsid w:val="000E501E"/>
    <w:rsid w:val="00101CC1"/>
    <w:rsid w:val="00110843"/>
    <w:rsid w:val="00116E9B"/>
    <w:rsid w:val="00122DB7"/>
    <w:rsid w:val="001236B0"/>
    <w:rsid w:val="00126FC6"/>
    <w:rsid w:val="00133128"/>
    <w:rsid w:val="00141BAD"/>
    <w:rsid w:val="00145D54"/>
    <w:rsid w:val="001477F0"/>
    <w:rsid w:val="0015210E"/>
    <w:rsid w:val="001532C2"/>
    <w:rsid w:val="00160A30"/>
    <w:rsid w:val="00163F50"/>
    <w:rsid w:val="00164195"/>
    <w:rsid w:val="00170EF8"/>
    <w:rsid w:val="001737DC"/>
    <w:rsid w:val="0017432C"/>
    <w:rsid w:val="00181059"/>
    <w:rsid w:val="001865E3"/>
    <w:rsid w:val="0019438B"/>
    <w:rsid w:val="001A4F2C"/>
    <w:rsid w:val="001B3D57"/>
    <w:rsid w:val="001C06BF"/>
    <w:rsid w:val="001C5674"/>
    <w:rsid w:val="001C7443"/>
    <w:rsid w:val="001C7E42"/>
    <w:rsid w:val="001D0D9D"/>
    <w:rsid w:val="001D2400"/>
    <w:rsid w:val="001E0274"/>
    <w:rsid w:val="001F2FD7"/>
    <w:rsid w:val="001F7D72"/>
    <w:rsid w:val="00203705"/>
    <w:rsid w:val="0020527B"/>
    <w:rsid w:val="002057B5"/>
    <w:rsid w:val="00206248"/>
    <w:rsid w:val="00212DDE"/>
    <w:rsid w:val="002138B6"/>
    <w:rsid w:val="002214E9"/>
    <w:rsid w:val="00244275"/>
    <w:rsid w:val="0025340D"/>
    <w:rsid w:val="0026144D"/>
    <w:rsid w:val="002627A9"/>
    <w:rsid w:val="00264AD2"/>
    <w:rsid w:val="00273E69"/>
    <w:rsid w:val="00277AF2"/>
    <w:rsid w:val="002855EF"/>
    <w:rsid w:val="002A3D43"/>
    <w:rsid w:val="002A543C"/>
    <w:rsid w:val="002B0115"/>
    <w:rsid w:val="002C1146"/>
    <w:rsid w:val="002C195E"/>
    <w:rsid w:val="002C72EE"/>
    <w:rsid w:val="002C79F7"/>
    <w:rsid w:val="002D0B1E"/>
    <w:rsid w:val="002D112F"/>
    <w:rsid w:val="002D117E"/>
    <w:rsid w:val="002D6346"/>
    <w:rsid w:val="002E45F8"/>
    <w:rsid w:val="002F0A2B"/>
    <w:rsid w:val="002F3C47"/>
    <w:rsid w:val="00305757"/>
    <w:rsid w:val="0030712C"/>
    <w:rsid w:val="0031561F"/>
    <w:rsid w:val="00325CA2"/>
    <w:rsid w:val="00331387"/>
    <w:rsid w:val="0033525C"/>
    <w:rsid w:val="00337C20"/>
    <w:rsid w:val="003528B0"/>
    <w:rsid w:val="0035635F"/>
    <w:rsid w:val="00356636"/>
    <w:rsid w:val="003603A6"/>
    <w:rsid w:val="00361B67"/>
    <w:rsid w:val="0036276B"/>
    <w:rsid w:val="00362EC1"/>
    <w:rsid w:val="0036342E"/>
    <w:rsid w:val="003650C7"/>
    <w:rsid w:val="003658B9"/>
    <w:rsid w:val="00371456"/>
    <w:rsid w:val="00385396"/>
    <w:rsid w:val="00385716"/>
    <w:rsid w:val="0038641B"/>
    <w:rsid w:val="0039265B"/>
    <w:rsid w:val="003B32AC"/>
    <w:rsid w:val="003C496A"/>
    <w:rsid w:val="003C613B"/>
    <w:rsid w:val="003D034B"/>
    <w:rsid w:val="003D3223"/>
    <w:rsid w:val="003E45C7"/>
    <w:rsid w:val="003E74B8"/>
    <w:rsid w:val="003F2AF5"/>
    <w:rsid w:val="003F40FC"/>
    <w:rsid w:val="003F4E48"/>
    <w:rsid w:val="003F537A"/>
    <w:rsid w:val="003F6E26"/>
    <w:rsid w:val="003F7C1A"/>
    <w:rsid w:val="004003D2"/>
    <w:rsid w:val="00406856"/>
    <w:rsid w:val="00407147"/>
    <w:rsid w:val="00412D1F"/>
    <w:rsid w:val="004135FB"/>
    <w:rsid w:val="0041362B"/>
    <w:rsid w:val="0041672B"/>
    <w:rsid w:val="0043184A"/>
    <w:rsid w:val="004475E2"/>
    <w:rsid w:val="0045275A"/>
    <w:rsid w:val="00452F1A"/>
    <w:rsid w:val="004534D6"/>
    <w:rsid w:val="004546C1"/>
    <w:rsid w:val="004631BC"/>
    <w:rsid w:val="00464698"/>
    <w:rsid w:val="004654E2"/>
    <w:rsid w:val="00496BD9"/>
    <w:rsid w:val="004A140C"/>
    <w:rsid w:val="004A158A"/>
    <w:rsid w:val="004A54BD"/>
    <w:rsid w:val="004B262D"/>
    <w:rsid w:val="004B6EF4"/>
    <w:rsid w:val="004C0159"/>
    <w:rsid w:val="004D3EF3"/>
    <w:rsid w:val="004E3C19"/>
    <w:rsid w:val="004E6885"/>
    <w:rsid w:val="004F06C9"/>
    <w:rsid w:val="004F3748"/>
    <w:rsid w:val="004F4154"/>
    <w:rsid w:val="00504E44"/>
    <w:rsid w:val="005115F8"/>
    <w:rsid w:val="005153F8"/>
    <w:rsid w:val="005167D0"/>
    <w:rsid w:val="0052009A"/>
    <w:rsid w:val="005227A3"/>
    <w:rsid w:val="00523C2F"/>
    <w:rsid w:val="00525174"/>
    <w:rsid w:val="00525EC1"/>
    <w:rsid w:val="0053092B"/>
    <w:rsid w:val="00533E4B"/>
    <w:rsid w:val="00534E77"/>
    <w:rsid w:val="00536DFA"/>
    <w:rsid w:val="005609E0"/>
    <w:rsid w:val="00566DDF"/>
    <w:rsid w:val="00571F35"/>
    <w:rsid w:val="00572058"/>
    <w:rsid w:val="005739FC"/>
    <w:rsid w:val="0058508C"/>
    <w:rsid w:val="00587233"/>
    <w:rsid w:val="0058769E"/>
    <w:rsid w:val="00594EEE"/>
    <w:rsid w:val="005960F4"/>
    <w:rsid w:val="0059737D"/>
    <w:rsid w:val="005A40AB"/>
    <w:rsid w:val="005B5C58"/>
    <w:rsid w:val="005C10D0"/>
    <w:rsid w:val="005D74AC"/>
    <w:rsid w:val="005E77FB"/>
    <w:rsid w:val="005F2266"/>
    <w:rsid w:val="005F58B6"/>
    <w:rsid w:val="00600A95"/>
    <w:rsid w:val="006045A0"/>
    <w:rsid w:val="00611CAF"/>
    <w:rsid w:val="00617D27"/>
    <w:rsid w:val="00620C00"/>
    <w:rsid w:val="0062300B"/>
    <w:rsid w:val="00640F08"/>
    <w:rsid w:val="006414DE"/>
    <w:rsid w:val="00644A6F"/>
    <w:rsid w:val="00644FA2"/>
    <w:rsid w:val="006603BD"/>
    <w:rsid w:val="00660CCC"/>
    <w:rsid w:val="00661329"/>
    <w:rsid w:val="00662C0F"/>
    <w:rsid w:val="00665BAC"/>
    <w:rsid w:val="006739E7"/>
    <w:rsid w:val="00675F43"/>
    <w:rsid w:val="00684C0C"/>
    <w:rsid w:val="00685520"/>
    <w:rsid w:val="006932BF"/>
    <w:rsid w:val="006952BC"/>
    <w:rsid w:val="006A36A1"/>
    <w:rsid w:val="006B0179"/>
    <w:rsid w:val="006B076F"/>
    <w:rsid w:val="006B379B"/>
    <w:rsid w:val="006B408D"/>
    <w:rsid w:val="006B4C29"/>
    <w:rsid w:val="006B580C"/>
    <w:rsid w:val="006B5B4F"/>
    <w:rsid w:val="006B7476"/>
    <w:rsid w:val="006C0143"/>
    <w:rsid w:val="006C4BB3"/>
    <w:rsid w:val="006D277E"/>
    <w:rsid w:val="006D2F94"/>
    <w:rsid w:val="006D74A9"/>
    <w:rsid w:val="006E05FB"/>
    <w:rsid w:val="006E285D"/>
    <w:rsid w:val="006E58F9"/>
    <w:rsid w:val="006F2338"/>
    <w:rsid w:val="006F38C2"/>
    <w:rsid w:val="006F6B64"/>
    <w:rsid w:val="007216FD"/>
    <w:rsid w:val="00727686"/>
    <w:rsid w:val="00732A59"/>
    <w:rsid w:val="00732AC5"/>
    <w:rsid w:val="00732CCC"/>
    <w:rsid w:val="00736C8F"/>
    <w:rsid w:val="007376C6"/>
    <w:rsid w:val="00743425"/>
    <w:rsid w:val="007451ED"/>
    <w:rsid w:val="00754780"/>
    <w:rsid w:val="00762C02"/>
    <w:rsid w:val="00763C58"/>
    <w:rsid w:val="0076743A"/>
    <w:rsid w:val="00767AF1"/>
    <w:rsid w:val="007710DE"/>
    <w:rsid w:val="007801E0"/>
    <w:rsid w:val="00785806"/>
    <w:rsid w:val="007B7CB3"/>
    <w:rsid w:val="007C671F"/>
    <w:rsid w:val="007D24DB"/>
    <w:rsid w:val="007E0E3B"/>
    <w:rsid w:val="007E19BC"/>
    <w:rsid w:val="007F6949"/>
    <w:rsid w:val="00800FE1"/>
    <w:rsid w:val="00804691"/>
    <w:rsid w:val="00805946"/>
    <w:rsid w:val="00811E53"/>
    <w:rsid w:val="00820BBD"/>
    <w:rsid w:val="00821156"/>
    <w:rsid w:val="00843B35"/>
    <w:rsid w:val="008529DF"/>
    <w:rsid w:val="00866487"/>
    <w:rsid w:val="008864DF"/>
    <w:rsid w:val="008927E6"/>
    <w:rsid w:val="00894363"/>
    <w:rsid w:val="00895F66"/>
    <w:rsid w:val="00897F0A"/>
    <w:rsid w:val="008A17C4"/>
    <w:rsid w:val="008A194A"/>
    <w:rsid w:val="008A3EE7"/>
    <w:rsid w:val="008B0298"/>
    <w:rsid w:val="008B5D02"/>
    <w:rsid w:val="008C35AD"/>
    <w:rsid w:val="008C706D"/>
    <w:rsid w:val="008D1373"/>
    <w:rsid w:val="008E0B3F"/>
    <w:rsid w:val="008E35A9"/>
    <w:rsid w:val="0092153A"/>
    <w:rsid w:val="00923956"/>
    <w:rsid w:val="00925F36"/>
    <w:rsid w:val="0092775A"/>
    <w:rsid w:val="009356B6"/>
    <w:rsid w:val="0093724A"/>
    <w:rsid w:val="00944A19"/>
    <w:rsid w:val="00956611"/>
    <w:rsid w:val="00964639"/>
    <w:rsid w:val="00965C11"/>
    <w:rsid w:val="00970A21"/>
    <w:rsid w:val="00986592"/>
    <w:rsid w:val="009869DE"/>
    <w:rsid w:val="009875CC"/>
    <w:rsid w:val="00996E14"/>
    <w:rsid w:val="009A0556"/>
    <w:rsid w:val="009A7468"/>
    <w:rsid w:val="009B294F"/>
    <w:rsid w:val="009C1343"/>
    <w:rsid w:val="009C1E6E"/>
    <w:rsid w:val="009C7954"/>
    <w:rsid w:val="009D5B04"/>
    <w:rsid w:val="009D5E3C"/>
    <w:rsid w:val="009E06DE"/>
    <w:rsid w:val="009E0E41"/>
    <w:rsid w:val="009E2547"/>
    <w:rsid w:val="009E367B"/>
    <w:rsid w:val="009E3971"/>
    <w:rsid w:val="009E3B31"/>
    <w:rsid w:val="009E4EE0"/>
    <w:rsid w:val="009E5BBD"/>
    <w:rsid w:val="009F04F9"/>
    <w:rsid w:val="00A0057E"/>
    <w:rsid w:val="00A04604"/>
    <w:rsid w:val="00A11A7F"/>
    <w:rsid w:val="00A14777"/>
    <w:rsid w:val="00A257B9"/>
    <w:rsid w:val="00A33532"/>
    <w:rsid w:val="00A34331"/>
    <w:rsid w:val="00A411E7"/>
    <w:rsid w:val="00A41977"/>
    <w:rsid w:val="00A436BB"/>
    <w:rsid w:val="00A43B75"/>
    <w:rsid w:val="00A47152"/>
    <w:rsid w:val="00A51BC1"/>
    <w:rsid w:val="00A57A2F"/>
    <w:rsid w:val="00A67DCE"/>
    <w:rsid w:val="00A71C9F"/>
    <w:rsid w:val="00A90E3B"/>
    <w:rsid w:val="00AA26EC"/>
    <w:rsid w:val="00AA37DB"/>
    <w:rsid w:val="00AA6FAE"/>
    <w:rsid w:val="00AA7448"/>
    <w:rsid w:val="00AC1414"/>
    <w:rsid w:val="00AC2F79"/>
    <w:rsid w:val="00AC6A19"/>
    <w:rsid w:val="00AD08D5"/>
    <w:rsid w:val="00AD1AA2"/>
    <w:rsid w:val="00AE03D1"/>
    <w:rsid w:val="00AF15DB"/>
    <w:rsid w:val="00AF3056"/>
    <w:rsid w:val="00AF7A6C"/>
    <w:rsid w:val="00B01139"/>
    <w:rsid w:val="00B01A86"/>
    <w:rsid w:val="00B032CB"/>
    <w:rsid w:val="00B05709"/>
    <w:rsid w:val="00B10874"/>
    <w:rsid w:val="00B139EF"/>
    <w:rsid w:val="00B1447F"/>
    <w:rsid w:val="00B150C2"/>
    <w:rsid w:val="00B15C64"/>
    <w:rsid w:val="00B16DE7"/>
    <w:rsid w:val="00B17742"/>
    <w:rsid w:val="00B22146"/>
    <w:rsid w:val="00B22F82"/>
    <w:rsid w:val="00B23667"/>
    <w:rsid w:val="00B24BFE"/>
    <w:rsid w:val="00B304B5"/>
    <w:rsid w:val="00B41F90"/>
    <w:rsid w:val="00B42DE6"/>
    <w:rsid w:val="00B452A3"/>
    <w:rsid w:val="00B53D61"/>
    <w:rsid w:val="00B556A7"/>
    <w:rsid w:val="00B63C45"/>
    <w:rsid w:val="00B67525"/>
    <w:rsid w:val="00B67B92"/>
    <w:rsid w:val="00B70088"/>
    <w:rsid w:val="00B77986"/>
    <w:rsid w:val="00B85D49"/>
    <w:rsid w:val="00B87A03"/>
    <w:rsid w:val="00B91FB5"/>
    <w:rsid w:val="00B94853"/>
    <w:rsid w:val="00B948DE"/>
    <w:rsid w:val="00B9505B"/>
    <w:rsid w:val="00B954F4"/>
    <w:rsid w:val="00B97A3E"/>
    <w:rsid w:val="00BA3BC3"/>
    <w:rsid w:val="00BA72CA"/>
    <w:rsid w:val="00BA7453"/>
    <w:rsid w:val="00BA7A3E"/>
    <w:rsid w:val="00BA7B3C"/>
    <w:rsid w:val="00BB1AED"/>
    <w:rsid w:val="00BB2230"/>
    <w:rsid w:val="00BD1F93"/>
    <w:rsid w:val="00BE5C00"/>
    <w:rsid w:val="00BE6834"/>
    <w:rsid w:val="00BE7851"/>
    <w:rsid w:val="00BF0AF4"/>
    <w:rsid w:val="00BF35B4"/>
    <w:rsid w:val="00C016CB"/>
    <w:rsid w:val="00C02EA9"/>
    <w:rsid w:val="00C04FB4"/>
    <w:rsid w:val="00C1145F"/>
    <w:rsid w:val="00C15E5A"/>
    <w:rsid w:val="00C240B7"/>
    <w:rsid w:val="00C25622"/>
    <w:rsid w:val="00C2585B"/>
    <w:rsid w:val="00C35CC1"/>
    <w:rsid w:val="00C4120B"/>
    <w:rsid w:val="00C5203D"/>
    <w:rsid w:val="00C65E26"/>
    <w:rsid w:val="00C66324"/>
    <w:rsid w:val="00C67EBD"/>
    <w:rsid w:val="00C70AA5"/>
    <w:rsid w:val="00C7385E"/>
    <w:rsid w:val="00C74B95"/>
    <w:rsid w:val="00C85C7F"/>
    <w:rsid w:val="00C864B9"/>
    <w:rsid w:val="00C86902"/>
    <w:rsid w:val="00CA01BD"/>
    <w:rsid w:val="00CA3237"/>
    <w:rsid w:val="00CA4B58"/>
    <w:rsid w:val="00CB48ED"/>
    <w:rsid w:val="00CB6936"/>
    <w:rsid w:val="00CB6E7D"/>
    <w:rsid w:val="00CB7AD3"/>
    <w:rsid w:val="00CC175B"/>
    <w:rsid w:val="00CD03E1"/>
    <w:rsid w:val="00CD346D"/>
    <w:rsid w:val="00CD5BCA"/>
    <w:rsid w:val="00CE0DE9"/>
    <w:rsid w:val="00CE7317"/>
    <w:rsid w:val="00CE7546"/>
    <w:rsid w:val="00CE7ACB"/>
    <w:rsid w:val="00CF7931"/>
    <w:rsid w:val="00D0312E"/>
    <w:rsid w:val="00D077CB"/>
    <w:rsid w:val="00D1062D"/>
    <w:rsid w:val="00D31134"/>
    <w:rsid w:val="00D321EA"/>
    <w:rsid w:val="00D56535"/>
    <w:rsid w:val="00D624B5"/>
    <w:rsid w:val="00D63123"/>
    <w:rsid w:val="00D63FA9"/>
    <w:rsid w:val="00D71529"/>
    <w:rsid w:val="00D727E9"/>
    <w:rsid w:val="00D72FBD"/>
    <w:rsid w:val="00D74A06"/>
    <w:rsid w:val="00D77C78"/>
    <w:rsid w:val="00D87BA8"/>
    <w:rsid w:val="00D90D34"/>
    <w:rsid w:val="00D90ED4"/>
    <w:rsid w:val="00DA31FA"/>
    <w:rsid w:val="00DA72E5"/>
    <w:rsid w:val="00DB2B98"/>
    <w:rsid w:val="00DB7EF0"/>
    <w:rsid w:val="00DC12C7"/>
    <w:rsid w:val="00DC27D6"/>
    <w:rsid w:val="00DD107A"/>
    <w:rsid w:val="00DD277B"/>
    <w:rsid w:val="00DD4493"/>
    <w:rsid w:val="00DD701D"/>
    <w:rsid w:val="00DE7E4B"/>
    <w:rsid w:val="00DF3CC4"/>
    <w:rsid w:val="00DF50C2"/>
    <w:rsid w:val="00DF5C46"/>
    <w:rsid w:val="00E0215F"/>
    <w:rsid w:val="00E030BA"/>
    <w:rsid w:val="00E03C40"/>
    <w:rsid w:val="00E06FEB"/>
    <w:rsid w:val="00E1311E"/>
    <w:rsid w:val="00E148E8"/>
    <w:rsid w:val="00E254D0"/>
    <w:rsid w:val="00E36EEA"/>
    <w:rsid w:val="00E51DBB"/>
    <w:rsid w:val="00E52F11"/>
    <w:rsid w:val="00E640FE"/>
    <w:rsid w:val="00E64F5F"/>
    <w:rsid w:val="00E659EB"/>
    <w:rsid w:val="00E70ED9"/>
    <w:rsid w:val="00E75D55"/>
    <w:rsid w:val="00E8002C"/>
    <w:rsid w:val="00E81A0F"/>
    <w:rsid w:val="00E84C38"/>
    <w:rsid w:val="00E85689"/>
    <w:rsid w:val="00E87A16"/>
    <w:rsid w:val="00E87E88"/>
    <w:rsid w:val="00E9005E"/>
    <w:rsid w:val="00EA0B5D"/>
    <w:rsid w:val="00EA269D"/>
    <w:rsid w:val="00EA5137"/>
    <w:rsid w:val="00EA74B6"/>
    <w:rsid w:val="00EB1AF3"/>
    <w:rsid w:val="00EC44F0"/>
    <w:rsid w:val="00EC4C7C"/>
    <w:rsid w:val="00ED0E81"/>
    <w:rsid w:val="00ED1209"/>
    <w:rsid w:val="00ED5D3D"/>
    <w:rsid w:val="00ED7D1E"/>
    <w:rsid w:val="00EE10ED"/>
    <w:rsid w:val="00EE3E21"/>
    <w:rsid w:val="00EE4076"/>
    <w:rsid w:val="00EE447E"/>
    <w:rsid w:val="00EE6B57"/>
    <w:rsid w:val="00EE6E5C"/>
    <w:rsid w:val="00EF0FA2"/>
    <w:rsid w:val="00EF21F0"/>
    <w:rsid w:val="00EF2B44"/>
    <w:rsid w:val="00EF504B"/>
    <w:rsid w:val="00EF533F"/>
    <w:rsid w:val="00F0161C"/>
    <w:rsid w:val="00F02191"/>
    <w:rsid w:val="00F046A5"/>
    <w:rsid w:val="00F104C5"/>
    <w:rsid w:val="00F14F05"/>
    <w:rsid w:val="00F16283"/>
    <w:rsid w:val="00F25FDC"/>
    <w:rsid w:val="00F347DF"/>
    <w:rsid w:val="00F35BBB"/>
    <w:rsid w:val="00F36486"/>
    <w:rsid w:val="00F36902"/>
    <w:rsid w:val="00F42262"/>
    <w:rsid w:val="00F45039"/>
    <w:rsid w:val="00F4647A"/>
    <w:rsid w:val="00F54751"/>
    <w:rsid w:val="00F738C0"/>
    <w:rsid w:val="00F80BC6"/>
    <w:rsid w:val="00F80F48"/>
    <w:rsid w:val="00F84130"/>
    <w:rsid w:val="00F84EF5"/>
    <w:rsid w:val="00F9216D"/>
    <w:rsid w:val="00FA1260"/>
    <w:rsid w:val="00FA2D90"/>
    <w:rsid w:val="00FA7113"/>
    <w:rsid w:val="00FC28A2"/>
    <w:rsid w:val="00FC3622"/>
    <w:rsid w:val="00FC49BA"/>
    <w:rsid w:val="00FD372E"/>
    <w:rsid w:val="00FE7AA8"/>
    <w:rsid w:val="00FE7E3E"/>
    <w:rsid w:val="00FF16A7"/>
    <w:rsid w:val="01E943A0"/>
    <w:rsid w:val="0250441F"/>
    <w:rsid w:val="0F611659"/>
    <w:rsid w:val="10A51178"/>
    <w:rsid w:val="123B28E7"/>
    <w:rsid w:val="16DE7DF3"/>
    <w:rsid w:val="1AB175CD"/>
    <w:rsid w:val="1DE11405"/>
    <w:rsid w:val="1F4B01E2"/>
    <w:rsid w:val="203A227C"/>
    <w:rsid w:val="2147798A"/>
    <w:rsid w:val="21E709DF"/>
    <w:rsid w:val="293A12E5"/>
    <w:rsid w:val="37971BCD"/>
    <w:rsid w:val="38804BB0"/>
    <w:rsid w:val="3B4B765D"/>
    <w:rsid w:val="3E97070C"/>
    <w:rsid w:val="440C749E"/>
    <w:rsid w:val="4B3D6AD7"/>
    <w:rsid w:val="4D720CBA"/>
    <w:rsid w:val="51DA5080"/>
    <w:rsid w:val="53996881"/>
    <w:rsid w:val="553E3682"/>
    <w:rsid w:val="603B318E"/>
    <w:rsid w:val="61CB481F"/>
    <w:rsid w:val="62B81204"/>
    <w:rsid w:val="6D203E37"/>
    <w:rsid w:val="76DD25B9"/>
    <w:rsid w:val="778217FB"/>
    <w:rsid w:val="782A6AC0"/>
    <w:rsid w:val="7BEE5100"/>
    <w:rsid w:val="7F9679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6"/>
    <w:autoRedefine/>
    <w:qFormat/>
    <w:uiPriority w:val="9"/>
    <w:pPr>
      <w:keepNext/>
      <w:keepLines/>
      <w:spacing w:before="340" w:after="330" w:line="576" w:lineRule="auto"/>
      <w:outlineLvl w:val="0"/>
    </w:pPr>
    <w:rPr>
      <w:rFonts w:ascii="Times New Roman" w:hAnsi="Times New Roman" w:eastAsia="宋体" w:cs="Times New Roman"/>
      <w:b/>
      <w:bCs/>
      <w:kern w:val="44"/>
      <w:sz w:val="44"/>
      <w:szCs w:val="44"/>
    </w:rPr>
  </w:style>
  <w:style w:type="character" w:default="1" w:styleId="9">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3">
    <w:name w:val="footer"/>
    <w:basedOn w:val="1"/>
    <w:link w:val="15"/>
    <w:unhideWhenUsed/>
    <w:uiPriority w:val="99"/>
    <w:pPr>
      <w:tabs>
        <w:tab w:val="center" w:pos="4153"/>
        <w:tab w:val="right" w:pos="8306"/>
      </w:tabs>
      <w:snapToGrid w:val="0"/>
      <w:jc w:val="left"/>
    </w:pPr>
    <w:rPr>
      <w:sz w:val="18"/>
      <w:szCs w:val="18"/>
    </w:rPr>
  </w:style>
  <w:style w:type="paragraph" w:styleId="4">
    <w:name w:val="header"/>
    <w:basedOn w:val="1"/>
    <w:link w:val="14"/>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footnote text"/>
    <w:basedOn w:val="1"/>
    <w:qFormat/>
    <w:uiPriority w:val="0"/>
    <w:pPr>
      <w:snapToGrid w:val="0"/>
      <w:jc w:val="left"/>
    </w:pPr>
    <w:rPr>
      <w:sz w:val="18"/>
    </w:rPr>
  </w:style>
  <w:style w:type="paragraph" w:styleId="6">
    <w:name w:val="Normal (Web)"/>
    <w:basedOn w:val="1"/>
    <w:semiHidden/>
    <w:unhideWhenUsed/>
    <w:uiPriority w:val="99"/>
    <w:rPr>
      <w:sz w:val="24"/>
    </w:rPr>
  </w:style>
  <w:style w:type="table" w:styleId="8">
    <w:name w:val="Table Grid"/>
    <w:qFormat/>
    <w:uiPriority w:val="99"/>
    <w:rPr>
      <w:rFonts w:ascii="Times New Roman" w:hAnsi="Times New Roman" w:eastAsia="Times New Roman"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yperlink"/>
    <w:basedOn w:val="9"/>
    <w:autoRedefine/>
    <w:unhideWhenUsed/>
    <w:qFormat/>
    <w:uiPriority w:val="99"/>
    <w:rPr>
      <w:color w:val="0563C1" w:themeColor="hyperlink"/>
      <w:u w:val="single"/>
      <w14:textFill>
        <w14:solidFill>
          <w14:schemeClr w14:val="hlink"/>
        </w14:solidFill>
      </w14:textFill>
    </w:rPr>
  </w:style>
  <w:style w:type="character" w:styleId="11">
    <w:name w:val="footnote reference"/>
    <w:basedOn w:val="9"/>
    <w:qFormat/>
    <w:uiPriority w:val="0"/>
    <w:rPr>
      <w:vertAlign w:val="superscript"/>
    </w:rPr>
  </w:style>
  <w:style w:type="paragraph" w:styleId="12">
    <w:name w:val="List Paragraph"/>
    <w:basedOn w:val="1"/>
    <w:autoRedefine/>
    <w:qFormat/>
    <w:uiPriority w:val="34"/>
    <w:pPr>
      <w:ind w:firstLine="420" w:firstLineChars="200"/>
    </w:pPr>
  </w:style>
  <w:style w:type="character" w:customStyle="1" w:styleId="13">
    <w:name w:val="Unresolved Mention"/>
    <w:basedOn w:val="9"/>
    <w:semiHidden/>
    <w:unhideWhenUsed/>
    <w:qFormat/>
    <w:uiPriority w:val="99"/>
    <w:rPr>
      <w:color w:val="605E5C"/>
      <w:shd w:val="clear" w:color="auto" w:fill="E1DFDD"/>
    </w:rPr>
  </w:style>
  <w:style w:type="character" w:customStyle="1" w:styleId="14">
    <w:name w:val="页眉 字符"/>
    <w:basedOn w:val="9"/>
    <w:link w:val="4"/>
    <w:qFormat/>
    <w:uiPriority w:val="99"/>
    <w:rPr>
      <w:sz w:val="18"/>
      <w:szCs w:val="18"/>
    </w:rPr>
  </w:style>
  <w:style w:type="character" w:customStyle="1" w:styleId="15">
    <w:name w:val="页脚 字符"/>
    <w:basedOn w:val="9"/>
    <w:link w:val="3"/>
    <w:autoRedefine/>
    <w:qFormat/>
    <w:uiPriority w:val="99"/>
    <w:rPr>
      <w:sz w:val="18"/>
      <w:szCs w:val="18"/>
    </w:rPr>
  </w:style>
  <w:style w:type="character" w:customStyle="1" w:styleId="16">
    <w:name w:val="标题 1 字符"/>
    <w:basedOn w:val="9"/>
    <w:link w:val="2"/>
    <w:qFormat/>
    <w:uiPriority w:val="9"/>
    <w:rPr>
      <w:rFonts w:ascii="Times New Roman" w:hAnsi="Times New Roman" w:eastAsia="宋体" w:cs="Times New Roman"/>
      <w:b/>
      <w:bCs/>
      <w:kern w:val="44"/>
      <w:sz w:val="44"/>
      <w:szCs w:val="4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7985</Words>
  <Characters>8509</Characters>
  <Lines>30</Lines>
  <Paragraphs>8</Paragraphs>
  <TotalTime>9</TotalTime>
  <ScaleCrop>false</ScaleCrop>
  <LinksUpToDate>false</LinksUpToDate>
  <CharactersWithSpaces>8584</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2021-04-05T07:26:00Z</dcterms:created>
  <dc:creator>FengYong Zhang</dc:creator>
  <cp:lastModifiedBy>醋恍捣税疵</cp:lastModifiedBy>
  <cp:lastPrinted>2021-04-05T13:46:00Z</cp:lastPrinted>
  <dcterms:modified xsi:type="dcterms:W3CDTF">2024-06-20T03:04:08Z</dcterms:modified>
  <cp:revision>715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049600386D8243AB96146CCE1434F746_13</vt:lpwstr>
  </property>
</Properties>
</file>