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CB17" w14:textId="741A0ED9" w:rsidR="000579FF" w:rsidRPr="00574142" w:rsidRDefault="000579FF" w:rsidP="000579FF">
      <w:pPr>
        <w:spacing w:after="200" w:line="240" w:lineRule="auto"/>
        <w:jc w:val="both"/>
        <w:rPr>
          <w:rFonts w:ascii="Times New Roman" w:eastAsia="Times New Roman" w:hAnsi="Times New Roman"/>
          <w:b/>
          <w:color w:val="000000" w:themeColor="text1"/>
          <w:sz w:val="24"/>
          <w:szCs w:val="24"/>
        </w:rPr>
      </w:pPr>
      <w:r w:rsidRPr="008E003C">
        <w:rPr>
          <w:rFonts w:ascii="Times New Roman" w:eastAsia="Times New Roman" w:hAnsi="Times New Roman" w:cs="Times New Roman"/>
          <w:b/>
          <w:sz w:val="24"/>
          <w:szCs w:val="24"/>
        </w:rPr>
        <w:t>EFFECT OF LIFESTYLE MODIFICATION IN THE MANAGEMENT OF BLOOD PRESSURE AMONG PREHYPERTENSIVE INDIVIDUALS</w:t>
      </w:r>
    </w:p>
    <w:p w14:paraId="3D8FF085" w14:textId="77777777" w:rsidR="000579FF" w:rsidRPr="00574142" w:rsidRDefault="000579FF" w:rsidP="000579FF">
      <w:pPr>
        <w:spacing w:after="200" w:line="240" w:lineRule="auto"/>
        <w:jc w:val="both"/>
        <w:rPr>
          <w:rFonts w:ascii="Times New Roman" w:hAnsi="Times New Roman" w:cs="Times New Roman"/>
          <w:b/>
          <w:color w:val="000000" w:themeColor="text1"/>
          <w:sz w:val="20"/>
          <w:szCs w:val="20"/>
          <w:lang w:val="en-GB"/>
        </w:rPr>
      </w:pPr>
    </w:p>
    <w:p w14:paraId="560AFCE0" w14:textId="77777777" w:rsidR="000579FF" w:rsidRPr="00574142" w:rsidRDefault="000579FF" w:rsidP="000579FF">
      <w:pPr>
        <w:autoSpaceDE w:val="0"/>
        <w:autoSpaceDN w:val="0"/>
        <w:adjustRightInd w:val="0"/>
        <w:spacing w:after="0" w:line="240" w:lineRule="auto"/>
        <w:rPr>
          <w:rFonts w:ascii="Times New Roman" w:hAnsi="Times New Roman" w:cs="Times New Roman"/>
          <w:color w:val="000000" w:themeColor="text1"/>
          <w:sz w:val="24"/>
          <w:szCs w:val="24"/>
        </w:rPr>
      </w:pPr>
    </w:p>
    <w:p w14:paraId="7E94000D" w14:textId="346726BD" w:rsidR="000579FF" w:rsidRPr="005F1285" w:rsidRDefault="000579FF" w:rsidP="000579FF">
      <w:pPr>
        <w:spacing w:after="0" w:line="240" w:lineRule="auto"/>
        <w:jc w:val="both"/>
        <w:rPr>
          <w:rFonts w:ascii="Times New Roman" w:eastAsia="Times New Roman" w:hAnsi="Times New Roman" w:cs="Times New Roman"/>
          <w:b/>
          <w:color w:val="000000"/>
          <w:sz w:val="24"/>
          <w:szCs w:val="24"/>
        </w:rPr>
      </w:pPr>
      <w:proofErr w:type="spellStart"/>
      <w:r w:rsidRPr="005F1285">
        <w:rPr>
          <w:rFonts w:ascii="Times New Roman" w:hAnsi="Times New Roman" w:cs="Times New Roman"/>
          <w:b/>
          <w:bCs/>
          <w:sz w:val="24"/>
          <w:szCs w:val="24"/>
        </w:rPr>
        <w:t>Ogbutor</w:t>
      </w:r>
      <w:proofErr w:type="spellEnd"/>
      <w:r w:rsidRPr="005F1285">
        <w:rPr>
          <w:rFonts w:ascii="Times New Roman" w:hAnsi="Times New Roman" w:cs="Times New Roman"/>
          <w:b/>
          <w:bCs/>
          <w:sz w:val="24"/>
          <w:szCs w:val="24"/>
        </w:rPr>
        <w:t xml:space="preserve"> Udoji Godsday</w:t>
      </w:r>
      <w:r w:rsidRPr="005F1285">
        <w:rPr>
          <w:rFonts w:ascii="Times New Roman" w:hAnsi="Times New Roman" w:cs="Times New Roman"/>
          <w:b/>
          <w:bCs/>
          <w:sz w:val="24"/>
          <w:szCs w:val="24"/>
          <w:vertAlign w:val="superscript"/>
        </w:rPr>
        <w:t>1</w:t>
      </w:r>
      <w:r w:rsidRPr="005F1285">
        <w:rPr>
          <w:rFonts w:ascii="Times New Roman" w:hAnsi="Times New Roman" w:cs="Times New Roman"/>
          <w:b/>
          <w:bCs/>
          <w:sz w:val="24"/>
          <w:szCs w:val="24"/>
        </w:rPr>
        <w:t xml:space="preserve">, </w:t>
      </w:r>
      <w:proofErr w:type="spellStart"/>
      <w:r w:rsidRPr="005F1285">
        <w:rPr>
          <w:rFonts w:ascii="Times New Roman" w:hAnsi="Times New Roman" w:cs="Times New Roman"/>
          <w:b/>
          <w:bCs/>
          <w:sz w:val="24"/>
          <w:szCs w:val="24"/>
        </w:rPr>
        <w:t>Erumi</w:t>
      </w:r>
      <w:proofErr w:type="spellEnd"/>
      <w:r w:rsidRPr="005F1285">
        <w:rPr>
          <w:rFonts w:ascii="Times New Roman" w:hAnsi="Times New Roman" w:cs="Times New Roman"/>
          <w:b/>
          <w:bCs/>
          <w:sz w:val="24"/>
          <w:szCs w:val="24"/>
        </w:rPr>
        <w:t xml:space="preserve"> Blessing Selly-U</w:t>
      </w:r>
      <w:r w:rsidRPr="005F1285">
        <w:rPr>
          <w:rFonts w:ascii="Times New Roman" w:hAnsi="Times New Roman" w:cs="Times New Roman"/>
          <w:b/>
          <w:bCs/>
          <w:sz w:val="24"/>
          <w:szCs w:val="24"/>
          <w:vertAlign w:val="superscript"/>
        </w:rPr>
        <w:t>2</w:t>
      </w:r>
      <w:r w:rsidRPr="005F1285">
        <w:rPr>
          <w:rFonts w:ascii="Times New Roman" w:hAnsi="Times New Roman" w:cs="Times New Roman"/>
          <w:b/>
          <w:bCs/>
          <w:sz w:val="24"/>
          <w:szCs w:val="24"/>
        </w:rPr>
        <w:t xml:space="preserve">, </w:t>
      </w:r>
      <w:proofErr w:type="spellStart"/>
      <w:r w:rsidRPr="005F1285">
        <w:rPr>
          <w:rFonts w:ascii="Times New Roman" w:hAnsi="Times New Roman" w:cs="Times New Roman"/>
          <w:b/>
          <w:bCs/>
          <w:sz w:val="24"/>
          <w:szCs w:val="24"/>
        </w:rPr>
        <w:t>Nofiu</w:t>
      </w:r>
      <w:proofErr w:type="spellEnd"/>
      <w:r w:rsidRPr="005F1285">
        <w:rPr>
          <w:rFonts w:ascii="Times New Roman" w:hAnsi="Times New Roman" w:cs="Times New Roman"/>
          <w:b/>
          <w:bCs/>
          <w:sz w:val="24"/>
          <w:szCs w:val="24"/>
        </w:rPr>
        <w:t xml:space="preserve"> Oluwatobi Daniel</w:t>
      </w:r>
      <w:r w:rsidRPr="005F1285">
        <w:rPr>
          <w:rFonts w:ascii="Times New Roman" w:hAnsi="Times New Roman" w:cs="Times New Roman"/>
          <w:b/>
          <w:bCs/>
          <w:sz w:val="24"/>
          <w:szCs w:val="24"/>
          <w:vertAlign w:val="superscript"/>
        </w:rPr>
        <w:t>3</w:t>
      </w:r>
      <w:r w:rsidRPr="005F1285">
        <w:rPr>
          <w:rFonts w:ascii="Times New Roman" w:hAnsi="Times New Roman" w:cs="Times New Roman"/>
          <w:b/>
          <w:bCs/>
          <w:sz w:val="24"/>
          <w:szCs w:val="24"/>
        </w:rPr>
        <w:t>, Abdulfatah Hajara Aminu</w:t>
      </w:r>
      <w:r w:rsidRPr="005F1285">
        <w:rPr>
          <w:rFonts w:ascii="Times New Roman" w:hAnsi="Times New Roman" w:cs="Times New Roman"/>
          <w:b/>
          <w:bCs/>
          <w:sz w:val="24"/>
          <w:szCs w:val="24"/>
          <w:vertAlign w:val="superscript"/>
        </w:rPr>
        <w:t>4</w:t>
      </w:r>
      <w:r w:rsidRPr="005F1285">
        <w:rPr>
          <w:rFonts w:ascii="Times New Roman" w:hAnsi="Times New Roman" w:cs="Times New Roman"/>
          <w:b/>
          <w:sz w:val="24"/>
          <w:szCs w:val="24"/>
        </w:rPr>
        <w:t>,</w:t>
      </w:r>
      <w:r w:rsidRPr="005F1285">
        <w:rPr>
          <w:rFonts w:ascii="Times New Roman" w:hAnsi="Times New Roman" w:cs="Times New Roman"/>
          <w:b/>
          <w:bCs/>
          <w:sz w:val="24"/>
          <w:szCs w:val="24"/>
        </w:rPr>
        <w:t xml:space="preserve"> Ogene Chinelo Esther</w:t>
      </w:r>
      <w:r w:rsidRPr="005F1285">
        <w:rPr>
          <w:rFonts w:ascii="Times New Roman" w:hAnsi="Times New Roman" w:cs="Times New Roman"/>
          <w:b/>
          <w:bCs/>
          <w:sz w:val="24"/>
          <w:szCs w:val="24"/>
          <w:vertAlign w:val="superscript"/>
        </w:rPr>
        <w:t xml:space="preserve"> 1</w:t>
      </w:r>
      <w:r w:rsidRPr="005F1285">
        <w:rPr>
          <w:rFonts w:ascii="Times New Roman" w:eastAsia="Times New Roman" w:hAnsi="Times New Roman" w:cs="Times New Roman"/>
          <w:b/>
          <w:bCs/>
          <w:color w:val="000000"/>
          <w:sz w:val="24"/>
          <w:szCs w:val="24"/>
        </w:rPr>
        <w:t xml:space="preserve">, </w:t>
      </w:r>
      <w:proofErr w:type="spellStart"/>
      <w:r w:rsidRPr="005F1285">
        <w:rPr>
          <w:rFonts w:ascii="Times New Roman" w:eastAsia="Times New Roman" w:hAnsi="Times New Roman" w:cs="Times New Roman"/>
          <w:b/>
          <w:bCs/>
          <w:color w:val="000000"/>
          <w:sz w:val="24"/>
          <w:szCs w:val="24"/>
        </w:rPr>
        <w:t>Ogbutor</w:t>
      </w:r>
      <w:proofErr w:type="spellEnd"/>
      <w:r w:rsidRPr="005F1285">
        <w:rPr>
          <w:rFonts w:ascii="Times New Roman" w:eastAsia="Times New Roman" w:hAnsi="Times New Roman" w:cs="Times New Roman"/>
          <w:b/>
          <w:bCs/>
          <w:color w:val="000000"/>
          <w:sz w:val="24"/>
          <w:szCs w:val="24"/>
        </w:rPr>
        <w:t xml:space="preserve"> Emeke Godson</w:t>
      </w:r>
      <w:r w:rsidRPr="005F1285">
        <w:rPr>
          <w:rFonts w:ascii="Times New Roman" w:eastAsia="Times New Roman" w:hAnsi="Times New Roman" w:cs="Times New Roman"/>
          <w:b/>
          <w:bCs/>
          <w:color w:val="000000"/>
          <w:sz w:val="24"/>
          <w:szCs w:val="24"/>
          <w:vertAlign w:val="superscript"/>
        </w:rPr>
        <w:t>1</w:t>
      </w:r>
      <w:r w:rsidRPr="005F1285">
        <w:rPr>
          <w:rFonts w:ascii="Times New Roman" w:eastAsia="Times New Roman" w:hAnsi="Times New Roman" w:cs="Times New Roman"/>
          <w:b/>
          <w:bCs/>
          <w:color w:val="000000"/>
          <w:sz w:val="24"/>
          <w:szCs w:val="24"/>
        </w:rPr>
        <w:t>, Isaac Precious</w:t>
      </w:r>
      <w:r w:rsidRPr="005F1285">
        <w:rPr>
          <w:rFonts w:ascii="Times New Roman" w:eastAsia="Times New Roman" w:hAnsi="Times New Roman" w:cs="Times New Roman"/>
          <w:b/>
          <w:bCs/>
          <w:color w:val="000000"/>
          <w:sz w:val="24"/>
          <w:szCs w:val="24"/>
          <w:vertAlign w:val="superscript"/>
        </w:rPr>
        <w:t>1</w:t>
      </w:r>
      <w:r w:rsidRPr="005F1285">
        <w:rPr>
          <w:rFonts w:ascii="Times New Roman" w:eastAsia="Times New Roman" w:hAnsi="Times New Roman" w:cs="Times New Roman"/>
          <w:b/>
          <w:bCs/>
          <w:color w:val="000000"/>
          <w:sz w:val="24"/>
          <w:szCs w:val="24"/>
        </w:rPr>
        <w:t>, Anastacia Okwudili Ojimba</w:t>
      </w:r>
      <w:r w:rsidRPr="005F1285">
        <w:rPr>
          <w:rFonts w:ascii="Times New Roman" w:eastAsia="Times New Roman" w:hAnsi="Times New Roman" w:cs="Times New Roman"/>
          <w:b/>
          <w:bCs/>
          <w:color w:val="000000"/>
          <w:sz w:val="24"/>
          <w:szCs w:val="24"/>
          <w:vertAlign w:val="superscript"/>
        </w:rPr>
        <w:t>5</w:t>
      </w:r>
      <w:r w:rsidRPr="005F1285">
        <w:rPr>
          <w:rFonts w:ascii="Times New Roman" w:eastAsia="Times New Roman" w:hAnsi="Times New Roman" w:cs="Times New Roman"/>
          <w:b/>
          <w:bCs/>
          <w:color w:val="000000"/>
          <w:sz w:val="24"/>
          <w:szCs w:val="24"/>
        </w:rPr>
        <w:t xml:space="preserve">, </w:t>
      </w:r>
      <w:proofErr w:type="spellStart"/>
      <w:r w:rsidRPr="008E003C">
        <w:rPr>
          <w:rFonts w:ascii="Times New Roman" w:eastAsia="Times New Roman" w:hAnsi="Times New Roman" w:cs="Times New Roman"/>
          <w:b/>
          <w:sz w:val="24"/>
          <w:szCs w:val="24"/>
        </w:rPr>
        <w:t>Atawe</w:t>
      </w:r>
      <w:proofErr w:type="spellEnd"/>
      <w:r w:rsidRPr="008E003C">
        <w:rPr>
          <w:rFonts w:ascii="Times New Roman" w:eastAsia="Times New Roman" w:hAnsi="Times New Roman" w:cs="Times New Roman"/>
          <w:b/>
          <w:sz w:val="24"/>
          <w:szCs w:val="24"/>
        </w:rPr>
        <w:t xml:space="preserve"> Miracle</w:t>
      </w:r>
      <w:r w:rsidRPr="005F1285">
        <w:rPr>
          <w:rFonts w:ascii="Times New Roman" w:eastAsia="Times New Roman" w:hAnsi="Times New Roman" w:cs="Times New Roman"/>
          <w:b/>
          <w:color w:val="000000"/>
          <w:sz w:val="24"/>
          <w:szCs w:val="24"/>
          <w:vertAlign w:val="superscript"/>
        </w:rPr>
        <w:t xml:space="preserve"> </w:t>
      </w:r>
      <w:r w:rsidRPr="005F1285">
        <w:rPr>
          <w:rFonts w:ascii="Times New Roman" w:eastAsia="Times New Roman" w:hAnsi="Times New Roman" w:cs="Times New Roman"/>
          <w:b/>
          <w:color w:val="000000"/>
          <w:sz w:val="24"/>
          <w:szCs w:val="24"/>
          <w:vertAlign w:val="superscript"/>
        </w:rPr>
        <w:t>1</w:t>
      </w:r>
    </w:p>
    <w:p w14:paraId="0ED2FB65" w14:textId="77777777" w:rsidR="000579FF" w:rsidRPr="005F1285" w:rsidRDefault="000579FF" w:rsidP="000579FF">
      <w:pPr>
        <w:spacing w:after="0" w:line="240" w:lineRule="auto"/>
        <w:jc w:val="both"/>
        <w:rPr>
          <w:rFonts w:ascii="Times New Roman" w:eastAsia="Times New Roman" w:hAnsi="Times New Roman" w:cs="Times New Roman"/>
          <w:b/>
          <w:i/>
          <w:color w:val="000000"/>
          <w:sz w:val="24"/>
          <w:szCs w:val="24"/>
        </w:rPr>
      </w:pPr>
    </w:p>
    <w:p w14:paraId="4F031128" w14:textId="77777777" w:rsidR="000579FF" w:rsidRPr="005F1285" w:rsidRDefault="000579FF" w:rsidP="000579FF">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bCs/>
          <w:i/>
          <w:iCs/>
          <w:color w:val="000000"/>
          <w:sz w:val="24"/>
          <w:szCs w:val="24"/>
        </w:rPr>
        <w:t xml:space="preserve">Author’s affiliation: </w:t>
      </w:r>
    </w:p>
    <w:p w14:paraId="43B5FF9A" w14:textId="77777777" w:rsidR="000579FF" w:rsidRPr="005F1285" w:rsidRDefault="000579FF" w:rsidP="000579FF">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1</w:t>
      </w:r>
      <w:r w:rsidRPr="005F1285">
        <w:rPr>
          <w:rFonts w:ascii="Times New Roman" w:eastAsia="Times New Roman" w:hAnsi="Times New Roman" w:cs="Times New Roman"/>
          <w:b/>
          <w:i/>
          <w:color w:val="000000"/>
          <w:sz w:val="24"/>
          <w:szCs w:val="24"/>
        </w:rPr>
        <w:t xml:space="preserve">Faculty of Basic Medical Sciences, Delta State University </w:t>
      </w:r>
      <w:proofErr w:type="spellStart"/>
      <w:r w:rsidRPr="005F1285">
        <w:rPr>
          <w:rFonts w:ascii="Times New Roman" w:eastAsia="Times New Roman" w:hAnsi="Times New Roman" w:cs="Times New Roman"/>
          <w:b/>
          <w:i/>
          <w:color w:val="000000"/>
          <w:sz w:val="24"/>
          <w:szCs w:val="24"/>
        </w:rPr>
        <w:t>Abraka</w:t>
      </w:r>
      <w:proofErr w:type="spellEnd"/>
      <w:r w:rsidRPr="005F1285">
        <w:rPr>
          <w:rFonts w:ascii="Times New Roman" w:eastAsia="Times New Roman" w:hAnsi="Times New Roman" w:cs="Times New Roman"/>
          <w:b/>
          <w:i/>
          <w:color w:val="000000"/>
          <w:sz w:val="24"/>
          <w:szCs w:val="24"/>
        </w:rPr>
        <w:t>, Delta State, Nigeria</w:t>
      </w:r>
    </w:p>
    <w:p w14:paraId="381B8924" w14:textId="77777777" w:rsidR="000579FF" w:rsidRPr="005F1285" w:rsidRDefault="000579FF" w:rsidP="000579FF">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2</w:t>
      </w:r>
      <w:r w:rsidRPr="005F1285">
        <w:rPr>
          <w:rFonts w:ascii="Times New Roman" w:eastAsia="Times New Roman" w:hAnsi="Times New Roman" w:cs="Times New Roman"/>
          <w:b/>
          <w:i/>
          <w:color w:val="000000"/>
          <w:sz w:val="24"/>
          <w:szCs w:val="24"/>
        </w:rPr>
        <w:t xml:space="preserve">Faculty of Education, Delta State University </w:t>
      </w:r>
      <w:proofErr w:type="spellStart"/>
      <w:r w:rsidRPr="005F1285">
        <w:rPr>
          <w:rFonts w:ascii="Times New Roman" w:eastAsia="Times New Roman" w:hAnsi="Times New Roman" w:cs="Times New Roman"/>
          <w:b/>
          <w:i/>
          <w:color w:val="000000"/>
          <w:sz w:val="24"/>
          <w:szCs w:val="24"/>
        </w:rPr>
        <w:t>Abraka</w:t>
      </w:r>
      <w:proofErr w:type="spellEnd"/>
      <w:r w:rsidRPr="005F1285">
        <w:rPr>
          <w:rFonts w:ascii="Times New Roman" w:eastAsia="Times New Roman" w:hAnsi="Times New Roman" w:cs="Times New Roman"/>
          <w:b/>
          <w:i/>
          <w:color w:val="000000"/>
          <w:sz w:val="24"/>
          <w:szCs w:val="24"/>
        </w:rPr>
        <w:t xml:space="preserve">, Delta State, Nigeria </w:t>
      </w:r>
    </w:p>
    <w:p w14:paraId="13690DE3" w14:textId="77777777" w:rsidR="000579FF" w:rsidRPr="005F1285" w:rsidRDefault="000579FF" w:rsidP="000579FF">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4</w:t>
      </w:r>
      <w:r w:rsidRPr="005F1285">
        <w:rPr>
          <w:rFonts w:ascii="Times New Roman" w:eastAsia="Times New Roman" w:hAnsi="Times New Roman" w:cs="Times New Roman"/>
          <w:b/>
          <w:i/>
          <w:color w:val="000000"/>
          <w:sz w:val="24"/>
          <w:szCs w:val="24"/>
        </w:rPr>
        <w:t>Faculty of Human Kinetics and Health Education, Ahmadu Bello University Zaria, Nigeria</w:t>
      </w:r>
    </w:p>
    <w:p w14:paraId="40466ED8" w14:textId="77777777" w:rsidR="000579FF" w:rsidRPr="005F1285" w:rsidRDefault="000579FF" w:rsidP="000579FF">
      <w:pPr>
        <w:spacing w:after="0"/>
        <w:jc w:val="both"/>
        <w:rPr>
          <w:rFonts w:ascii="Times New Roman" w:eastAsia="Times New Roman" w:hAnsi="Times New Roman" w:cs="Times New Roman"/>
          <w:b/>
          <w:i/>
          <w:color w:val="000000"/>
          <w:sz w:val="24"/>
          <w:szCs w:val="24"/>
        </w:rPr>
      </w:pPr>
      <w:r w:rsidRPr="005F1285">
        <w:rPr>
          <w:rFonts w:ascii="Times New Roman" w:eastAsia="Times New Roman" w:hAnsi="Times New Roman" w:cs="Times New Roman"/>
          <w:b/>
          <w:i/>
          <w:color w:val="000000"/>
          <w:sz w:val="24"/>
          <w:szCs w:val="24"/>
          <w:vertAlign w:val="superscript"/>
        </w:rPr>
        <w:t>5</w:t>
      </w:r>
      <w:r w:rsidRPr="005F1285">
        <w:rPr>
          <w:rFonts w:ascii="Times New Roman" w:eastAsia="Times New Roman" w:hAnsi="Times New Roman" w:cs="Times New Roman"/>
          <w:b/>
          <w:i/>
          <w:color w:val="000000"/>
          <w:sz w:val="24"/>
          <w:szCs w:val="24"/>
        </w:rPr>
        <w:t>Department of Internal Medicine, Federal Medical Centre Asaba, Delta State, Nigeria</w:t>
      </w:r>
    </w:p>
    <w:p w14:paraId="691722D7" w14:textId="77777777" w:rsidR="000579FF" w:rsidRPr="005F1285" w:rsidRDefault="000579FF" w:rsidP="000579FF">
      <w:pPr>
        <w:spacing w:after="0"/>
        <w:jc w:val="both"/>
        <w:rPr>
          <w:rFonts w:ascii="Times New Roman" w:eastAsia="Arial" w:hAnsi="Times New Roman" w:cs="Times New Roman"/>
          <w:b/>
          <w:i/>
          <w:color w:val="000000"/>
          <w:sz w:val="24"/>
          <w:szCs w:val="24"/>
        </w:rPr>
      </w:pPr>
    </w:p>
    <w:p w14:paraId="37A09229" w14:textId="77777777" w:rsidR="000579FF" w:rsidRPr="005F1285" w:rsidRDefault="000579FF" w:rsidP="000579FF">
      <w:pPr>
        <w:spacing w:after="0"/>
        <w:jc w:val="both"/>
        <w:rPr>
          <w:rFonts w:ascii="Times New Roman" w:eastAsia="Arial" w:hAnsi="Times New Roman" w:cs="Times New Roman"/>
          <w:b/>
          <w:color w:val="000000"/>
          <w:sz w:val="24"/>
          <w:szCs w:val="24"/>
        </w:rPr>
      </w:pPr>
      <w:r w:rsidRPr="005F1285">
        <w:rPr>
          <w:rFonts w:ascii="Times New Roman" w:eastAsia="Arial" w:hAnsi="Times New Roman" w:cs="Times New Roman"/>
          <w:b/>
          <w:i/>
          <w:color w:val="000000"/>
          <w:sz w:val="24"/>
          <w:szCs w:val="24"/>
        </w:rPr>
        <w:t xml:space="preserve">Declaration of conflict of interest: </w:t>
      </w:r>
    </w:p>
    <w:p w14:paraId="2613F2A2" w14:textId="77777777" w:rsidR="000579FF" w:rsidRPr="005F1285" w:rsidRDefault="000579FF" w:rsidP="000579FF">
      <w:pPr>
        <w:spacing w:after="0"/>
        <w:jc w:val="both"/>
        <w:rPr>
          <w:rFonts w:ascii="Times New Roman" w:eastAsia="Times New Roman" w:hAnsi="Times New Roman" w:cs="Times New Roman"/>
          <w:color w:val="000000"/>
          <w:sz w:val="24"/>
          <w:szCs w:val="24"/>
        </w:rPr>
      </w:pPr>
      <w:r w:rsidRPr="005F1285">
        <w:rPr>
          <w:rFonts w:ascii="Times New Roman" w:eastAsia="Times New Roman" w:hAnsi="Times New Roman" w:cs="Times New Roman"/>
          <w:color w:val="000000"/>
          <w:sz w:val="24"/>
          <w:szCs w:val="24"/>
        </w:rPr>
        <w:t>The authors wish to declare that there are no potential conflicts of interest that could partially or fully prejudice the research report.</w:t>
      </w:r>
    </w:p>
    <w:p w14:paraId="664FEC1E" w14:textId="77777777" w:rsidR="000579FF" w:rsidRPr="005F1285" w:rsidRDefault="000579FF" w:rsidP="000579FF">
      <w:pPr>
        <w:spacing w:after="0" w:line="240" w:lineRule="auto"/>
        <w:jc w:val="both"/>
        <w:rPr>
          <w:rFonts w:ascii="Times New Roman" w:eastAsia="Times New Roman" w:hAnsi="Times New Roman" w:cs="Times New Roman"/>
          <w:b/>
          <w:color w:val="000000"/>
          <w:sz w:val="24"/>
          <w:szCs w:val="24"/>
          <w:vertAlign w:val="superscript"/>
        </w:rPr>
      </w:pPr>
      <w:r w:rsidRPr="005F1285">
        <w:rPr>
          <w:rFonts w:ascii="Times New Roman" w:eastAsia="Times New Roman" w:hAnsi="Times New Roman" w:cs="Times New Roman"/>
          <w:b/>
          <w:i/>
          <w:color w:val="000000"/>
          <w:sz w:val="24"/>
          <w:szCs w:val="24"/>
        </w:rPr>
        <w:t>Correspondence Address</w:t>
      </w:r>
    </w:p>
    <w:p w14:paraId="23222EBD" w14:textId="77777777" w:rsidR="000579FF" w:rsidRPr="005F1285" w:rsidRDefault="000579FF" w:rsidP="000579FF">
      <w:pPr>
        <w:pStyle w:val="NormalWeb"/>
        <w:spacing w:before="0" w:beforeAutospacing="0" w:after="0" w:afterAutospacing="0"/>
        <w:jc w:val="both"/>
        <w:rPr>
          <w:color w:val="000000"/>
          <w:u w:val="single"/>
        </w:rPr>
      </w:pPr>
      <w:r w:rsidRPr="005F1285">
        <w:rPr>
          <w:color w:val="000000"/>
        </w:rPr>
        <w:t xml:space="preserve">DR OGBUTOR Udoji </w:t>
      </w:r>
      <w:proofErr w:type="spellStart"/>
      <w:r w:rsidRPr="005F1285">
        <w:rPr>
          <w:color w:val="000000"/>
        </w:rPr>
        <w:t>Godsday</w:t>
      </w:r>
      <w:proofErr w:type="spellEnd"/>
      <w:r w:rsidRPr="005F1285">
        <w:rPr>
          <w:color w:val="000000"/>
        </w:rPr>
        <w:t xml:space="preserve">: Faculty of Basic Medical Sciences, Delta State University </w:t>
      </w:r>
      <w:proofErr w:type="spellStart"/>
      <w:r w:rsidRPr="005F1285">
        <w:rPr>
          <w:color w:val="000000"/>
        </w:rPr>
        <w:t>Abraka</w:t>
      </w:r>
      <w:proofErr w:type="spellEnd"/>
      <w:r w:rsidRPr="005F1285">
        <w:rPr>
          <w:color w:val="000000"/>
        </w:rPr>
        <w:t xml:space="preserve">, Delta State, Nigeria. Phone: +2348138474624. Email: </w:t>
      </w:r>
      <w:hyperlink r:id="rId5">
        <w:r w:rsidRPr="005F1285">
          <w:rPr>
            <w:color w:val="000000"/>
            <w:u w:val="single"/>
          </w:rPr>
          <w:t>udojiogbutor@delsu.edu.ng</w:t>
        </w:r>
      </w:hyperlink>
      <w:r w:rsidRPr="005F1285">
        <w:rPr>
          <w:color w:val="000000"/>
        </w:rPr>
        <w:t xml:space="preserve">, </w:t>
      </w:r>
      <w:hyperlink r:id="rId6">
        <w:r w:rsidRPr="005F1285">
          <w:rPr>
            <w:color w:val="000000"/>
            <w:u w:val="single"/>
          </w:rPr>
          <w:t>gcclinics@yahoo.com</w:t>
        </w:r>
      </w:hyperlink>
    </w:p>
    <w:p w14:paraId="7167DB74" w14:textId="77777777" w:rsidR="000579FF" w:rsidRPr="00574142" w:rsidRDefault="000579FF" w:rsidP="000579FF">
      <w:pPr>
        <w:spacing w:after="200" w:line="240" w:lineRule="auto"/>
        <w:jc w:val="both"/>
        <w:rPr>
          <w:rFonts w:ascii="Times New Roman" w:eastAsia="Calibri" w:hAnsi="Times New Roman" w:cs="Times New Roman"/>
          <w:color w:val="000000" w:themeColor="text1"/>
          <w:sz w:val="24"/>
          <w:szCs w:val="24"/>
        </w:rPr>
      </w:pPr>
    </w:p>
    <w:p w14:paraId="385AE654" w14:textId="77777777" w:rsidR="000579FF" w:rsidRPr="00A86324" w:rsidRDefault="000579FF" w:rsidP="000579FF">
      <w:pPr>
        <w:spacing w:after="200" w:line="240" w:lineRule="auto"/>
        <w:jc w:val="center"/>
        <w:rPr>
          <w:rFonts w:ascii="Times New Roman" w:hAnsi="Times New Roman" w:cs="Times New Roman"/>
          <w:color w:val="000000" w:themeColor="text1"/>
          <w:sz w:val="24"/>
          <w:szCs w:val="24"/>
          <w:u w:val="single"/>
        </w:rPr>
      </w:pPr>
      <w:r w:rsidRPr="00A86324">
        <w:rPr>
          <w:rFonts w:ascii="Times New Roman" w:hAnsi="Times New Roman" w:cs="Times New Roman"/>
          <w:b/>
          <w:color w:val="000000" w:themeColor="text1"/>
          <w:sz w:val="24"/>
          <w:szCs w:val="24"/>
          <w:u w:val="single"/>
        </w:rPr>
        <w:t>Abstract</w:t>
      </w:r>
    </w:p>
    <w:p w14:paraId="51D4FF31" w14:textId="2BEB468D" w:rsidR="000579FF" w:rsidRPr="00AD7E5F" w:rsidRDefault="00AD7E5F" w:rsidP="000579FF">
      <w:pPr>
        <w:spacing w:after="200" w:line="240" w:lineRule="auto"/>
        <w:jc w:val="both"/>
        <w:rPr>
          <w:rFonts w:ascii="Times New Roman" w:hAnsi="Times New Roman" w:cs="Times New Roman"/>
          <w:bCs/>
          <w:i/>
          <w:iCs/>
          <w:color w:val="000000" w:themeColor="text1"/>
          <w:lang w:val="en-GB"/>
        </w:rPr>
      </w:pPr>
      <w:r w:rsidRPr="00AD7E5F">
        <w:rPr>
          <w:rFonts w:ascii="Times New Roman" w:hAnsi="Times New Roman" w:cs="Times New Roman"/>
          <w:bCs/>
          <w:i/>
          <w:iCs/>
          <w:color w:val="000000" w:themeColor="text1"/>
          <w:lang w:val="en-GB"/>
        </w:rPr>
        <w:t>This study assessed the effect of lifestyle modification on blood pressure among prehypertensive individuals attending Federal Medical Centre Asaba, recognizing prehypertension as a critical stage for preventing progression to established hypertension and cardiovascular complications. Lifestyle-related risk factors such as poor diet, physical inactivity, excess body weight, and stress play a major role in blood pressure dysregulation, making non-pharmacological interventions particularly relevant.</w:t>
      </w:r>
      <w:r w:rsidRPr="00AD7E5F">
        <w:rPr>
          <w:rFonts w:ascii="Times New Roman" w:hAnsi="Times New Roman" w:cs="Times New Roman"/>
          <w:bCs/>
          <w:i/>
          <w:iCs/>
          <w:color w:val="000000" w:themeColor="text1"/>
          <w:lang w:val="en-GB"/>
        </w:rPr>
        <w:t xml:space="preserve"> </w:t>
      </w:r>
      <w:r w:rsidRPr="00AD7E5F">
        <w:rPr>
          <w:rFonts w:ascii="Times New Roman" w:hAnsi="Times New Roman" w:cs="Times New Roman"/>
          <w:b/>
          <w:i/>
          <w:iCs/>
          <w:color w:val="000000" w:themeColor="text1"/>
          <w:lang w:val="en-GB"/>
        </w:rPr>
        <w:t>Methodology</w:t>
      </w:r>
      <w:r w:rsidRPr="00AD7E5F">
        <w:rPr>
          <w:rFonts w:ascii="Times New Roman" w:hAnsi="Times New Roman" w:cs="Times New Roman"/>
          <w:bCs/>
          <w:i/>
          <w:iCs/>
          <w:color w:val="000000" w:themeColor="text1"/>
          <w:lang w:val="en-GB"/>
        </w:rPr>
        <w:t xml:space="preserve">: </w:t>
      </w:r>
      <w:r w:rsidRPr="00AD7E5F">
        <w:rPr>
          <w:rFonts w:ascii="Times New Roman" w:hAnsi="Times New Roman" w:cs="Times New Roman"/>
          <w:bCs/>
          <w:i/>
          <w:iCs/>
          <w:color w:val="000000" w:themeColor="text1"/>
          <w:lang w:val="en-GB"/>
        </w:rPr>
        <w:t xml:space="preserve">A quasi-experimental design was employed involving 220 prehypertensive adults aged 40–55 years. Baseline measurements of systolic blood pressure, diastolic blood pressure, resting pulse rate, body weight, and body mass index were obtained using standard clinical procedures. Participants then underwent structured lifestyle modification interventions comprising dietary </w:t>
      </w:r>
      <w:proofErr w:type="spellStart"/>
      <w:r w:rsidRPr="00AD7E5F">
        <w:rPr>
          <w:rFonts w:ascii="Times New Roman" w:hAnsi="Times New Roman" w:cs="Times New Roman"/>
          <w:bCs/>
          <w:i/>
          <w:iCs/>
          <w:color w:val="000000" w:themeColor="text1"/>
          <w:lang w:val="en-GB"/>
        </w:rPr>
        <w:t>counseling</w:t>
      </w:r>
      <w:proofErr w:type="spellEnd"/>
      <w:r w:rsidRPr="00AD7E5F">
        <w:rPr>
          <w:rFonts w:ascii="Times New Roman" w:hAnsi="Times New Roman" w:cs="Times New Roman"/>
          <w:bCs/>
          <w:i/>
          <w:iCs/>
          <w:color w:val="000000" w:themeColor="text1"/>
          <w:lang w:val="en-GB"/>
        </w:rPr>
        <w:t xml:space="preserve">, physical activity promotion, weight management guidance, and stress reduction strategies. Post-intervention measurements were collected and </w:t>
      </w:r>
      <w:proofErr w:type="spellStart"/>
      <w:r w:rsidRPr="00AD7E5F">
        <w:rPr>
          <w:rFonts w:ascii="Times New Roman" w:hAnsi="Times New Roman" w:cs="Times New Roman"/>
          <w:bCs/>
          <w:i/>
          <w:iCs/>
          <w:color w:val="000000" w:themeColor="text1"/>
          <w:lang w:val="en-GB"/>
        </w:rPr>
        <w:t>analyzed</w:t>
      </w:r>
      <w:proofErr w:type="spellEnd"/>
      <w:r w:rsidRPr="00AD7E5F">
        <w:rPr>
          <w:rFonts w:ascii="Times New Roman" w:hAnsi="Times New Roman" w:cs="Times New Roman"/>
          <w:bCs/>
          <w:i/>
          <w:iCs/>
          <w:color w:val="000000" w:themeColor="text1"/>
          <w:lang w:val="en-GB"/>
        </w:rPr>
        <w:t xml:space="preserve"> using descriptive statistics and paired sample t-tests, with significance set at p &lt; 0.05.</w:t>
      </w:r>
      <w:r>
        <w:rPr>
          <w:rFonts w:ascii="Times New Roman" w:hAnsi="Times New Roman" w:cs="Times New Roman"/>
          <w:bCs/>
          <w:i/>
          <w:iCs/>
          <w:color w:val="000000" w:themeColor="text1"/>
          <w:lang w:val="en-GB"/>
        </w:rPr>
        <w:t xml:space="preserve"> </w:t>
      </w:r>
      <w:r w:rsidRPr="00AD7E5F">
        <w:rPr>
          <w:rFonts w:ascii="Times New Roman" w:hAnsi="Times New Roman" w:cs="Times New Roman"/>
          <w:b/>
          <w:i/>
          <w:iCs/>
          <w:color w:val="000000" w:themeColor="text1"/>
          <w:lang w:val="en-GB"/>
        </w:rPr>
        <w:t>Results</w:t>
      </w:r>
      <w:r>
        <w:rPr>
          <w:rFonts w:ascii="Times New Roman" w:hAnsi="Times New Roman" w:cs="Times New Roman"/>
          <w:bCs/>
          <w:i/>
          <w:iCs/>
          <w:color w:val="000000" w:themeColor="text1"/>
          <w:lang w:val="en-GB"/>
        </w:rPr>
        <w:t xml:space="preserve">: </w:t>
      </w:r>
      <w:r w:rsidRPr="00AD7E5F">
        <w:rPr>
          <w:rFonts w:ascii="Times New Roman" w:hAnsi="Times New Roman" w:cs="Times New Roman"/>
          <w:bCs/>
          <w:i/>
          <w:iCs/>
          <w:color w:val="000000" w:themeColor="text1"/>
          <w:lang w:val="en-GB"/>
        </w:rPr>
        <w:t>Results revealed statistically significant improvements across all parameters following the intervention. Mean systolic blood pressure reduced from 132.87 ± 9.21 mmHg pre-intervention to 125.44 ± 4.23 mmHg post-intervention, while mean diastolic blood pressure decreased from 87.45 ± 1.80 mmHg to 81.14 ± 1.60 mmHg (p = 0.000). Resting pulse rate significantly declined from 77.32 ± 4.48 bpm to 69.38 ± 5.61 bpm. Additionally, mean body weight decreased from 73.83 ± 14.74 kg to 66.85 ± 13.24 kg, and mean BMI reduced from 27.21 ± 5.67 kg/m² to 24.65 ± 5.10 kg/m², both statistically significant (p = 0.000).</w:t>
      </w:r>
      <w:r>
        <w:rPr>
          <w:rFonts w:ascii="Times New Roman" w:hAnsi="Times New Roman" w:cs="Times New Roman"/>
          <w:bCs/>
          <w:i/>
          <w:iCs/>
          <w:color w:val="000000" w:themeColor="text1"/>
          <w:lang w:val="en-GB"/>
        </w:rPr>
        <w:t xml:space="preserve"> </w:t>
      </w:r>
      <w:r w:rsidRPr="00AD7E5F">
        <w:rPr>
          <w:rFonts w:ascii="Times New Roman" w:hAnsi="Times New Roman" w:cs="Times New Roman"/>
          <w:b/>
          <w:i/>
          <w:iCs/>
          <w:color w:val="000000" w:themeColor="text1"/>
          <w:lang w:val="en-GB"/>
        </w:rPr>
        <w:t>Conclusion</w:t>
      </w:r>
      <w:r>
        <w:rPr>
          <w:rFonts w:ascii="Times New Roman" w:hAnsi="Times New Roman" w:cs="Times New Roman"/>
          <w:bCs/>
          <w:i/>
          <w:iCs/>
          <w:color w:val="000000" w:themeColor="text1"/>
          <w:lang w:val="en-GB"/>
        </w:rPr>
        <w:t xml:space="preserve">: </w:t>
      </w:r>
      <w:r w:rsidRPr="00AD7E5F">
        <w:rPr>
          <w:rFonts w:ascii="Times New Roman" w:hAnsi="Times New Roman" w:cs="Times New Roman"/>
          <w:bCs/>
          <w:i/>
          <w:iCs/>
          <w:color w:val="000000" w:themeColor="text1"/>
          <w:lang w:val="en-GB"/>
        </w:rPr>
        <w:t>In conclusion, lifestyle modification produced clinically and statistically significant reductions in blood pressure, pulse rate, and adiposity among prehypertensive individuals. The findings support lifestyle modification as an effective, low-cost, and sustainable first-line strategy for blood pressure management and cardiovascular disease prevention.</w:t>
      </w:r>
    </w:p>
    <w:p w14:paraId="2FA3350B" w14:textId="18440D6C" w:rsidR="000579FF" w:rsidRPr="00A86324" w:rsidRDefault="000579FF" w:rsidP="000579FF">
      <w:pPr>
        <w:spacing w:after="200" w:line="240" w:lineRule="auto"/>
        <w:jc w:val="both"/>
        <w:rPr>
          <w:rFonts w:ascii="Times New Roman" w:hAnsi="Times New Roman" w:cs="Times New Roman"/>
          <w:i/>
          <w:iCs/>
          <w:color w:val="000000" w:themeColor="text1"/>
        </w:rPr>
      </w:pPr>
      <w:r w:rsidRPr="00A86324">
        <w:rPr>
          <w:rFonts w:ascii="Times New Roman" w:hAnsi="Times New Roman" w:cs="Times New Roman"/>
          <w:b/>
          <w:i/>
          <w:iCs/>
          <w:color w:val="000000" w:themeColor="text1"/>
        </w:rPr>
        <w:t>Keywords:</w:t>
      </w:r>
      <w:r w:rsidR="00AD7E5F">
        <w:rPr>
          <w:rFonts w:ascii="Times New Roman" w:hAnsi="Times New Roman" w:cs="Times New Roman"/>
          <w:i/>
          <w:iCs/>
          <w:color w:val="000000" w:themeColor="text1"/>
        </w:rPr>
        <w:t xml:space="preserve"> </w:t>
      </w:r>
      <w:r w:rsidR="00AD7E5F" w:rsidRPr="00AD7E5F">
        <w:rPr>
          <w:rFonts w:ascii="Times New Roman" w:hAnsi="Times New Roman" w:cs="Times New Roman"/>
          <w:i/>
          <w:iCs/>
          <w:color w:val="000000" w:themeColor="text1"/>
        </w:rPr>
        <w:t xml:space="preserve">Prehypertension, Lifestyle modification, Blood pressure, Cardiovascular risk, </w:t>
      </w:r>
      <w:proofErr w:type="gramStart"/>
      <w:r w:rsidR="00AD7E5F" w:rsidRPr="00AD7E5F">
        <w:rPr>
          <w:rFonts w:ascii="Times New Roman" w:hAnsi="Times New Roman" w:cs="Times New Roman"/>
          <w:i/>
          <w:iCs/>
          <w:color w:val="000000" w:themeColor="text1"/>
        </w:rPr>
        <w:t>Non-pharmacological</w:t>
      </w:r>
      <w:proofErr w:type="gramEnd"/>
      <w:r w:rsidR="00AD7E5F" w:rsidRPr="00AD7E5F">
        <w:rPr>
          <w:rFonts w:ascii="Times New Roman" w:hAnsi="Times New Roman" w:cs="Times New Roman"/>
          <w:i/>
          <w:iCs/>
          <w:color w:val="000000" w:themeColor="text1"/>
        </w:rPr>
        <w:t xml:space="preserve"> intervention, Weight management</w:t>
      </w:r>
      <w:r w:rsidRPr="00A86324">
        <w:rPr>
          <w:rFonts w:ascii="Times New Roman" w:hAnsi="Times New Roman" w:cs="Times New Roman"/>
          <w:i/>
          <w:iCs/>
          <w:color w:val="000000" w:themeColor="text1"/>
        </w:rPr>
        <w:t xml:space="preserve"> </w:t>
      </w:r>
    </w:p>
    <w:p w14:paraId="2336A484" w14:textId="77777777" w:rsidR="000579FF" w:rsidRDefault="000579FF" w:rsidP="000579FF">
      <w:pPr>
        <w:spacing w:after="200" w:line="240" w:lineRule="auto"/>
        <w:jc w:val="both"/>
        <w:rPr>
          <w:rFonts w:ascii="Times New Roman" w:hAnsi="Times New Roman" w:cs="Times New Roman"/>
          <w:b/>
          <w:color w:val="000000" w:themeColor="text1"/>
          <w:sz w:val="28"/>
          <w:szCs w:val="28"/>
        </w:rPr>
      </w:pPr>
      <w:r w:rsidRPr="00574142">
        <w:rPr>
          <w:rFonts w:ascii="Times New Roman" w:hAnsi="Times New Roman" w:cs="Times New Roman"/>
          <w:b/>
          <w:color w:val="000000" w:themeColor="text1"/>
          <w:sz w:val="28"/>
          <w:szCs w:val="28"/>
        </w:rPr>
        <w:lastRenderedPageBreak/>
        <w:t>INTRODUCTION</w:t>
      </w:r>
    </w:p>
    <w:p w14:paraId="2727A62A" w14:textId="5073D6A2" w:rsidR="000579FF" w:rsidRPr="008E003C" w:rsidRDefault="000579FF" w:rsidP="000579FF">
      <w:pPr>
        <w:pStyle w:val="Normal1"/>
        <w:spacing w:before="240" w:after="240"/>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High blood pressure, or hypertension, remains a leading global health challenge due to its strong association with cardiovascular diseases, stroke, and renal failure </w:t>
      </w:r>
      <w:r w:rsidR="00C55553">
        <w:rPr>
          <w:rFonts w:ascii="Times New Roman" w:eastAsia="Times New Roman" w:hAnsi="Times New Roman" w:cs="Times New Roman"/>
          <w:sz w:val="24"/>
          <w:szCs w:val="24"/>
        </w:rPr>
        <w:t>[1]</w:t>
      </w:r>
      <w:r w:rsidRPr="008E003C">
        <w:rPr>
          <w:rFonts w:ascii="Times New Roman" w:eastAsia="Times New Roman" w:hAnsi="Times New Roman" w:cs="Times New Roman"/>
          <w:sz w:val="24"/>
          <w:szCs w:val="24"/>
        </w:rPr>
        <w:t xml:space="preserve">. While pharmacological treatment is often necessary in advanced stages, increasing attention is being directed toward non-pharmacological interventions, particularly lifestyle modification, as a foundational approach to blood pressure management </w:t>
      </w:r>
      <w:r w:rsidR="00C55553">
        <w:rPr>
          <w:rFonts w:ascii="Times New Roman" w:eastAsia="Times New Roman" w:hAnsi="Times New Roman" w:cs="Times New Roman"/>
          <w:sz w:val="24"/>
          <w:szCs w:val="24"/>
        </w:rPr>
        <w:t>[2]</w:t>
      </w:r>
      <w:r w:rsidRPr="008E003C">
        <w:rPr>
          <w:rFonts w:ascii="Times New Roman" w:eastAsia="Times New Roman" w:hAnsi="Times New Roman" w:cs="Times New Roman"/>
          <w:sz w:val="24"/>
          <w:szCs w:val="24"/>
        </w:rPr>
        <w:t xml:space="preserve">. </w:t>
      </w:r>
    </w:p>
    <w:p w14:paraId="371E6C94" w14:textId="1763EF7F" w:rsidR="000579FF" w:rsidRPr="008E003C" w:rsidRDefault="00B658C0" w:rsidP="00931DB8">
      <w:pPr>
        <w:pStyle w:val="Normal1"/>
        <w:spacing w:before="240" w:after="240"/>
        <w:jc w:val="both"/>
        <w:rPr>
          <w:rFonts w:ascii="Times New Roman" w:eastAsia="Times New Roman" w:hAnsi="Times New Roman" w:cs="Times New Roman"/>
          <w:b/>
          <w:color w:val="000000"/>
          <w:sz w:val="24"/>
          <w:szCs w:val="24"/>
        </w:rPr>
      </w:pPr>
      <w:r w:rsidRPr="00B658C0">
        <w:rPr>
          <w:rFonts w:ascii="Times New Roman" w:eastAsia="Gungsuh" w:hAnsi="Times New Roman" w:cs="Times New Roman"/>
          <w:sz w:val="24"/>
          <w:szCs w:val="24"/>
        </w:rPr>
        <w:t xml:space="preserve">Essential (primary) hypertension, accounting for approximately 90–95% of hypertension cases, is a chronic elevation of blood pressure (BP ≥140/90 mmHg) without an identifiable cause. It results from complex interactions of genetic, environmental, and lifestyle factors. Genetic predisposition, involving polymorphisms in renin–angiotensin–aldosterone system genes, contributes significantly to individual susceptibility </w:t>
      </w:r>
      <w:r w:rsidR="0016315B">
        <w:rPr>
          <w:rFonts w:ascii="Times New Roman" w:eastAsia="Gungsuh" w:hAnsi="Times New Roman" w:cs="Times New Roman"/>
          <w:sz w:val="24"/>
          <w:szCs w:val="24"/>
        </w:rPr>
        <w:t>[3, 4]</w:t>
      </w:r>
      <w:r w:rsidRPr="00B658C0">
        <w:rPr>
          <w:rFonts w:ascii="Times New Roman" w:eastAsia="Gungsuh" w:hAnsi="Times New Roman" w:cs="Times New Roman"/>
          <w:sz w:val="24"/>
          <w:szCs w:val="24"/>
        </w:rPr>
        <w:t xml:space="preserve">. Environmental factors, including high sodium intake, psychosocial stress, obesity, sleep disturbances, and sedentary lifestyle, further exacerbate blood pressure elevation </w:t>
      </w:r>
      <w:r w:rsidR="0016315B">
        <w:rPr>
          <w:rFonts w:ascii="Times New Roman" w:eastAsia="Gungsuh" w:hAnsi="Times New Roman" w:cs="Times New Roman"/>
          <w:sz w:val="24"/>
          <w:szCs w:val="24"/>
        </w:rPr>
        <w:t>[5, 6, 7, 8]</w:t>
      </w:r>
      <w:r w:rsidRPr="00B658C0">
        <w:rPr>
          <w:rFonts w:ascii="Times New Roman" w:eastAsia="Gungsuh" w:hAnsi="Times New Roman" w:cs="Times New Roman"/>
          <w:sz w:val="24"/>
          <w:szCs w:val="24"/>
        </w:rPr>
        <w:t xml:space="preserve">. Pathophysiologically, essential hypertension is characterized by increased peripheral vascular resistance, endothelial dysfunction, sympathetic nervous system overactivity, and low-grade inflammation, all of which contribute to sustained vascular tone and impaired blood pressure regulation </w:t>
      </w:r>
      <w:r w:rsidR="0016315B">
        <w:rPr>
          <w:rFonts w:ascii="Times New Roman" w:eastAsia="Gungsuh" w:hAnsi="Times New Roman" w:cs="Times New Roman"/>
          <w:sz w:val="24"/>
          <w:szCs w:val="24"/>
        </w:rPr>
        <w:t>[9,10,11]</w:t>
      </w:r>
      <w:r w:rsidRPr="00B658C0">
        <w:rPr>
          <w:rFonts w:ascii="Times New Roman" w:eastAsia="Gungsuh" w:hAnsi="Times New Roman" w:cs="Times New Roman"/>
          <w:sz w:val="24"/>
          <w:szCs w:val="24"/>
        </w:rPr>
        <w:t xml:space="preserve">. Management therefore focuses on lifestyle modifications, such as adherence to the DASH or Mediterranean diet, regular aerobic and resistance exercise, and weight reduction, alongside pharmacotherapy tailored to patient profiles when lifestyle measures alone are insufficient </w:t>
      </w:r>
      <w:r w:rsidR="0016315B">
        <w:rPr>
          <w:rFonts w:ascii="Times New Roman" w:eastAsia="Gungsuh" w:hAnsi="Times New Roman" w:cs="Times New Roman"/>
          <w:sz w:val="24"/>
          <w:szCs w:val="24"/>
        </w:rPr>
        <w:t>[12, 13, 14].</w:t>
      </w:r>
    </w:p>
    <w:p w14:paraId="25384302" w14:textId="768C91E6" w:rsidR="000579FF" w:rsidRPr="008E003C" w:rsidRDefault="00B658C0" w:rsidP="000579FF">
      <w:pPr>
        <w:pStyle w:val="Normal1"/>
        <w:spacing w:before="240" w:after="240"/>
        <w:jc w:val="both"/>
        <w:rPr>
          <w:rFonts w:ascii="Times New Roman" w:eastAsia="Times New Roman" w:hAnsi="Times New Roman" w:cs="Times New Roman"/>
          <w:sz w:val="24"/>
          <w:szCs w:val="24"/>
        </w:rPr>
      </w:pPr>
      <w:r w:rsidRPr="00B658C0">
        <w:rPr>
          <w:rFonts w:ascii="Times New Roman" w:eastAsia="Times New Roman" w:hAnsi="Times New Roman" w:cs="Times New Roman"/>
          <w:sz w:val="24"/>
          <w:szCs w:val="24"/>
        </w:rPr>
        <w:t xml:space="preserve">Secondary hypertension, comprising approximately 5–10% of cases, stems from identifiable causes, such as renal artery stenosis, hyperaldosteronism, or pheochromocytoma. It often presents with resistant or sudden-onset hypertension, requiring targeted diagnostic workup, including imaging studies and hormonal assays </w:t>
      </w:r>
      <w:r w:rsidR="0016315B">
        <w:rPr>
          <w:rFonts w:ascii="Times New Roman" w:eastAsia="Times New Roman" w:hAnsi="Times New Roman" w:cs="Times New Roman"/>
          <w:sz w:val="24"/>
          <w:szCs w:val="24"/>
        </w:rPr>
        <w:t>[15, 16]</w:t>
      </w:r>
      <w:r w:rsidRPr="00B658C0">
        <w:rPr>
          <w:rFonts w:ascii="Times New Roman" w:eastAsia="Times New Roman" w:hAnsi="Times New Roman" w:cs="Times New Roman"/>
          <w:sz w:val="24"/>
          <w:szCs w:val="24"/>
        </w:rPr>
        <w:t xml:space="preserve">. Treatment addresses the underlying condition, such as revascularization for renal artery stenosis or adrenalectomy for aldosterone-producing adenomas, which can lead to significant blood pressure normalization and reduced cardiovascular risk </w:t>
      </w:r>
      <w:r w:rsidR="0016315B">
        <w:rPr>
          <w:rFonts w:ascii="Times New Roman" w:eastAsia="Times New Roman" w:hAnsi="Times New Roman" w:cs="Times New Roman"/>
          <w:sz w:val="24"/>
          <w:szCs w:val="24"/>
        </w:rPr>
        <w:t>[17, 2]</w:t>
      </w:r>
      <w:r w:rsidRPr="00B658C0">
        <w:rPr>
          <w:rFonts w:ascii="Times New Roman" w:eastAsia="Times New Roman" w:hAnsi="Times New Roman" w:cs="Times New Roman"/>
          <w:sz w:val="24"/>
          <w:szCs w:val="24"/>
        </w:rPr>
        <w:t xml:space="preserve">. Early identification of secondary hypertension is crucial to prevent irreversible end-organ damage, including left ventricular hypertrophy, chronic kidney disease, and cerebrovascular complications </w:t>
      </w:r>
      <w:r w:rsidR="0016315B">
        <w:rPr>
          <w:rFonts w:ascii="Times New Roman" w:eastAsia="Times New Roman" w:hAnsi="Times New Roman" w:cs="Times New Roman"/>
          <w:sz w:val="24"/>
          <w:szCs w:val="24"/>
        </w:rPr>
        <w:t>[16, 18]</w:t>
      </w:r>
      <w:r w:rsidRPr="00B658C0">
        <w:rPr>
          <w:rFonts w:ascii="Times New Roman" w:eastAsia="Times New Roman" w:hAnsi="Times New Roman" w:cs="Times New Roman"/>
          <w:sz w:val="24"/>
          <w:szCs w:val="24"/>
        </w:rPr>
        <w:t>.</w:t>
      </w:r>
    </w:p>
    <w:p w14:paraId="7A6F6403" w14:textId="5E1CCD7F" w:rsidR="000579FF" w:rsidRPr="008E003C" w:rsidRDefault="00B658C0" w:rsidP="000579FF">
      <w:pPr>
        <w:pStyle w:val="Normal1"/>
        <w:spacing w:before="240" w:after="240"/>
        <w:jc w:val="both"/>
        <w:rPr>
          <w:rFonts w:ascii="Times New Roman" w:eastAsia="Times New Roman" w:hAnsi="Times New Roman" w:cs="Times New Roman"/>
          <w:sz w:val="24"/>
          <w:szCs w:val="24"/>
        </w:rPr>
      </w:pPr>
      <w:r w:rsidRPr="00B658C0">
        <w:rPr>
          <w:rFonts w:ascii="Times New Roman" w:eastAsia="Times New Roman" w:hAnsi="Times New Roman" w:cs="Times New Roman"/>
          <w:sz w:val="24"/>
          <w:szCs w:val="24"/>
        </w:rPr>
        <w:t xml:space="preserve">Lifestyle modification refers to the intentional adoption of healthier behavioral practices aimed at improving cardiovascular outcomes. These include dietary adjustments, regular physical activity, weight control, salt reduction, stress management, smoking cessation, alcohol moderation, and improved sleep hygiene. The cumulative evidence in support of lifestyle interventions is substantial and continues to expand. Hinderliter et al. </w:t>
      </w:r>
      <w:r w:rsidR="0016315B">
        <w:rPr>
          <w:rFonts w:ascii="Times New Roman" w:eastAsia="Times New Roman" w:hAnsi="Times New Roman" w:cs="Times New Roman"/>
          <w:sz w:val="24"/>
          <w:szCs w:val="24"/>
        </w:rPr>
        <w:t>[1]</w:t>
      </w:r>
      <w:r w:rsidRPr="00B658C0">
        <w:rPr>
          <w:rFonts w:ascii="Times New Roman" w:eastAsia="Times New Roman" w:hAnsi="Times New Roman" w:cs="Times New Roman"/>
          <w:sz w:val="24"/>
          <w:szCs w:val="24"/>
        </w:rPr>
        <w:t xml:space="preserve"> demonstrated that dietary sodium restriction combined with increased physical activity led to clinically significant reductions in both systolic and diastolic blood pressure. Similarly, Holzman et al. </w:t>
      </w:r>
      <w:r w:rsidR="0016315B">
        <w:rPr>
          <w:rFonts w:ascii="Times New Roman" w:eastAsia="Times New Roman" w:hAnsi="Times New Roman" w:cs="Times New Roman"/>
          <w:sz w:val="24"/>
          <w:szCs w:val="24"/>
        </w:rPr>
        <w:t>[19]</w:t>
      </w:r>
      <w:r w:rsidRPr="00B658C0">
        <w:rPr>
          <w:rFonts w:ascii="Times New Roman" w:eastAsia="Times New Roman" w:hAnsi="Times New Roman" w:cs="Times New Roman"/>
          <w:sz w:val="24"/>
          <w:szCs w:val="24"/>
        </w:rPr>
        <w:t xml:space="preserve"> and Liu et al. </w:t>
      </w:r>
      <w:r w:rsidR="0016315B">
        <w:rPr>
          <w:rFonts w:ascii="Times New Roman" w:eastAsia="Times New Roman" w:hAnsi="Times New Roman" w:cs="Times New Roman"/>
          <w:sz w:val="24"/>
          <w:szCs w:val="24"/>
        </w:rPr>
        <w:t>[10]</w:t>
      </w:r>
      <w:r w:rsidRPr="00B658C0">
        <w:rPr>
          <w:rFonts w:ascii="Times New Roman" w:eastAsia="Times New Roman" w:hAnsi="Times New Roman" w:cs="Times New Roman"/>
          <w:sz w:val="24"/>
          <w:szCs w:val="24"/>
        </w:rPr>
        <w:t xml:space="preserve"> found that even modest weight loss could substantially contribute to long-term blood pressure control, particularly among individuals with prehypertension. Furthermore, dietary interventions such as the DASH diet, which emphasizes fruits, vegetables, whole grains, and low-fat dairy products, have been shown to effectively delay the onset of hypertension when paired with regular aerobic exercise</w:t>
      </w:r>
      <w:r w:rsidR="0016315B">
        <w:rPr>
          <w:rFonts w:ascii="Times New Roman" w:eastAsia="Times New Roman" w:hAnsi="Times New Roman" w:cs="Times New Roman"/>
          <w:sz w:val="24"/>
          <w:szCs w:val="24"/>
        </w:rPr>
        <w:t xml:space="preserve"> [20, 13, 21]</w:t>
      </w:r>
      <w:r w:rsidRPr="00B658C0">
        <w:rPr>
          <w:rFonts w:ascii="Times New Roman" w:eastAsia="Times New Roman" w:hAnsi="Times New Roman" w:cs="Times New Roman"/>
          <w:sz w:val="24"/>
          <w:szCs w:val="24"/>
        </w:rPr>
        <w:t>.</w:t>
      </w:r>
    </w:p>
    <w:p w14:paraId="1E5CC173" w14:textId="210E2FA0" w:rsidR="000579FF" w:rsidRPr="00B658C0" w:rsidRDefault="00B658C0" w:rsidP="000579FF">
      <w:pPr>
        <w:pStyle w:val="Normal1"/>
        <w:spacing w:before="240" w:after="240"/>
        <w:jc w:val="both"/>
        <w:rPr>
          <w:rFonts w:ascii="Times New Roman" w:hAnsi="Times New Roman" w:cs="Times New Roman"/>
          <w:sz w:val="24"/>
          <w:szCs w:val="24"/>
        </w:rPr>
      </w:pPr>
      <w:r w:rsidRPr="00B658C0">
        <w:rPr>
          <w:rFonts w:ascii="Times New Roman" w:hAnsi="Times New Roman" w:cs="Times New Roman"/>
          <w:sz w:val="24"/>
          <w:szCs w:val="24"/>
        </w:rPr>
        <w:lastRenderedPageBreak/>
        <w:t xml:space="preserve">Beyond dietary and exercise-based strategies, psychological and behavioral interventions have also proven beneficial. Mindfulness-based stress reduction, relaxation training, yoga, and cognitive behavioral approaches are increasingly being recognized for their role in modulating autonomic nervous system activity and lowering blood pressure </w:t>
      </w:r>
      <w:r w:rsidR="0016315B">
        <w:rPr>
          <w:rFonts w:ascii="Times New Roman" w:hAnsi="Times New Roman" w:cs="Times New Roman"/>
          <w:sz w:val="24"/>
          <w:szCs w:val="24"/>
        </w:rPr>
        <w:t>[22, 23, 24]</w:t>
      </w:r>
      <w:r w:rsidRPr="00B658C0">
        <w:rPr>
          <w:rFonts w:ascii="Times New Roman" w:hAnsi="Times New Roman" w:cs="Times New Roman"/>
          <w:sz w:val="24"/>
          <w:szCs w:val="24"/>
        </w:rPr>
        <w:t>. Chronic stress and poor sleep have been linked to sustained sympathetic activation and endothelial dysfunction, further underscoring the relevance of these interventions</w:t>
      </w:r>
      <w:r w:rsidR="0016315B">
        <w:rPr>
          <w:rFonts w:ascii="Times New Roman" w:hAnsi="Times New Roman" w:cs="Times New Roman"/>
          <w:sz w:val="24"/>
          <w:szCs w:val="24"/>
        </w:rPr>
        <w:t xml:space="preserve"> [7, 25, 26]</w:t>
      </w:r>
      <w:r w:rsidRPr="00B658C0">
        <w:rPr>
          <w:rFonts w:ascii="Times New Roman" w:hAnsi="Times New Roman" w:cs="Times New Roman"/>
          <w:sz w:val="24"/>
          <w:szCs w:val="24"/>
        </w:rPr>
        <w:t xml:space="preserve">. These approaches are particularly valuable in settings where access to medications is limited, offering accessible, low-cost, and sustainable alternatives for blood pressure regulation </w:t>
      </w:r>
      <w:r w:rsidR="0016315B">
        <w:rPr>
          <w:rFonts w:ascii="Times New Roman" w:hAnsi="Times New Roman" w:cs="Times New Roman"/>
          <w:sz w:val="24"/>
          <w:szCs w:val="24"/>
        </w:rPr>
        <w:t>[5, 27]</w:t>
      </w:r>
      <w:r w:rsidRPr="00B658C0">
        <w:rPr>
          <w:rFonts w:ascii="Times New Roman" w:hAnsi="Times New Roman" w:cs="Times New Roman"/>
          <w:sz w:val="24"/>
          <w:szCs w:val="24"/>
        </w:rPr>
        <w:t>.</w:t>
      </w:r>
    </w:p>
    <w:p w14:paraId="67762414" w14:textId="2E23DC36" w:rsidR="000579FF" w:rsidRPr="008E003C" w:rsidRDefault="00B658C0" w:rsidP="000579FF">
      <w:pPr>
        <w:pStyle w:val="Normal1"/>
        <w:spacing w:before="240" w:after="240"/>
        <w:jc w:val="both"/>
        <w:rPr>
          <w:rFonts w:ascii="Times New Roman" w:eastAsia="Times New Roman" w:hAnsi="Times New Roman" w:cs="Times New Roman"/>
          <w:sz w:val="24"/>
          <w:szCs w:val="24"/>
        </w:rPr>
      </w:pPr>
      <w:r w:rsidRPr="00B658C0">
        <w:rPr>
          <w:rFonts w:ascii="Times New Roman" w:eastAsia="Times New Roman" w:hAnsi="Times New Roman" w:cs="Times New Roman"/>
          <w:sz w:val="24"/>
          <w:szCs w:val="24"/>
        </w:rPr>
        <w:t xml:space="preserve">In a study, </w:t>
      </w:r>
      <w:proofErr w:type="spellStart"/>
      <w:r w:rsidRPr="00B658C0">
        <w:rPr>
          <w:rFonts w:ascii="Times New Roman" w:eastAsia="Times New Roman" w:hAnsi="Times New Roman" w:cs="Times New Roman"/>
          <w:sz w:val="24"/>
          <w:szCs w:val="24"/>
        </w:rPr>
        <w:t>Ogbutor</w:t>
      </w:r>
      <w:proofErr w:type="spellEnd"/>
      <w:r w:rsidRPr="00B658C0">
        <w:rPr>
          <w:rFonts w:ascii="Times New Roman" w:eastAsia="Times New Roman" w:hAnsi="Times New Roman" w:cs="Times New Roman"/>
          <w:sz w:val="24"/>
          <w:szCs w:val="24"/>
        </w:rPr>
        <w:t xml:space="preserve"> et al. </w:t>
      </w:r>
      <w:r w:rsidR="0016315B">
        <w:rPr>
          <w:rFonts w:ascii="Times New Roman" w:eastAsia="Times New Roman" w:hAnsi="Times New Roman" w:cs="Times New Roman"/>
          <w:sz w:val="24"/>
          <w:szCs w:val="24"/>
        </w:rPr>
        <w:t>[28]</w:t>
      </w:r>
      <w:r w:rsidRPr="00B658C0">
        <w:rPr>
          <w:rFonts w:ascii="Times New Roman" w:eastAsia="Times New Roman" w:hAnsi="Times New Roman" w:cs="Times New Roman"/>
          <w:sz w:val="24"/>
          <w:szCs w:val="24"/>
        </w:rPr>
        <w:t xml:space="preserve"> examined the effect of isometric handgrip exercise performed at 30% of maximal voluntary contraction on blood pressure and pulse rate in adults with elevated blood pressure. The findings indicated that even short-term engagement in isometric exercises could produce acute reductions in cardiovascular parameters. Similar findings have been reported in meta-analyses demonstrating the efficacy of isometric resistance training in lowering resting blood pressure across diverse populations </w:t>
      </w:r>
      <w:r w:rsidR="0016315B">
        <w:rPr>
          <w:rFonts w:ascii="Times New Roman" w:eastAsia="Times New Roman" w:hAnsi="Times New Roman" w:cs="Times New Roman"/>
          <w:sz w:val="24"/>
          <w:szCs w:val="24"/>
        </w:rPr>
        <w:t>[29, 30]</w:t>
      </w:r>
      <w:r w:rsidRPr="00B658C0">
        <w:rPr>
          <w:rFonts w:ascii="Times New Roman" w:eastAsia="Times New Roman" w:hAnsi="Times New Roman" w:cs="Times New Roman"/>
          <w:sz w:val="24"/>
          <w:szCs w:val="24"/>
        </w:rPr>
        <w:t>. This highlights the importance of integrating structured physical activity protocols into broader lifestyle modification strategies and supports the inclusion of scientifically grounded exercise prescriptions in preventive healthcare programs.</w:t>
      </w:r>
    </w:p>
    <w:p w14:paraId="4DAD6716" w14:textId="3DF552DD" w:rsidR="000579FF" w:rsidRDefault="00B658C0" w:rsidP="000579FF">
      <w:pPr>
        <w:spacing w:after="200" w:line="276" w:lineRule="auto"/>
        <w:jc w:val="both"/>
        <w:rPr>
          <w:rFonts w:ascii="Times New Roman" w:eastAsia="Times New Roman" w:hAnsi="Times New Roman" w:cs="Times New Roman"/>
          <w:sz w:val="24"/>
          <w:szCs w:val="24"/>
        </w:rPr>
      </w:pPr>
      <w:r w:rsidRPr="00B658C0">
        <w:rPr>
          <w:rFonts w:ascii="Times New Roman" w:eastAsia="Times New Roman" w:hAnsi="Times New Roman" w:cs="Times New Roman"/>
          <w:sz w:val="24"/>
          <w:szCs w:val="24"/>
        </w:rPr>
        <w:t xml:space="preserve">Moreover, the rising global incidence of elevated blood pressure, driven largely by sedentary lifestyles, high-calorie diets, excess sodium consumption, and chronic psychosocial stress, underscores the timeliness of focusing on lifestyle </w:t>
      </w:r>
      <w:r w:rsidR="0016315B">
        <w:rPr>
          <w:rFonts w:ascii="Times New Roman" w:eastAsia="Times New Roman" w:hAnsi="Times New Roman" w:cs="Times New Roman"/>
          <w:sz w:val="24"/>
          <w:szCs w:val="24"/>
        </w:rPr>
        <w:t>[31, 32, 33]</w:t>
      </w:r>
      <w:r w:rsidRPr="00B658C0">
        <w:rPr>
          <w:rFonts w:ascii="Times New Roman" w:eastAsia="Times New Roman" w:hAnsi="Times New Roman" w:cs="Times New Roman"/>
          <w:sz w:val="24"/>
          <w:szCs w:val="24"/>
        </w:rPr>
        <w:t xml:space="preserve">. While the concept of prehypertension has previously served as a clinical warning stage, current evidence emphasizes the urgent need to promote targeted lifestyle changes that prevent progression to overt hypertension and associated cardiovascular complications </w:t>
      </w:r>
      <w:r w:rsidR="00604327">
        <w:rPr>
          <w:rFonts w:ascii="Times New Roman" w:eastAsia="Times New Roman" w:hAnsi="Times New Roman" w:cs="Times New Roman"/>
          <w:sz w:val="24"/>
          <w:szCs w:val="24"/>
        </w:rPr>
        <w:t>[16]</w:t>
      </w:r>
      <w:r w:rsidRPr="00B658C0">
        <w:rPr>
          <w:rFonts w:ascii="Times New Roman" w:eastAsia="Times New Roman" w:hAnsi="Times New Roman" w:cs="Times New Roman"/>
          <w:sz w:val="24"/>
          <w:szCs w:val="24"/>
        </w:rPr>
        <w:t>. This research, therefore, centers not merely on the identification of at-risk individuals but on equipping them with effective, evidence-based tools for sustained blood pressure control and cardiovascular risk reduction.</w:t>
      </w:r>
    </w:p>
    <w:p w14:paraId="23C718E2" w14:textId="2495878E" w:rsidR="00B658C0" w:rsidRDefault="00B658C0" w:rsidP="000579FF">
      <w:pPr>
        <w:spacing w:after="200" w:line="276" w:lineRule="auto"/>
        <w:jc w:val="both"/>
        <w:rPr>
          <w:rFonts w:ascii="Times New Roman" w:eastAsia="Times New Roman" w:hAnsi="Times New Roman" w:cs="Times New Roman"/>
          <w:sz w:val="24"/>
          <w:szCs w:val="24"/>
        </w:rPr>
      </w:pPr>
      <w:r w:rsidRPr="00B658C0">
        <w:rPr>
          <w:rFonts w:ascii="Times New Roman" w:eastAsia="Times New Roman" w:hAnsi="Times New Roman" w:cs="Times New Roman"/>
          <w:sz w:val="24"/>
          <w:szCs w:val="24"/>
        </w:rPr>
        <w:t>Lifestyle modification represents a cornerstone in the prevention and management of elevated blood pressure. Its role is particularly crucial in low-resource settings where healthcare infrastructure and pharmacological options may be limited. By addressing the physiological, behavioral, and environmental determinants of blood pressure, lifestyle-based strategies offer a comprehensive and sustainable approach to cardiovascular health promotion. This study is relevant in deepening understanding of the most effective lifestyle strategies, drawing on both global evidence and local research contributions to inform policy, clinical practice, and community-based interventions.</w:t>
      </w:r>
    </w:p>
    <w:p w14:paraId="6F4CA71C" w14:textId="665064B9" w:rsidR="000579FF" w:rsidRPr="000579FF" w:rsidRDefault="000579FF" w:rsidP="000579FF">
      <w:pPr>
        <w:spacing w:after="200" w:line="276" w:lineRule="auto"/>
        <w:jc w:val="both"/>
        <w:rPr>
          <w:rFonts w:ascii="Times New Roman" w:eastAsia="Times New Roman" w:hAnsi="Times New Roman" w:cs="Times New Roman"/>
          <w:b/>
          <w:bCs/>
          <w:sz w:val="24"/>
          <w:szCs w:val="24"/>
        </w:rPr>
      </w:pPr>
      <w:r w:rsidRPr="000579FF">
        <w:rPr>
          <w:rFonts w:ascii="Times New Roman" w:eastAsia="Times New Roman" w:hAnsi="Times New Roman" w:cs="Times New Roman"/>
          <w:b/>
          <w:bCs/>
          <w:sz w:val="24"/>
          <w:szCs w:val="24"/>
        </w:rPr>
        <w:t>METHODOLOGY</w:t>
      </w:r>
    </w:p>
    <w:p w14:paraId="67612823" w14:textId="01D65BCA" w:rsidR="000579FF" w:rsidRPr="000579FF" w:rsidRDefault="000579FF" w:rsidP="000579FF">
      <w:pPr>
        <w:pStyle w:val="Normal1"/>
        <w:jc w:val="both"/>
        <w:rPr>
          <w:rFonts w:ascii="Times New Roman" w:eastAsia="Times New Roman" w:hAnsi="Times New Roman" w:cs="Times New Roman"/>
          <w:b/>
          <w:i/>
          <w:iCs/>
          <w:sz w:val="24"/>
          <w:szCs w:val="24"/>
        </w:rPr>
      </w:pPr>
      <w:r w:rsidRPr="000579FF">
        <w:rPr>
          <w:rFonts w:ascii="Times New Roman" w:eastAsia="Times New Roman" w:hAnsi="Times New Roman" w:cs="Times New Roman"/>
          <w:b/>
          <w:i/>
          <w:iCs/>
          <w:sz w:val="24"/>
          <w:szCs w:val="24"/>
        </w:rPr>
        <w:t>Research Design</w:t>
      </w:r>
      <w:r>
        <w:rPr>
          <w:rFonts w:ascii="Times New Roman" w:eastAsia="Times New Roman" w:hAnsi="Times New Roman" w:cs="Times New Roman"/>
          <w:b/>
          <w:i/>
          <w:iCs/>
          <w:sz w:val="24"/>
          <w:szCs w:val="24"/>
        </w:rPr>
        <w:t>:</w:t>
      </w:r>
    </w:p>
    <w:p w14:paraId="154DB310" w14:textId="77777777" w:rsidR="000579FF" w:rsidRPr="008E003C" w:rsidRDefault="000579FF" w:rsidP="000579FF">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This study adopts a quasi-experimental design to examine the effect of lifestyle modifications on the blood pressure of pre-hypertensive individuals. A quasi-experimental design is appropriate because it allows for the assessment of changes in blood pressure before and after </w:t>
      </w:r>
      <w:r w:rsidRPr="008E003C">
        <w:rPr>
          <w:rFonts w:ascii="Times New Roman" w:eastAsia="Times New Roman" w:hAnsi="Times New Roman" w:cs="Times New Roman"/>
          <w:sz w:val="24"/>
          <w:szCs w:val="24"/>
        </w:rPr>
        <w:lastRenderedPageBreak/>
        <w:t>the intervention without randomization, making it suitable for real-world settings where true experimental control may not be feasible.</w:t>
      </w:r>
    </w:p>
    <w:p w14:paraId="105AAE1E" w14:textId="77777777" w:rsidR="000579FF" w:rsidRDefault="000579FF" w:rsidP="000579FF">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The independent variable in this study is lifestyle modification, which includes dietary adjustments, increased physical activity, and stress management. The dependent variable is blood pressure, measured in terms of systolic and diastolic values. A baseline assessment of participants’ blood pressure will be conducted before the intervention, followed by periodic assessments at specified intervals to track changes.</w:t>
      </w:r>
      <w:r>
        <w:rPr>
          <w:rFonts w:ascii="Times New Roman" w:eastAsia="Times New Roman" w:hAnsi="Times New Roman" w:cs="Times New Roman"/>
          <w:sz w:val="24"/>
          <w:szCs w:val="24"/>
        </w:rPr>
        <w:t xml:space="preserve"> </w:t>
      </w:r>
      <w:r w:rsidRPr="008E003C">
        <w:rPr>
          <w:rFonts w:ascii="Times New Roman" w:eastAsia="Times New Roman" w:hAnsi="Times New Roman" w:cs="Times New Roman"/>
          <w:sz w:val="24"/>
          <w:szCs w:val="24"/>
        </w:rPr>
        <w:t>This would be termed a supervised lifestyle intervention study. The blood pressure of participants before lifestyle modification will be compared with the blood pressure of participants after modification.</w:t>
      </w:r>
      <w:r>
        <w:rPr>
          <w:rFonts w:ascii="Times New Roman" w:eastAsia="Times New Roman" w:hAnsi="Times New Roman" w:cs="Times New Roman"/>
          <w:sz w:val="24"/>
          <w:szCs w:val="24"/>
        </w:rPr>
        <w:t xml:space="preserve"> </w:t>
      </w:r>
    </w:p>
    <w:p w14:paraId="11CBB076" w14:textId="398B866A" w:rsidR="000579FF" w:rsidRPr="008E003C" w:rsidRDefault="000579FF" w:rsidP="000579FF">
      <w:pPr>
        <w:pStyle w:val="Normal1"/>
        <w:spacing w:before="240"/>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The study was conducted in FMC Asaba The area was chosen due to its accessibility, availability of pre-hypertensive individuals, and willingness of participants to engage in this research </w:t>
      </w:r>
    </w:p>
    <w:p w14:paraId="4E3D50C5" w14:textId="38B0543E" w:rsidR="000579FF" w:rsidRPr="008E003C" w:rsidRDefault="000579FF" w:rsidP="000579FF">
      <w:pPr>
        <w:pStyle w:val="Normal1"/>
        <w:spacing w:before="240"/>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The target population comprised adults aged 40 to 50 years who had been diagnosed as pre-hypertensive (systolic BP of 120–139 mmHg or diastolic BP of 80–89 mmHg), based on recent health screenings conducted in the study area. A total of 220 participants were selected.</w:t>
      </w:r>
    </w:p>
    <w:p w14:paraId="21506E5C" w14:textId="3AD0AEC7" w:rsidR="000579FF" w:rsidRPr="000579FF" w:rsidRDefault="000579FF" w:rsidP="000579FF">
      <w:pPr>
        <w:pStyle w:val="Normal1"/>
        <w:jc w:val="both"/>
        <w:rPr>
          <w:rFonts w:ascii="Times New Roman" w:eastAsia="Times New Roman" w:hAnsi="Times New Roman" w:cs="Times New Roman"/>
          <w:i/>
          <w:iCs/>
          <w:sz w:val="24"/>
          <w:szCs w:val="24"/>
        </w:rPr>
      </w:pPr>
      <w:r w:rsidRPr="000579FF">
        <w:rPr>
          <w:rFonts w:ascii="Times New Roman" w:eastAsia="Times New Roman" w:hAnsi="Times New Roman" w:cs="Times New Roman"/>
          <w:b/>
          <w:i/>
          <w:iCs/>
          <w:sz w:val="24"/>
          <w:szCs w:val="24"/>
        </w:rPr>
        <w:t>Materials Used</w:t>
      </w:r>
    </w:p>
    <w:p w14:paraId="4D2E2118" w14:textId="77777777" w:rsidR="000579FF" w:rsidRDefault="000579FF" w:rsidP="000579FF">
      <w:pPr>
        <w:pStyle w:val="Normal1"/>
        <w:numPr>
          <w:ilvl w:val="0"/>
          <w:numId w:val="3"/>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sz w:val="24"/>
          <w:szCs w:val="24"/>
        </w:rPr>
        <w:t>Manual or Digital Sphygmomanometer</w:t>
      </w:r>
      <w:r w:rsidRPr="008E003C">
        <w:rPr>
          <w:rFonts w:ascii="Times New Roman" w:eastAsia="Times New Roman" w:hAnsi="Times New Roman" w:cs="Times New Roman"/>
          <w:sz w:val="24"/>
          <w:szCs w:val="24"/>
        </w:rPr>
        <w:t xml:space="preserve">: it was used to measure blood pressure of the participants accurately, and this was done when the participants </w:t>
      </w:r>
      <w:proofErr w:type="gramStart"/>
      <w:r w:rsidRPr="008E003C">
        <w:rPr>
          <w:rFonts w:ascii="Times New Roman" w:eastAsia="Times New Roman" w:hAnsi="Times New Roman" w:cs="Times New Roman"/>
          <w:sz w:val="24"/>
          <w:szCs w:val="24"/>
        </w:rPr>
        <w:t>was</w:t>
      </w:r>
      <w:proofErr w:type="gramEnd"/>
      <w:r w:rsidRPr="008E003C">
        <w:rPr>
          <w:rFonts w:ascii="Times New Roman" w:eastAsia="Times New Roman" w:hAnsi="Times New Roman" w:cs="Times New Roman"/>
          <w:sz w:val="24"/>
          <w:szCs w:val="24"/>
        </w:rPr>
        <w:t xml:space="preserve"> seated comfortably with their arm at their heart level </w:t>
      </w:r>
    </w:p>
    <w:p w14:paraId="5BA77A7E" w14:textId="77777777" w:rsidR="000579FF" w:rsidRDefault="000579FF" w:rsidP="000579FF">
      <w:pPr>
        <w:pStyle w:val="Normal1"/>
        <w:numPr>
          <w:ilvl w:val="0"/>
          <w:numId w:val="3"/>
        </w:numPr>
        <w:jc w:val="both"/>
        <w:rPr>
          <w:rFonts w:ascii="Times New Roman" w:eastAsia="Times New Roman" w:hAnsi="Times New Roman" w:cs="Times New Roman"/>
          <w:sz w:val="24"/>
          <w:szCs w:val="24"/>
        </w:rPr>
      </w:pPr>
      <w:r w:rsidRPr="000579FF">
        <w:rPr>
          <w:rFonts w:ascii="Times New Roman" w:eastAsia="Times New Roman" w:hAnsi="Times New Roman" w:cs="Times New Roman"/>
          <w:sz w:val="24"/>
          <w:szCs w:val="24"/>
        </w:rPr>
        <w:t>⁠</w:t>
      </w:r>
      <w:r w:rsidRPr="000579FF">
        <w:rPr>
          <w:rFonts w:ascii="Times New Roman" w:eastAsia="Times New Roman" w:hAnsi="Times New Roman" w:cs="Times New Roman"/>
          <w:b/>
          <w:bCs/>
          <w:i/>
          <w:iCs/>
          <w:sz w:val="24"/>
          <w:szCs w:val="24"/>
        </w:rPr>
        <w:t>Stethoscope</w:t>
      </w:r>
      <w:r w:rsidRPr="000579FF">
        <w:rPr>
          <w:rFonts w:ascii="Times New Roman" w:eastAsia="Times New Roman" w:hAnsi="Times New Roman" w:cs="Times New Roman"/>
          <w:sz w:val="24"/>
          <w:szCs w:val="24"/>
        </w:rPr>
        <w:t>: it was used to listen to heart and lung sounds, aiding in diagnosing cardiovascular or respiratory issues.</w:t>
      </w:r>
    </w:p>
    <w:p w14:paraId="604EC7DC" w14:textId="77777777" w:rsidR="000579FF" w:rsidRDefault="000579FF" w:rsidP="000579FF">
      <w:pPr>
        <w:pStyle w:val="Normal1"/>
        <w:numPr>
          <w:ilvl w:val="0"/>
          <w:numId w:val="3"/>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i/>
          <w:iCs/>
          <w:sz w:val="24"/>
          <w:szCs w:val="24"/>
        </w:rPr>
        <w:t>Blood Pressure Recording Sheets</w:t>
      </w:r>
      <w:r w:rsidRPr="000579FF">
        <w:rPr>
          <w:rFonts w:ascii="Times New Roman" w:eastAsia="Times New Roman" w:hAnsi="Times New Roman" w:cs="Times New Roman"/>
          <w:sz w:val="24"/>
          <w:szCs w:val="24"/>
        </w:rPr>
        <w:t>: it was used to track blood pressure readings over time, helping identify patterns or changes.</w:t>
      </w:r>
    </w:p>
    <w:p w14:paraId="1B41A5C8" w14:textId="77777777" w:rsidR="000579FF" w:rsidRDefault="000579FF" w:rsidP="000579FF">
      <w:pPr>
        <w:pStyle w:val="Normal1"/>
        <w:numPr>
          <w:ilvl w:val="0"/>
          <w:numId w:val="3"/>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i/>
          <w:iCs/>
          <w:sz w:val="24"/>
          <w:szCs w:val="24"/>
        </w:rPr>
        <w:t>Weighing Scale</w:t>
      </w:r>
      <w:r w:rsidRPr="000579FF">
        <w:rPr>
          <w:rFonts w:ascii="Times New Roman" w:eastAsia="Times New Roman" w:hAnsi="Times New Roman" w:cs="Times New Roman"/>
          <w:sz w:val="24"/>
          <w:szCs w:val="24"/>
        </w:rPr>
        <w:t xml:space="preserve">: Used to measure body weight, monitoring changes that occur pre and post intervention </w:t>
      </w:r>
    </w:p>
    <w:p w14:paraId="41B66E10" w14:textId="5365D2AF" w:rsidR="000579FF" w:rsidRPr="000579FF" w:rsidRDefault="000579FF" w:rsidP="000579FF">
      <w:pPr>
        <w:pStyle w:val="Normal1"/>
        <w:numPr>
          <w:ilvl w:val="0"/>
          <w:numId w:val="3"/>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i/>
          <w:iCs/>
          <w:sz w:val="24"/>
          <w:szCs w:val="24"/>
        </w:rPr>
        <w:t>Stadiometer (Height Scale)</w:t>
      </w:r>
      <w:r w:rsidRPr="000579FF">
        <w:rPr>
          <w:rFonts w:ascii="Times New Roman" w:eastAsia="Times New Roman" w:hAnsi="Times New Roman" w:cs="Times New Roman"/>
          <w:sz w:val="24"/>
          <w:szCs w:val="24"/>
        </w:rPr>
        <w:t>: Used to measuring height</w:t>
      </w:r>
      <w:r>
        <w:rPr>
          <w:rFonts w:ascii="Times New Roman" w:eastAsia="Times New Roman" w:hAnsi="Times New Roman" w:cs="Times New Roman"/>
          <w:sz w:val="24"/>
          <w:szCs w:val="24"/>
        </w:rPr>
        <w:t>.</w:t>
      </w:r>
    </w:p>
    <w:p w14:paraId="29A4BB06" w14:textId="77777777" w:rsidR="000579FF" w:rsidRPr="008E003C" w:rsidRDefault="000579FF" w:rsidP="000579FF">
      <w:pPr>
        <w:pStyle w:val="Normal1"/>
        <w:jc w:val="both"/>
        <w:rPr>
          <w:rFonts w:ascii="Times New Roman" w:eastAsia="Times New Roman" w:hAnsi="Times New Roman" w:cs="Times New Roman"/>
          <w:b/>
          <w:sz w:val="24"/>
          <w:szCs w:val="24"/>
        </w:rPr>
      </w:pPr>
      <w:r w:rsidRPr="008E003C">
        <w:rPr>
          <w:rFonts w:ascii="Times New Roman" w:eastAsia="Times New Roman" w:hAnsi="Times New Roman" w:cs="Times New Roman"/>
          <w:b/>
          <w:sz w:val="24"/>
          <w:szCs w:val="24"/>
        </w:rPr>
        <w:t>Health Assessment Tools</w:t>
      </w:r>
    </w:p>
    <w:p w14:paraId="456993B0" w14:textId="77777777" w:rsidR="000579FF" w:rsidRDefault="000579FF" w:rsidP="000579FF">
      <w:pPr>
        <w:pStyle w:val="Normal1"/>
        <w:numPr>
          <w:ilvl w:val="0"/>
          <w:numId w:val="4"/>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sz w:val="24"/>
          <w:szCs w:val="24"/>
        </w:rPr>
        <w:t>Body Mass Index (BMI) Chart</w:t>
      </w:r>
      <w:r w:rsidRPr="008E003C">
        <w:rPr>
          <w:rFonts w:ascii="Times New Roman" w:eastAsia="Times New Roman" w:hAnsi="Times New Roman" w:cs="Times New Roman"/>
          <w:sz w:val="24"/>
          <w:szCs w:val="24"/>
        </w:rPr>
        <w:t>: A chart used to calculate body fat percentage based on height and weight, helping identify potential health risks.</w:t>
      </w:r>
    </w:p>
    <w:p w14:paraId="4AF89245" w14:textId="7E5394EF" w:rsidR="000579FF" w:rsidRPr="000579FF" w:rsidRDefault="000579FF" w:rsidP="000579FF">
      <w:pPr>
        <w:pStyle w:val="Normal1"/>
        <w:numPr>
          <w:ilvl w:val="0"/>
          <w:numId w:val="4"/>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i/>
          <w:iCs/>
          <w:sz w:val="24"/>
          <w:szCs w:val="24"/>
        </w:rPr>
        <w:t>Lifestyle Assessment Questionnaire</w:t>
      </w:r>
      <w:r w:rsidRPr="000579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579FF">
        <w:rPr>
          <w:rFonts w:ascii="Times New Roman" w:eastAsia="Times New Roman" w:hAnsi="Times New Roman" w:cs="Times New Roman"/>
          <w:sz w:val="24"/>
          <w:szCs w:val="24"/>
        </w:rPr>
        <w:t>The questionnaire was used to evaluate lifestyle habits, such as diet, physical activity, and stress levels, to identify areas for improvement on participants.</w:t>
      </w:r>
    </w:p>
    <w:p w14:paraId="3D103B81" w14:textId="77777777" w:rsidR="000579FF" w:rsidRPr="000579FF" w:rsidRDefault="000579FF" w:rsidP="000579FF">
      <w:pPr>
        <w:pStyle w:val="Normal1"/>
        <w:jc w:val="both"/>
        <w:rPr>
          <w:rFonts w:ascii="Times New Roman" w:eastAsia="Times New Roman" w:hAnsi="Times New Roman" w:cs="Times New Roman"/>
          <w:b/>
          <w:i/>
          <w:iCs/>
          <w:sz w:val="24"/>
          <w:szCs w:val="24"/>
        </w:rPr>
      </w:pPr>
      <w:r w:rsidRPr="000579FF">
        <w:rPr>
          <w:rFonts w:ascii="Times New Roman" w:eastAsia="Times New Roman" w:hAnsi="Times New Roman" w:cs="Times New Roman"/>
          <w:b/>
          <w:i/>
          <w:iCs/>
          <w:sz w:val="24"/>
          <w:szCs w:val="24"/>
        </w:rPr>
        <w:t>Health Promotion Resources</w:t>
      </w:r>
    </w:p>
    <w:p w14:paraId="11469C6D" w14:textId="77777777" w:rsidR="000579FF" w:rsidRDefault="000579FF" w:rsidP="000579FF">
      <w:pPr>
        <w:pStyle w:val="Normal1"/>
        <w:numPr>
          <w:ilvl w:val="0"/>
          <w:numId w:val="5"/>
        </w:numPr>
        <w:jc w:val="both"/>
        <w:rPr>
          <w:rFonts w:ascii="Times New Roman" w:eastAsia="Times New Roman" w:hAnsi="Times New Roman" w:cs="Times New Roman"/>
          <w:sz w:val="24"/>
          <w:szCs w:val="24"/>
        </w:rPr>
      </w:pPr>
      <w:r w:rsidRPr="000579FF">
        <w:rPr>
          <w:rFonts w:ascii="Times New Roman" w:eastAsia="Times New Roman" w:hAnsi="Times New Roman" w:cs="Times New Roman"/>
          <w:b/>
          <w:bCs/>
          <w:i/>
          <w:iCs/>
          <w:sz w:val="24"/>
          <w:szCs w:val="24"/>
        </w:rPr>
        <w:t>DASH Diet Guide</w:t>
      </w:r>
      <w:r w:rsidRPr="008E003C">
        <w:rPr>
          <w:rFonts w:ascii="Times New Roman" w:eastAsia="Times New Roman" w:hAnsi="Times New Roman" w:cs="Times New Roman"/>
          <w:sz w:val="24"/>
          <w:szCs w:val="24"/>
        </w:rPr>
        <w:t>: Provides dietary recommendations to help manage blood pressure and promote overall health.</w:t>
      </w:r>
    </w:p>
    <w:p w14:paraId="64A01381" w14:textId="77777777" w:rsidR="00CF0F35" w:rsidRDefault="000579FF" w:rsidP="000579FF">
      <w:pPr>
        <w:pStyle w:val="Normal1"/>
        <w:numPr>
          <w:ilvl w:val="0"/>
          <w:numId w:val="5"/>
        </w:numPr>
        <w:jc w:val="both"/>
        <w:rPr>
          <w:rFonts w:ascii="Times New Roman" w:eastAsia="Times New Roman" w:hAnsi="Times New Roman" w:cs="Times New Roman"/>
          <w:sz w:val="24"/>
          <w:szCs w:val="24"/>
        </w:rPr>
      </w:pPr>
      <w:r w:rsidRPr="000579FF">
        <w:rPr>
          <w:rFonts w:ascii="Times New Roman" w:eastAsia="Times New Roman" w:hAnsi="Times New Roman" w:cs="Times New Roman"/>
          <w:sz w:val="24"/>
          <w:szCs w:val="24"/>
        </w:rPr>
        <w:t>⁠</w:t>
      </w:r>
      <w:r w:rsidRPr="00CF0F35">
        <w:rPr>
          <w:rFonts w:ascii="Times New Roman" w:eastAsia="Times New Roman" w:hAnsi="Times New Roman" w:cs="Times New Roman"/>
          <w:b/>
          <w:bCs/>
          <w:i/>
          <w:iCs/>
          <w:sz w:val="24"/>
          <w:szCs w:val="24"/>
        </w:rPr>
        <w:t>Exercise Guidelines</w:t>
      </w:r>
      <w:r w:rsidRPr="000579FF">
        <w:rPr>
          <w:rFonts w:ascii="Times New Roman" w:eastAsia="Times New Roman" w:hAnsi="Times New Roman" w:cs="Times New Roman"/>
          <w:sz w:val="24"/>
          <w:szCs w:val="24"/>
        </w:rPr>
        <w:t>:</w:t>
      </w:r>
      <w:r w:rsidR="00CF0F35">
        <w:rPr>
          <w:rFonts w:ascii="Times New Roman" w:eastAsia="Times New Roman" w:hAnsi="Times New Roman" w:cs="Times New Roman"/>
          <w:sz w:val="24"/>
          <w:szCs w:val="24"/>
        </w:rPr>
        <w:t xml:space="preserve"> </w:t>
      </w:r>
      <w:r w:rsidRPr="000579FF">
        <w:rPr>
          <w:rFonts w:ascii="Times New Roman" w:eastAsia="Times New Roman" w:hAnsi="Times New Roman" w:cs="Times New Roman"/>
          <w:sz w:val="24"/>
          <w:szCs w:val="24"/>
        </w:rPr>
        <w:t>Physical activity was recommended to the participants to help promote cardiovascular health and overall well-being.</w:t>
      </w:r>
    </w:p>
    <w:p w14:paraId="3D1E23C1" w14:textId="0B0547CC" w:rsidR="000579FF" w:rsidRPr="00CF0F35" w:rsidRDefault="000579FF" w:rsidP="000579FF">
      <w:pPr>
        <w:pStyle w:val="Normal1"/>
        <w:numPr>
          <w:ilvl w:val="0"/>
          <w:numId w:val="5"/>
        </w:numPr>
        <w:jc w:val="both"/>
        <w:rPr>
          <w:rFonts w:ascii="Times New Roman" w:eastAsia="Times New Roman" w:hAnsi="Times New Roman" w:cs="Times New Roman"/>
          <w:sz w:val="24"/>
          <w:szCs w:val="24"/>
        </w:rPr>
      </w:pPr>
      <w:r w:rsidRPr="00CF0F35">
        <w:rPr>
          <w:rFonts w:ascii="Times New Roman" w:eastAsia="Times New Roman" w:hAnsi="Times New Roman" w:cs="Times New Roman"/>
          <w:sz w:val="24"/>
          <w:szCs w:val="24"/>
        </w:rPr>
        <w:t>⁠</w:t>
      </w:r>
      <w:r w:rsidRPr="00CF0F35">
        <w:rPr>
          <w:rFonts w:ascii="Times New Roman" w:eastAsia="Times New Roman" w:hAnsi="Times New Roman" w:cs="Times New Roman"/>
          <w:b/>
          <w:bCs/>
          <w:sz w:val="24"/>
          <w:szCs w:val="24"/>
        </w:rPr>
        <w:t>Mindfulness and Stress Management Guide</w:t>
      </w:r>
      <w:r w:rsidRPr="00CF0F35">
        <w:rPr>
          <w:rFonts w:ascii="Times New Roman" w:eastAsia="Times New Roman" w:hAnsi="Times New Roman" w:cs="Times New Roman"/>
          <w:sz w:val="24"/>
          <w:szCs w:val="24"/>
        </w:rPr>
        <w:t xml:space="preserve">: A </w:t>
      </w:r>
      <w:proofErr w:type="gramStart"/>
      <w:r w:rsidRPr="00CF0F35">
        <w:rPr>
          <w:rFonts w:ascii="Times New Roman" w:eastAsia="Times New Roman" w:hAnsi="Times New Roman" w:cs="Times New Roman"/>
          <w:sz w:val="24"/>
          <w:szCs w:val="24"/>
        </w:rPr>
        <w:t>techniques</w:t>
      </w:r>
      <w:proofErr w:type="gramEnd"/>
      <w:r w:rsidRPr="00CF0F35">
        <w:rPr>
          <w:rFonts w:ascii="Times New Roman" w:eastAsia="Times New Roman" w:hAnsi="Times New Roman" w:cs="Times New Roman"/>
          <w:sz w:val="24"/>
          <w:szCs w:val="24"/>
        </w:rPr>
        <w:t xml:space="preserve"> that help to manage stress and promote mental well-being.</w:t>
      </w:r>
    </w:p>
    <w:p w14:paraId="484E790E" w14:textId="77777777" w:rsidR="000579FF" w:rsidRPr="00CF0F35" w:rsidRDefault="000579FF" w:rsidP="000579FF">
      <w:pPr>
        <w:pStyle w:val="Normal1"/>
        <w:jc w:val="both"/>
        <w:rPr>
          <w:rFonts w:ascii="Times New Roman" w:eastAsia="Times New Roman" w:hAnsi="Times New Roman" w:cs="Times New Roman"/>
          <w:b/>
          <w:i/>
          <w:iCs/>
          <w:sz w:val="24"/>
          <w:szCs w:val="24"/>
        </w:rPr>
      </w:pPr>
      <w:r w:rsidRPr="00CF0F35">
        <w:rPr>
          <w:rFonts w:ascii="Times New Roman" w:eastAsia="Times New Roman" w:hAnsi="Times New Roman" w:cs="Times New Roman"/>
          <w:b/>
          <w:i/>
          <w:iCs/>
          <w:sz w:val="24"/>
          <w:szCs w:val="24"/>
        </w:rPr>
        <w:t>Study Management Tools</w:t>
      </w:r>
    </w:p>
    <w:p w14:paraId="622B0F81" w14:textId="53F0020D" w:rsidR="00CF0F35" w:rsidRDefault="000579FF" w:rsidP="000579FF">
      <w:pPr>
        <w:pStyle w:val="Normal1"/>
        <w:numPr>
          <w:ilvl w:val="0"/>
          <w:numId w:val="6"/>
        </w:numPr>
        <w:jc w:val="both"/>
        <w:rPr>
          <w:rFonts w:ascii="Times New Roman" w:eastAsia="Times New Roman" w:hAnsi="Times New Roman" w:cs="Times New Roman"/>
          <w:sz w:val="24"/>
          <w:szCs w:val="24"/>
        </w:rPr>
      </w:pPr>
      <w:r w:rsidRPr="00CF0F35">
        <w:rPr>
          <w:rFonts w:ascii="Times New Roman" w:eastAsia="Times New Roman" w:hAnsi="Times New Roman" w:cs="Times New Roman"/>
          <w:b/>
          <w:bCs/>
          <w:i/>
          <w:iCs/>
          <w:sz w:val="24"/>
          <w:szCs w:val="24"/>
        </w:rPr>
        <w:t>Participant Adherence Logbooks</w:t>
      </w:r>
      <w:r w:rsidRPr="008E003C">
        <w:rPr>
          <w:rFonts w:ascii="Times New Roman" w:eastAsia="Times New Roman" w:hAnsi="Times New Roman" w:cs="Times New Roman"/>
          <w:sz w:val="24"/>
          <w:szCs w:val="24"/>
        </w:rPr>
        <w:t>: The log book was used to track participant progress, ensuring adherence to study protocols</w:t>
      </w:r>
      <w:r w:rsidR="00CF0F35">
        <w:rPr>
          <w:rFonts w:ascii="Times New Roman" w:eastAsia="Times New Roman" w:hAnsi="Times New Roman" w:cs="Times New Roman"/>
          <w:sz w:val="24"/>
          <w:szCs w:val="24"/>
        </w:rPr>
        <w:t>.</w:t>
      </w:r>
    </w:p>
    <w:p w14:paraId="0B119111" w14:textId="77777777" w:rsidR="00CF0F35" w:rsidRDefault="000579FF" w:rsidP="000579FF">
      <w:pPr>
        <w:pStyle w:val="Normal1"/>
        <w:numPr>
          <w:ilvl w:val="0"/>
          <w:numId w:val="6"/>
        </w:numPr>
        <w:jc w:val="both"/>
        <w:rPr>
          <w:rFonts w:ascii="Times New Roman" w:eastAsia="Times New Roman" w:hAnsi="Times New Roman" w:cs="Times New Roman"/>
          <w:sz w:val="24"/>
          <w:szCs w:val="24"/>
        </w:rPr>
      </w:pPr>
      <w:r w:rsidRPr="00CF0F35">
        <w:rPr>
          <w:rFonts w:ascii="Times New Roman" w:eastAsia="Times New Roman" w:hAnsi="Times New Roman" w:cs="Times New Roman"/>
          <w:b/>
          <w:bCs/>
          <w:i/>
          <w:iCs/>
          <w:sz w:val="24"/>
          <w:szCs w:val="24"/>
        </w:rPr>
        <w:lastRenderedPageBreak/>
        <w:t>Notebook and Stationery</w:t>
      </w:r>
      <w:r w:rsidRPr="00CF0F35">
        <w:rPr>
          <w:rFonts w:ascii="Times New Roman" w:eastAsia="Times New Roman" w:hAnsi="Times New Roman" w:cs="Times New Roman"/>
          <w:sz w:val="24"/>
          <w:szCs w:val="24"/>
        </w:rPr>
        <w:t xml:space="preserve">: it was used for note-taking, record-keeping, and data collection from participants. </w:t>
      </w:r>
    </w:p>
    <w:p w14:paraId="52F001D2" w14:textId="0F64049C" w:rsidR="000579FF" w:rsidRPr="00CF0F35" w:rsidRDefault="000579FF" w:rsidP="000579FF">
      <w:pPr>
        <w:pStyle w:val="Normal1"/>
        <w:numPr>
          <w:ilvl w:val="0"/>
          <w:numId w:val="6"/>
        </w:numPr>
        <w:jc w:val="both"/>
        <w:rPr>
          <w:rFonts w:ascii="Times New Roman" w:eastAsia="Times New Roman" w:hAnsi="Times New Roman" w:cs="Times New Roman"/>
          <w:sz w:val="24"/>
          <w:szCs w:val="24"/>
        </w:rPr>
      </w:pPr>
      <w:r w:rsidRPr="00CF0F35">
        <w:rPr>
          <w:rFonts w:ascii="Times New Roman" w:eastAsia="Times New Roman" w:hAnsi="Times New Roman" w:cs="Times New Roman"/>
          <w:b/>
          <w:bCs/>
          <w:i/>
          <w:iCs/>
          <w:sz w:val="24"/>
          <w:szCs w:val="24"/>
        </w:rPr>
        <w:t>Informed Consent Forms</w:t>
      </w:r>
      <w:r w:rsidRPr="00CF0F35">
        <w:rPr>
          <w:rFonts w:ascii="Times New Roman" w:eastAsia="Times New Roman" w:hAnsi="Times New Roman" w:cs="Times New Roman"/>
          <w:sz w:val="24"/>
          <w:szCs w:val="24"/>
        </w:rPr>
        <w:t>:  It’s a document given to participant for their consent in other to ensure that they understand the study procedures, risks, and benefits.</w:t>
      </w:r>
    </w:p>
    <w:p w14:paraId="5C82BEB6" w14:textId="0F6CC282" w:rsidR="000579FF" w:rsidRPr="00CF0F35" w:rsidRDefault="000579FF" w:rsidP="000579FF">
      <w:pPr>
        <w:pStyle w:val="Normal1"/>
        <w:spacing w:before="240"/>
        <w:jc w:val="both"/>
        <w:rPr>
          <w:rFonts w:ascii="Times New Roman" w:eastAsia="Times New Roman" w:hAnsi="Times New Roman" w:cs="Times New Roman"/>
          <w:b/>
          <w:i/>
          <w:iCs/>
          <w:sz w:val="24"/>
          <w:szCs w:val="24"/>
        </w:rPr>
      </w:pPr>
      <w:r w:rsidRPr="00CF0F35">
        <w:rPr>
          <w:rFonts w:ascii="Times New Roman" w:eastAsia="Times New Roman" w:hAnsi="Times New Roman" w:cs="Times New Roman"/>
          <w:b/>
          <w:i/>
          <w:iCs/>
          <w:sz w:val="24"/>
          <w:szCs w:val="24"/>
        </w:rPr>
        <w:t>Study Population</w:t>
      </w:r>
    </w:p>
    <w:p w14:paraId="1EDB3BC3"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The study population comprises of pre-</w:t>
      </w:r>
      <w:proofErr w:type="spellStart"/>
      <w:r w:rsidRPr="008E003C">
        <w:rPr>
          <w:rFonts w:ascii="Times New Roman" w:eastAsia="Times New Roman" w:hAnsi="Times New Roman" w:cs="Times New Roman"/>
          <w:sz w:val="24"/>
          <w:szCs w:val="24"/>
        </w:rPr>
        <w:t>hepertensive</w:t>
      </w:r>
      <w:proofErr w:type="spellEnd"/>
      <w:r w:rsidRPr="008E003C">
        <w:rPr>
          <w:rFonts w:ascii="Times New Roman" w:eastAsia="Times New Roman" w:hAnsi="Times New Roman" w:cs="Times New Roman"/>
          <w:sz w:val="24"/>
          <w:szCs w:val="24"/>
        </w:rPr>
        <w:t xml:space="preserve"> individuals spanning various demographics. They are chosen due to their higher likelihood of occupational stress, sedentary lifestyle, and other factors that may contribute to hypertension.</w:t>
      </w:r>
    </w:p>
    <w:p w14:paraId="5B90740A" w14:textId="77777777" w:rsidR="000579FF" w:rsidRPr="00CF0F35" w:rsidRDefault="000579FF" w:rsidP="000579FF">
      <w:pPr>
        <w:pStyle w:val="Normal1"/>
        <w:spacing w:before="240"/>
        <w:jc w:val="both"/>
        <w:rPr>
          <w:rFonts w:ascii="Times New Roman" w:eastAsia="Times New Roman" w:hAnsi="Times New Roman" w:cs="Times New Roman"/>
          <w:b/>
          <w:i/>
          <w:iCs/>
          <w:sz w:val="24"/>
          <w:szCs w:val="24"/>
        </w:rPr>
      </w:pPr>
      <w:r w:rsidRPr="00CF0F35">
        <w:rPr>
          <w:rFonts w:ascii="Times New Roman" w:eastAsia="Times New Roman" w:hAnsi="Times New Roman" w:cs="Times New Roman"/>
          <w:b/>
          <w:i/>
          <w:iCs/>
          <w:sz w:val="24"/>
          <w:szCs w:val="24"/>
        </w:rPr>
        <w:t>Inclusion Criteria</w:t>
      </w:r>
    </w:p>
    <w:p w14:paraId="4FC0996B" w14:textId="77777777" w:rsidR="000579FF" w:rsidRPr="008E003C" w:rsidRDefault="000579FF" w:rsidP="00CF0F35">
      <w:pPr>
        <w:pStyle w:val="Normal1"/>
        <w:numPr>
          <w:ilvl w:val="0"/>
          <w:numId w:val="1"/>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Individuals that are diagnosed of pre-hypertension</w:t>
      </w:r>
    </w:p>
    <w:p w14:paraId="2ACA8C64" w14:textId="77777777" w:rsidR="000579FF" w:rsidRPr="008E003C" w:rsidRDefault="000579FF" w:rsidP="000579FF">
      <w:pPr>
        <w:pStyle w:val="Normal1"/>
        <w:numPr>
          <w:ilvl w:val="0"/>
          <w:numId w:val="1"/>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Individuals aged 40 years and above, as they are at a higher risk of hypertension.</w:t>
      </w:r>
    </w:p>
    <w:p w14:paraId="3778AF19" w14:textId="77777777" w:rsidR="000579FF" w:rsidRPr="008E003C" w:rsidRDefault="000579FF" w:rsidP="000579FF">
      <w:pPr>
        <w:pStyle w:val="Normal1"/>
        <w:numPr>
          <w:ilvl w:val="0"/>
          <w:numId w:val="1"/>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Participants with a history of elevated blood pressure</w:t>
      </w:r>
    </w:p>
    <w:p w14:paraId="2BE21299" w14:textId="77777777" w:rsidR="000579FF" w:rsidRPr="008E003C" w:rsidRDefault="000579FF" w:rsidP="000579FF">
      <w:pPr>
        <w:pStyle w:val="Normal1"/>
        <w:numPr>
          <w:ilvl w:val="0"/>
          <w:numId w:val="1"/>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Individuals who voluntarily consent to participate in the study.</w:t>
      </w:r>
    </w:p>
    <w:p w14:paraId="1AF03A1F" w14:textId="77777777" w:rsidR="000579FF" w:rsidRPr="00CF0F35" w:rsidRDefault="000579FF" w:rsidP="000579FF">
      <w:pPr>
        <w:pStyle w:val="Normal1"/>
        <w:spacing w:before="240"/>
        <w:jc w:val="both"/>
        <w:rPr>
          <w:rFonts w:ascii="Times New Roman" w:eastAsia="Times New Roman" w:hAnsi="Times New Roman" w:cs="Times New Roman"/>
          <w:b/>
          <w:i/>
          <w:iCs/>
          <w:sz w:val="24"/>
          <w:szCs w:val="24"/>
        </w:rPr>
      </w:pPr>
      <w:r w:rsidRPr="00CF0F35">
        <w:rPr>
          <w:rFonts w:ascii="Times New Roman" w:eastAsia="Times New Roman" w:hAnsi="Times New Roman" w:cs="Times New Roman"/>
          <w:b/>
          <w:i/>
          <w:iCs/>
          <w:sz w:val="24"/>
          <w:szCs w:val="24"/>
        </w:rPr>
        <w:t>Exclusion Criteria</w:t>
      </w:r>
    </w:p>
    <w:p w14:paraId="0CF27621" w14:textId="77777777" w:rsidR="000579FF" w:rsidRPr="008E003C" w:rsidRDefault="000579FF" w:rsidP="00CF0F35">
      <w:pPr>
        <w:pStyle w:val="Normal1"/>
        <w:numPr>
          <w:ilvl w:val="0"/>
          <w:numId w:val="2"/>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Individuals on antihypertensive medication that could confound study outcomes.</w:t>
      </w:r>
    </w:p>
    <w:p w14:paraId="4CAA92AD" w14:textId="77777777" w:rsidR="000579FF" w:rsidRPr="008E003C" w:rsidRDefault="000579FF" w:rsidP="000579FF">
      <w:pPr>
        <w:pStyle w:val="Normal1"/>
        <w:numPr>
          <w:ilvl w:val="0"/>
          <w:numId w:val="2"/>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Individuals with a history of cardiovascular diseases requiring medical supervision.</w:t>
      </w:r>
    </w:p>
    <w:p w14:paraId="46C9C3A6" w14:textId="77777777" w:rsidR="000579FF" w:rsidRPr="008E003C" w:rsidRDefault="000579FF" w:rsidP="000579FF">
      <w:pPr>
        <w:pStyle w:val="Normal1"/>
        <w:numPr>
          <w:ilvl w:val="0"/>
          <w:numId w:val="2"/>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Pregnant women, as pregnancy-induced hypertension follows a different pathophysiology.</w:t>
      </w:r>
    </w:p>
    <w:p w14:paraId="4563981D" w14:textId="77777777" w:rsidR="000579FF" w:rsidRPr="008E003C" w:rsidRDefault="000579FF" w:rsidP="000579FF">
      <w:pPr>
        <w:pStyle w:val="Normal1"/>
        <w:numPr>
          <w:ilvl w:val="0"/>
          <w:numId w:val="2"/>
        </w:numPr>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Individuals who are unwilling to commit to the lifestyle modification program.</w:t>
      </w:r>
    </w:p>
    <w:p w14:paraId="18CF5E17" w14:textId="6B08F73D" w:rsidR="000579FF" w:rsidRPr="00CF0F35" w:rsidRDefault="000579FF" w:rsidP="000579FF">
      <w:pPr>
        <w:pStyle w:val="Normal1"/>
        <w:spacing w:before="240"/>
        <w:jc w:val="both"/>
        <w:rPr>
          <w:rFonts w:ascii="Times New Roman" w:eastAsia="Times New Roman" w:hAnsi="Times New Roman" w:cs="Times New Roman"/>
          <w:b/>
          <w:i/>
          <w:iCs/>
          <w:sz w:val="24"/>
          <w:szCs w:val="24"/>
        </w:rPr>
      </w:pPr>
      <w:r w:rsidRPr="00CF0F35">
        <w:rPr>
          <w:rFonts w:ascii="Times New Roman" w:eastAsia="Times New Roman" w:hAnsi="Times New Roman" w:cs="Times New Roman"/>
          <w:b/>
          <w:i/>
          <w:iCs/>
          <w:sz w:val="24"/>
          <w:szCs w:val="24"/>
        </w:rPr>
        <w:t>Sample Size Determination and Sampling Technique</w:t>
      </w:r>
    </w:p>
    <w:p w14:paraId="66594BC1" w14:textId="77777777" w:rsidR="000579FF" w:rsidRPr="00CF0F35" w:rsidRDefault="000579FF" w:rsidP="00CF0F35">
      <w:pPr>
        <w:pStyle w:val="Normal1"/>
        <w:jc w:val="both"/>
        <w:rPr>
          <w:rFonts w:ascii="Times New Roman" w:eastAsia="Times New Roman" w:hAnsi="Times New Roman" w:cs="Times New Roman"/>
          <w:b/>
          <w:bCs/>
          <w:i/>
          <w:iCs/>
          <w:sz w:val="24"/>
          <w:szCs w:val="24"/>
        </w:rPr>
      </w:pPr>
      <w:r w:rsidRPr="00CF0F35">
        <w:rPr>
          <w:rFonts w:ascii="Times New Roman" w:eastAsia="Times New Roman" w:hAnsi="Times New Roman" w:cs="Times New Roman"/>
          <w:b/>
          <w:bCs/>
          <w:i/>
          <w:iCs/>
          <w:sz w:val="24"/>
          <w:szCs w:val="24"/>
        </w:rPr>
        <w:t>The sample size:</w:t>
      </w:r>
    </w:p>
    <w:p w14:paraId="0ABC1C2F"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The sample size for this study was estimated using the formula for determining the required sample size for a quantitative variable in a single group with pre- and post-intervention measurements:</w:t>
      </w:r>
    </w:p>
    <w:p w14:paraId="6D91EE38"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8E003C">
        <w:rPr>
          <w:rFonts w:ascii="Times New Roman" w:eastAsia="Times New Roman" w:hAnsi="Times New Roman" w:cs="Times New Roman"/>
          <w:sz w:val="24"/>
          <w:szCs w:val="24"/>
        </w:rPr>
        <w:t>n =</w:t>
      </w:r>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8"/>
                <w:szCs w:val="28"/>
              </w:rPr>
            </m:ctrlPr>
          </m:fPr>
          <m:num>
            <m:sSup>
              <m:sSupPr>
                <m:ctrlPr>
                  <w:rPr>
                    <w:rFonts w:ascii="Cambria Math" w:eastAsia="Times New Roman" w:hAnsi="Cambria Math" w:cs="Times New Roman"/>
                    <w:i/>
                    <w:sz w:val="28"/>
                    <w:szCs w:val="28"/>
                  </w:rPr>
                </m:ctrlPr>
              </m:sSupPr>
              <m:e>
                <m:r>
                  <m:rPr>
                    <m:sty m:val="p"/>
                  </m:rPr>
                  <w:rPr>
                    <w:rFonts w:ascii="Cambria Math" w:eastAsia="Times New Roman" w:hAnsi="Cambria Math" w:cs="Times New Roman"/>
                    <w:sz w:val="28"/>
                    <w:szCs w:val="28"/>
                  </w:rPr>
                  <m:t>(Zα/2)</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 xml:space="preserve">. </m:t>
            </m:r>
            <m:sSup>
              <m:sSupPr>
                <m:ctrlPr>
                  <w:rPr>
                    <w:rFonts w:ascii="Cambria Math" w:eastAsia="Times New Roman" w:hAnsi="Cambria Math" w:cs="Times New Roman"/>
                    <w:i/>
                    <w:sz w:val="28"/>
                    <w:szCs w:val="28"/>
                  </w:rPr>
                </m:ctrlPr>
              </m:sSupPr>
              <m:e>
                <m:r>
                  <m:rPr>
                    <m:sty m:val="p"/>
                  </m:rP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 xml:space="preserve"> </m:t>
            </m:r>
          </m:num>
          <m:den>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d</m:t>
                </m:r>
              </m:e>
              <m:sup>
                <m:r>
                  <w:rPr>
                    <w:rFonts w:ascii="Cambria Math" w:eastAsia="Times New Roman" w:hAnsi="Cambria Math" w:cs="Times New Roman"/>
                    <w:sz w:val="28"/>
                    <w:szCs w:val="28"/>
                  </w:rPr>
                  <m:t>2</m:t>
                </m:r>
              </m:sup>
            </m:sSup>
          </m:den>
        </m:f>
      </m:oMath>
      <w:r w:rsidRPr="008E003C">
        <w:rPr>
          <w:rFonts w:ascii="Times New Roman" w:eastAsia="Times New Roman" w:hAnsi="Times New Roman" w:cs="Times New Roman"/>
          <w:sz w:val="24"/>
          <w:szCs w:val="24"/>
        </w:rPr>
        <w:t xml:space="preserve"> </w:t>
      </w:r>
    </w:p>
    <w:p w14:paraId="126CCE90"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Where:</w:t>
      </w:r>
    </w:p>
    <w:p w14:paraId="733D134C" w14:textId="77777777" w:rsidR="000579FF" w:rsidRPr="008E003C" w:rsidRDefault="000579FF" w:rsidP="00CF0F35">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n = required sample size</w:t>
      </w:r>
    </w:p>
    <w:p w14:paraId="091A322A" w14:textId="77777777" w:rsidR="000579FF" w:rsidRPr="008E003C" w:rsidRDefault="000579FF" w:rsidP="00CF0F35">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Zα/2 = 1.96 is the standard normal deviate corresponding to 95% confidence level</w:t>
      </w:r>
    </w:p>
    <w:p w14:paraId="4D0329EF" w14:textId="77777777" w:rsidR="000579FF" w:rsidRPr="008E003C" w:rsidRDefault="000579FF" w:rsidP="00CF0F35">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σ = 15 mmHg is the standard deviation of systolic blood pressure from previous prehypertensive studies</w:t>
      </w:r>
    </w:p>
    <w:p w14:paraId="0D6C83E7" w14:textId="77777777" w:rsidR="000579FF" w:rsidRPr="008E003C" w:rsidRDefault="000579FF" w:rsidP="00CF0F35">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d = 2 mmHg is the minimum detectable difference (effect size) in systolic blood pressure expected after the lifestyle modification intervention</w:t>
      </w:r>
    </w:p>
    <w:p w14:paraId="170CF2BD"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Substituting the values into the formula:</w:t>
      </w:r>
    </w:p>
    <w:p w14:paraId="66C8EA84"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8E003C">
        <w:rPr>
          <w:rFonts w:ascii="Times New Roman" w:eastAsia="Times New Roman" w:hAnsi="Times New Roman" w:cs="Times New Roman"/>
          <w:sz w:val="24"/>
          <w:szCs w:val="24"/>
        </w:rPr>
        <w:t xml:space="preserve">n = </w:t>
      </w:r>
      <m:oMath>
        <m:f>
          <m:fPr>
            <m:ctrlPr>
              <w:rPr>
                <w:rFonts w:ascii="Cambria Math" w:eastAsia="Times New Roman" w:hAnsi="Cambria Math" w:cs="Times New Roman"/>
                <w:i/>
                <w:sz w:val="28"/>
                <w:szCs w:val="28"/>
              </w:rPr>
            </m:ctrlPr>
          </m:fPr>
          <m:num>
            <m:sSup>
              <m:sSupPr>
                <m:ctrlPr>
                  <w:rPr>
                    <w:rFonts w:ascii="Cambria Math" w:eastAsia="Times New Roman" w:hAnsi="Cambria Math" w:cs="Times New Roman"/>
                    <w:i/>
                    <w:sz w:val="28"/>
                    <w:szCs w:val="28"/>
                  </w:rPr>
                </m:ctrlPr>
              </m:sSupPr>
              <m:e>
                <m:r>
                  <m:rPr>
                    <m:sty m:val="p"/>
                  </m:rPr>
                  <w:rPr>
                    <w:rFonts w:ascii="Cambria Math" w:eastAsia="Times New Roman" w:hAnsi="Cambria Math" w:cs="Times New Roman"/>
                    <w:sz w:val="28"/>
                    <w:szCs w:val="28"/>
                  </w:rPr>
                  <m:t>(1.96)</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 xml:space="preserve"> x (</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15)</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 xml:space="preserve"> </m:t>
            </m:r>
          </m:num>
          <m:den>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(2)</m:t>
                </m:r>
              </m:e>
              <m:sup>
                <m:r>
                  <w:rPr>
                    <w:rFonts w:ascii="Cambria Math" w:eastAsia="Times New Roman" w:hAnsi="Cambria Math" w:cs="Times New Roman"/>
                    <w:sz w:val="28"/>
                    <w:szCs w:val="28"/>
                  </w:rPr>
                  <m:t>2</m:t>
                </m:r>
              </m:sup>
            </m:sSup>
          </m:den>
        </m:f>
      </m:oMath>
      <w:r w:rsidRPr="008E00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44D9AA16"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   n = </w:t>
      </w:r>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8"/>
                <w:szCs w:val="28"/>
              </w:rPr>
            </m:ctrlPr>
          </m:fPr>
          <m:num>
            <m:r>
              <m:rPr>
                <m:sty m:val="p"/>
              </m:rPr>
              <w:rPr>
                <w:rFonts w:ascii="Cambria Math" w:eastAsia="Times New Roman" w:hAnsi="Cambria Math" w:cs="Times New Roman"/>
                <w:sz w:val="28"/>
                <w:szCs w:val="28"/>
              </w:rPr>
              <m:t xml:space="preserve">3.8416 x 225  </m:t>
            </m:r>
          </m:num>
          <m:den>
            <m:r>
              <w:rPr>
                <w:rFonts w:ascii="Cambria Math" w:eastAsia="Times New Roman" w:hAnsi="Cambria Math" w:cs="Times New Roman"/>
                <w:sz w:val="28"/>
                <w:szCs w:val="28"/>
              </w:rPr>
              <m:t>4</m:t>
            </m:r>
          </m:den>
        </m:f>
      </m:oMath>
    </w:p>
    <w:p w14:paraId="6D5EE98D" w14:textId="77777777" w:rsidR="000579FF" w:rsidRPr="008E003C" w:rsidRDefault="000579FF" w:rsidP="00CF0F35">
      <w:pPr>
        <w:pStyle w:val="Normal1"/>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   n =</w:t>
      </w:r>
      <w:r w:rsidRPr="007510AF">
        <w:rPr>
          <w:rFonts w:ascii="Times New Roman" w:eastAsia="Times New Roman" w:hAnsi="Times New Roman" w:cs="Times New Roman"/>
          <w:sz w:val="28"/>
          <w:szCs w:val="28"/>
        </w:rPr>
        <w:t xml:space="preserve"> </w:t>
      </w:r>
      <m:oMath>
        <m:f>
          <m:fPr>
            <m:ctrlPr>
              <w:rPr>
                <w:rFonts w:ascii="Cambria Math" w:eastAsia="Times New Roman" w:hAnsi="Cambria Math" w:cs="Times New Roman"/>
                <w:i/>
                <w:sz w:val="28"/>
                <w:szCs w:val="28"/>
              </w:rPr>
            </m:ctrlPr>
          </m:fPr>
          <m:num>
            <m:r>
              <m:rPr>
                <m:sty m:val="p"/>
              </m:rPr>
              <w:rPr>
                <w:rFonts w:ascii="Cambria Math" w:eastAsia="Times New Roman" w:hAnsi="Cambria Math" w:cs="Times New Roman"/>
                <w:sz w:val="28"/>
                <w:szCs w:val="28"/>
              </w:rPr>
              <m:t xml:space="preserve">864.36  </m:t>
            </m:r>
          </m:num>
          <m:den>
            <m:r>
              <w:rPr>
                <w:rFonts w:ascii="Cambria Math" w:eastAsia="Times New Roman" w:hAnsi="Cambria Math" w:cs="Times New Roman"/>
                <w:sz w:val="28"/>
                <w:szCs w:val="28"/>
              </w:rPr>
              <m:t>4</m:t>
            </m:r>
          </m:den>
        </m:f>
        <m:r>
          <w:rPr>
            <w:rFonts w:ascii="Cambria Math" w:eastAsia="Times New Roman" w:hAnsi="Cambria Math" w:cs="Times New Roman"/>
            <w:sz w:val="28"/>
            <w:szCs w:val="28"/>
          </w:rPr>
          <m:t xml:space="preserve">   </m:t>
        </m:r>
      </m:oMath>
      <w:r w:rsidRPr="008E003C">
        <w:rPr>
          <w:rFonts w:ascii="Times New Roman" w:eastAsia="Times New Roman" w:hAnsi="Times New Roman" w:cs="Times New Roman"/>
          <w:sz w:val="24"/>
          <w:szCs w:val="24"/>
        </w:rPr>
        <w:t>= 216.09</w:t>
      </w:r>
    </w:p>
    <w:p w14:paraId="6D32C513" w14:textId="77777777" w:rsidR="000579FF" w:rsidRPr="008E003C" w:rsidRDefault="000579FF" w:rsidP="00D2161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lastRenderedPageBreak/>
        <w:t>To account for possible attrition (e.g., non-compliance or loss to follow-up), a 2% increase was added:</w:t>
      </w:r>
    </w:p>
    <w:p w14:paraId="4FBF57AC" w14:textId="77777777" w:rsidR="000579FF" w:rsidRPr="008E003C" w:rsidRDefault="000579FF" w:rsidP="00D21613">
      <w:pPr>
        <w:pStyle w:val="Normal1"/>
        <w:ind w:left="720" w:firstLine="720"/>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0"/>
          <w:id w:val="1455718248"/>
        </w:sdtPr>
        <w:sdtContent>
          <w:r w:rsidRPr="008E003C">
            <w:rPr>
              <w:rFonts w:ascii="Times New Roman" w:eastAsia="Gungsuh" w:hAnsi="Times New Roman" w:cs="Times New Roman"/>
              <w:sz w:val="24"/>
              <w:szCs w:val="24"/>
            </w:rPr>
            <w:t xml:space="preserve">   n = 216 × 1.02 ≈ 220</w:t>
          </w:r>
        </w:sdtContent>
      </w:sdt>
    </w:p>
    <w:p w14:paraId="7A933F5E" w14:textId="77777777" w:rsidR="000579FF" w:rsidRPr="008E003C" w:rsidRDefault="000579FF" w:rsidP="00D2161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Therefore, a sample size of 220 participants was determined to be adequate for the study. This ensures sufficient power to detect a statistically significant change in blood pressure after the intervention.</w:t>
      </w:r>
    </w:p>
    <w:p w14:paraId="6B01BE23" w14:textId="7BBB3BD1" w:rsidR="000579FF" w:rsidRPr="00D21613" w:rsidRDefault="000579FF" w:rsidP="00D21613">
      <w:pPr>
        <w:pStyle w:val="Normal1"/>
        <w:spacing w:line="360" w:lineRule="auto"/>
        <w:jc w:val="both"/>
        <w:rPr>
          <w:rFonts w:ascii="Times New Roman" w:eastAsia="Times New Roman" w:hAnsi="Times New Roman" w:cs="Times New Roman"/>
          <w:b/>
          <w:i/>
          <w:iCs/>
          <w:sz w:val="24"/>
          <w:szCs w:val="24"/>
        </w:rPr>
      </w:pPr>
      <w:r w:rsidRPr="00D21613">
        <w:rPr>
          <w:rFonts w:ascii="Times New Roman" w:eastAsia="Times New Roman" w:hAnsi="Times New Roman" w:cs="Times New Roman"/>
          <w:b/>
          <w:i/>
          <w:iCs/>
          <w:sz w:val="24"/>
          <w:szCs w:val="24"/>
        </w:rPr>
        <w:t>Description of Intervention (Lifestyle Modifications)</w:t>
      </w:r>
    </w:p>
    <w:p w14:paraId="3CE8273F" w14:textId="77777777" w:rsidR="000579FF" w:rsidRPr="008E003C" w:rsidRDefault="000579FF" w:rsidP="00D21613">
      <w:pPr>
        <w:pStyle w:val="Normal1"/>
        <w:spacing w:line="48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The intervention will involve three key lifestyle modifications: dietary changes, physical activity, and stress management. The intervention will span 12 weeks, with structured educational sessions and follow-up activities.</w:t>
      </w:r>
    </w:p>
    <w:p w14:paraId="31367055" w14:textId="1C09FE9F" w:rsidR="000579FF" w:rsidRPr="008E003C" w:rsidRDefault="000579FF" w:rsidP="00D21613">
      <w:pPr>
        <w:pStyle w:val="Normal1"/>
        <w:numPr>
          <w:ilvl w:val="3"/>
          <w:numId w:val="2"/>
        </w:numPr>
        <w:spacing w:line="360" w:lineRule="auto"/>
        <w:ind w:left="426"/>
        <w:jc w:val="both"/>
        <w:rPr>
          <w:rFonts w:ascii="Times New Roman" w:eastAsia="Times New Roman" w:hAnsi="Times New Roman" w:cs="Times New Roman"/>
          <w:b/>
          <w:sz w:val="24"/>
          <w:szCs w:val="24"/>
        </w:rPr>
      </w:pPr>
      <w:r w:rsidRPr="008E003C">
        <w:rPr>
          <w:rFonts w:ascii="Times New Roman" w:eastAsia="Times New Roman" w:hAnsi="Times New Roman" w:cs="Times New Roman"/>
          <w:b/>
          <w:sz w:val="24"/>
          <w:szCs w:val="24"/>
        </w:rPr>
        <w:t>Dietary Modifications</w:t>
      </w:r>
    </w:p>
    <w:p w14:paraId="10803B8F" w14:textId="77777777" w:rsidR="000579FF" w:rsidRPr="008E003C" w:rsidRDefault="000579FF" w:rsidP="00D21613">
      <w:pPr>
        <w:pStyle w:val="Normal1"/>
        <w:numPr>
          <w:ilvl w:val="0"/>
          <w:numId w:val="10"/>
        </w:numPr>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Reduction of salt and processed food intake.</w:t>
      </w:r>
    </w:p>
    <w:p w14:paraId="227985CA" w14:textId="77777777" w:rsidR="000579FF" w:rsidRPr="008E003C" w:rsidRDefault="000579FF" w:rsidP="00D21613">
      <w:pPr>
        <w:pStyle w:val="Normal1"/>
        <w:numPr>
          <w:ilvl w:val="0"/>
          <w:numId w:val="10"/>
        </w:numPr>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Increased consumption of fruits, vegetables, and whole grains.</w:t>
      </w:r>
    </w:p>
    <w:p w14:paraId="2B0E49A3" w14:textId="77777777" w:rsidR="000579FF" w:rsidRPr="008E003C" w:rsidRDefault="000579FF" w:rsidP="00D21613">
      <w:pPr>
        <w:pStyle w:val="Normal1"/>
        <w:numPr>
          <w:ilvl w:val="0"/>
          <w:numId w:val="10"/>
        </w:numPr>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Promotion of the DASH (Dietary Approaches to Stop Hypertension) diet.</w:t>
      </w:r>
    </w:p>
    <w:p w14:paraId="5E2BAEFB" w14:textId="02A886D4" w:rsidR="000579FF" w:rsidRPr="008E003C" w:rsidRDefault="000579FF" w:rsidP="00D21613">
      <w:pPr>
        <w:pStyle w:val="Normal1"/>
        <w:numPr>
          <w:ilvl w:val="3"/>
          <w:numId w:val="2"/>
        </w:numPr>
        <w:spacing w:before="240" w:line="360" w:lineRule="auto"/>
        <w:ind w:left="426"/>
        <w:jc w:val="both"/>
        <w:rPr>
          <w:rFonts w:ascii="Times New Roman" w:eastAsia="Times New Roman" w:hAnsi="Times New Roman" w:cs="Times New Roman"/>
          <w:b/>
          <w:sz w:val="24"/>
          <w:szCs w:val="24"/>
        </w:rPr>
      </w:pPr>
      <w:r w:rsidRPr="008E003C">
        <w:rPr>
          <w:rFonts w:ascii="Times New Roman" w:eastAsia="Times New Roman" w:hAnsi="Times New Roman" w:cs="Times New Roman"/>
          <w:b/>
          <w:sz w:val="24"/>
          <w:szCs w:val="24"/>
        </w:rPr>
        <w:t>Physical Activity</w:t>
      </w:r>
    </w:p>
    <w:p w14:paraId="4CE4B8F0" w14:textId="77777777" w:rsidR="000579FF" w:rsidRPr="008E003C" w:rsidRDefault="000579FF" w:rsidP="00D2161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Encouragement of at least 30 minutes of moderate-intensity exercise, five days a week.</w:t>
      </w:r>
      <w:r>
        <w:rPr>
          <w:rFonts w:ascii="Times New Roman" w:eastAsia="Times New Roman" w:hAnsi="Times New Roman" w:cs="Times New Roman"/>
          <w:sz w:val="24"/>
          <w:szCs w:val="24"/>
        </w:rPr>
        <w:t xml:space="preserve"> </w:t>
      </w:r>
      <w:r w:rsidRPr="008E003C">
        <w:rPr>
          <w:rFonts w:ascii="Times New Roman" w:eastAsia="Times New Roman" w:hAnsi="Times New Roman" w:cs="Times New Roman"/>
          <w:sz w:val="24"/>
          <w:szCs w:val="24"/>
        </w:rPr>
        <w:t>Workplace-based exercise programs such as stretching and walking meetings.</w:t>
      </w:r>
      <w:r>
        <w:rPr>
          <w:rFonts w:ascii="Times New Roman" w:eastAsia="Times New Roman" w:hAnsi="Times New Roman" w:cs="Times New Roman"/>
          <w:sz w:val="24"/>
          <w:szCs w:val="24"/>
        </w:rPr>
        <w:t xml:space="preserve"> </w:t>
      </w:r>
      <w:r w:rsidRPr="008E003C">
        <w:rPr>
          <w:rFonts w:ascii="Times New Roman" w:eastAsia="Times New Roman" w:hAnsi="Times New Roman" w:cs="Times New Roman"/>
          <w:sz w:val="24"/>
          <w:szCs w:val="24"/>
        </w:rPr>
        <w:t>Encouraging stair use instead of elevators.</w:t>
      </w:r>
    </w:p>
    <w:p w14:paraId="7D979C49" w14:textId="5159ECC7" w:rsidR="000579FF" w:rsidRPr="008E003C" w:rsidRDefault="000579FF" w:rsidP="00D21613">
      <w:pPr>
        <w:pStyle w:val="Normal1"/>
        <w:numPr>
          <w:ilvl w:val="3"/>
          <w:numId w:val="2"/>
        </w:numPr>
        <w:spacing w:line="360" w:lineRule="auto"/>
        <w:ind w:left="426"/>
        <w:jc w:val="both"/>
        <w:rPr>
          <w:rFonts w:ascii="Times New Roman" w:eastAsia="Times New Roman" w:hAnsi="Times New Roman" w:cs="Times New Roman"/>
          <w:b/>
          <w:sz w:val="24"/>
          <w:szCs w:val="24"/>
        </w:rPr>
      </w:pPr>
      <w:r w:rsidRPr="008E003C">
        <w:rPr>
          <w:rFonts w:ascii="Times New Roman" w:eastAsia="Times New Roman" w:hAnsi="Times New Roman" w:cs="Times New Roman"/>
          <w:b/>
          <w:sz w:val="24"/>
          <w:szCs w:val="24"/>
        </w:rPr>
        <w:t>Stress Management</w:t>
      </w:r>
    </w:p>
    <w:p w14:paraId="7DB52F89" w14:textId="77777777" w:rsidR="007E43E3" w:rsidRDefault="000579FF" w:rsidP="00D21613">
      <w:pPr>
        <w:pStyle w:val="Normal1"/>
        <w:numPr>
          <w:ilvl w:val="0"/>
          <w:numId w:val="11"/>
        </w:numPr>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Mindfulness and relaxation techniques (deep breathing, meditation).</w:t>
      </w:r>
      <w:r>
        <w:rPr>
          <w:rFonts w:ascii="Times New Roman" w:eastAsia="Times New Roman" w:hAnsi="Times New Roman" w:cs="Times New Roman"/>
          <w:sz w:val="24"/>
          <w:szCs w:val="24"/>
        </w:rPr>
        <w:t xml:space="preserve"> </w:t>
      </w:r>
    </w:p>
    <w:p w14:paraId="2F775186" w14:textId="77777777" w:rsidR="007E43E3" w:rsidRDefault="000579FF" w:rsidP="00D21613">
      <w:pPr>
        <w:pStyle w:val="Normal1"/>
        <w:numPr>
          <w:ilvl w:val="0"/>
          <w:numId w:val="11"/>
        </w:numPr>
        <w:spacing w:line="360" w:lineRule="auto"/>
        <w:jc w:val="both"/>
        <w:rPr>
          <w:rFonts w:ascii="Times New Roman" w:eastAsia="Times New Roman" w:hAnsi="Times New Roman" w:cs="Times New Roman"/>
          <w:sz w:val="24"/>
          <w:szCs w:val="24"/>
        </w:rPr>
      </w:pPr>
      <w:r w:rsidRPr="007E43E3">
        <w:rPr>
          <w:rFonts w:ascii="Times New Roman" w:eastAsia="Times New Roman" w:hAnsi="Times New Roman" w:cs="Times New Roman"/>
          <w:sz w:val="24"/>
          <w:szCs w:val="24"/>
        </w:rPr>
        <w:t>Time management strategies to reduce work-related stress.</w:t>
      </w:r>
    </w:p>
    <w:p w14:paraId="3A48BE44" w14:textId="1BF5602D" w:rsidR="000579FF" w:rsidRPr="007E43E3" w:rsidRDefault="000579FF" w:rsidP="00D21613">
      <w:pPr>
        <w:pStyle w:val="Normal1"/>
        <w:numPr>
          <w:ilvl w:val="0"/>
          <w:numId w:val="11"/>
        </w:numPr>
        <w:spacing w:line="360" w:lineRule="auto"/>
        <w:jc w:val="both"/>
        <w:rPr>
          <w:rFonts w:ascii="Times New Roman" w:eastAsia="Times New Roman" w:hAnsi="Times New Roman" w:cs="Times New Roman"/>
          <w:sz w:val="24"/>
          <w:szCs w:val="24"/>
        </w:rPr>
      </w:pPr>
      <w:r w:rsidRPr="007E43E3">
        <w:rPr>
          <w:rFonts w:ascii="Times New Roman" w:eastAsia="Times New Roman" w:hAnsi="Times New Roman" w:cs="Times New Roman"/>
          <w:sz w:val="24"/>
          <w:szCs w:val="24"/>
        </w:rPr>
        <w:t>Encouraging participation in social and recreational activities.</w:t>
      </w:r>
    </w:p>
    <w:p w14:paraId="13B819D6" w14:textId="77777777" w:rsidR="000579FF" w:rsidRPr="008E003C" w:rsidRDefault="000579FF" w:rsidP="00D21613">
      <w:pPr>
        <w:pStyle w:val="Normal1"/>
        <w:spacing w:before="240"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Participants received weekly counseling sessions, and adherence was monitored through self-reported logs and periodic check-ins. This intervention framework aligns with evidence-based guidelines for non-pharmacological management of hypertension.</w:t>
      </w:r>
    </w:p>
    <w:p w14:paraId="18C3E622" w14:textId="3406A37C" w:rsidR="000579FF" w:rsidRPr="008E003C" w:rsidRDefault="000579FF" w:rsidP="00D21613">
      <w:pPr>
        <w:pStyle w:val="Normal1"/>
        <w:spacing w:before="240" w:line="360" w:lineRule="auto"/>
        <w:jc w:val="both"/>
        <w:rPr>
          <w:rFonts w:ascii="Times New Roman" w:eastAsia="Times New Roman" w:hAnsi="Times New Roman" w:cs="Times New Roman"/>
          <w:b/>
          <w:sz w:val="24"/>
          <w:szCs w:val="24"/>
        </w:rPr>
      </w:pPr>
      <w:r w:rsidRPr="008E003C">
        <w:rPr>
          <w:rFonts w:ascii="Times New Roman" w:eastAsia="Times New Roman" w:hAnsi="Times New Roman" w:cs="Times New Roman"/>
          <w:b/>
          <w:sz w:val="24"/>
          <w:szCs w:val="24"/>
        </w:rPr>
        <w:t>Ethical Considerations</w:t>
      </w:r>
    </w:p>
    <w:p w14:paraId="2E607374" w14:textId="77777777" w:rsidR="000579FF" w:rsidRPr="008E003C" w:rsidRDefault="000579FF" w:rsidP="007E43E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 xml:space="preserve">Ethical approval was obtained from the chairman of ethics committee of Basic Medical Science Delta State University </w:t>
      </w:r>
      <w:proofErr w:type="spellStart"/>
      <w:r w:rsidRPr="008E003C">
        <w:rPr>
          <w:rFonts w:ascii="Times New Roman" w:eastAsia="Times New Roman" w:hAnsi="Times New Roman" w:cs="Times New Roman"/>
          <w:sz w:val="24"/>
          <w:szCs w:val="24"/>
        </w:rPr>
        <w:t>Abraka</w:t>
      </w:r>
      <w:proofErr w:type="spellEnd"/>
      <w:r w:rsidRPr="008E003C">
        <w:rPr>
          <w:rFonts w:ascii="Times New Roman" w:eastAsia="Times New Roman" w:hAnsi="Times New Roman" w:cs="Times New Roman"/>
          <w:sz w:val="24"/>
          <w:szCs w:val="24"/>
        </w:rPr>
        <w:t>. Participants were informed of the purpose and nature of the study and gave written informed consent.</w:t>
      </w:r>
    </w:p>
    <w:p w14:paraId="4539FF75" w14:textId="77777777" w:rsidR="000579FF" w:rsidRPr="008E003C" w:rsidRDefault="000579FF" w:rsidP="007E43E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lastRenderedPageBreak/>
        <w:t>Written informed consent was obtained from all participants, detailing the study’s purpose, procedures, potential risks, and benefits. Participant confidentiality was ensured by assigning unique identifiers instead of personal information.</w:t>
      </w:r>
    </w:p>
    <w:p w14:paraId="5D0A0EEF" w14:textId="77777777" w:rsidR="000579FF" w:rsidRPr="008E003C" w:rsidRDefault="000579FF" w:rsidP="007E43E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Participation was voluntary, and individuals may withdraw at any stage without consequences. Measures were in place to minimize risks, including professional supervision for physical activity components to prevent injury.</w:t>
      </w:r>
    </w:p>
    <w:p w14:paraId="65EBC216" w14:textId="318C62C4" w:rsidR="000579FF" w:rsidRPr="007E43E3" w:rsidRDefault="000579FF" w:rsidP="007E43E3">
      <w:pPr>
        <w:pStyle w:val="Normal1"/>
        <w:spacing w:line="360" w:lineRule="auto"/>
        <w:jc w:val="both"/>
        <w:rPr>
          <w:rFonts w:ascii="Times New Roman" w:eastAsia="Times New Roman" w:hAnsi="Times New Roman" w:cs="Times New Roman"/>
          <w:b/>
          <w:i/>
          <w:iCs/>
          <w:sz w:val="24"/>
          <w:szCs w:val="24"/>
        </w:rPr>
      </w:pPr>
      <w:r w:rsidRPr="007E43E3">
        <w:rPr>
          <w:rFonts w:ascii="Times New Roman" w:eastAsia="Times New Roman" w:hAnsi="Times New Roman" w:cs="Times New Roman"/>
          <w:b/>
          <w:i/>
          <w:iCs/>
          <w:sz w:val="24"/>
          <w:szCs w:val="24"/>
        </w:rPr>
        <w:t>Data Collection Methods</w:t>
      </w:r>
    </w:p>
    <w:p w14:paraId="2081A8FA" w14:textId="77777777" w:rsidR="000579FF" w:rsidRPr="007E43E3" w:rsidRDefault="000579FF" w:rsidP="007E43E3">
      <w:pPr>
        <w:pStyle w:val="Normal1"/>
        <w:spacing w:line="360" w:lineRule="auto"/>
        <w:jc w:val="both"/>
        <w:rPr>
          <w:rFonts w:ascii="Times New Roman" w:eastAsia="Times New Roman" w:hAnsi="Times New Roman" w:cs="Times New Roman"/>
          <w:b/>
          <w:i/>
          <w:iCs/>
          <w:sz w:val="24"/>
          <w:szCs w:val="24"/>
        </w:rPr>
      </w:pPr>
      <w:r w:rsidRPr="007E43E3">
        <w:rPr>
          <w:rFonts w:ascii="Times New Roman" w:eastAsia="Times New Roman" w:hAnsi="Times New Roman" w:cs="Times New Roman"/>
          <w:b/>
          <w:i/>
          <w:iCs/>
          <w:sz w:val="24"/>
          <w:szCs w:val="24"/>
        </w:rPr>
        <w:t>Blood Pressure Measurement</w:t>
      </w:r>
    </w:p>
    <w:p w14:paraId="293C3046" w14:textId="77777777" w:rsidR="000579FF" w:rsidRPr="008E003C" w:rsidRDefault="000579FF" w:rsidP="007E43E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Blood pressure was measured using a validated digital or manual sphygmomanometer. Measurements were taken at baseline (pre-intervention), every four weeks during the intervention, and post-intervention at 12 weeks.</w:t>
      </w:r>
    </w:p>
    <w:p w14:paraId="0514C2C7" w14:textId="77777777" w:rsidR="000579FF" w:rsidRPr="008E003C" w:rsidRDefault="000579FF" w:rsidP="007E43E3">
      <w:pPr>
        <w:pStyle w:val="Normal1"/>
        <w:spacing w:line="360" w:lineRule="auto"/>
        <w:jc w:val="both"/>
        <w:rPr>
          <w:rFonts w:ascii="Times New Roman" w:eastAsia="Times New Roman" w:hAnsi="Times New Roman" w:cs="Times New Roman"/>
          <w:sz w:val="24"/>
          <w:szCs w:val="24"/>
        </w:rPr>
      </w:pPr>
      <w:r w:rsidRPr="008E003C">
        <w:rPr>
          <w:rFonts w:ascii="Times New Roman" w:eastAsia="Times New Roman" w:hAnsi="Times New Roman" w:cs="Times New Roman"/>
          <w:sz w:val="24"/>
          <w:szCs w:val="24"/>
        </w:rPr>
        <w:t>To ensure accuracy, measurements were taken in a seated position after five minutes of rest. At least two readings were recorded, with a one-minute interval between readings. The average of the two readings was used for analysis.</w:t>
      </w:r>
    </w:p>
    <w:p w14:paraId="573D219C" w14:textId="5474E403" w:rsidR="000579FF" w:rsidRPr="007E43E3" w:rsidRDefault="000579FF" w:rsidP="007E43E3">
      <w:pPr>
        <w:pStyle w:val="Normal1"/>
        <w:spacing w:line="360" w:lineRule="auto"/>
        <w:jc w:val="both"/>
        <w:rPr>
          <w:rFonts w:ascii="Times New Roman" w:eastAsia="Times New Roman" w:hAnsi="Times New Roman" w:cs="Times New Roman"/>
          <w:b/>
          <w:i/>
          <w:iCs/>
          <w:sz w:val="24"/>
          <w:szCs w:val="24"/>
        </w:rPr>
      </w:pPr>
      <w:r w:rsidRPr="007E43E3">
        <w:rPr>
          <w:rFonts w:ascii="Times New Roman" w:eastAsia="Times New Roman" w:hAnsi="Times New Roman" w:cs="Times New Roman"/>
          <w:b/>
          <w:i/>
          <w:iCs/>
          <w:sz w:val="24"/>
          <w:szCs w:val="24"/>
        </w:rPr>
        <w:t>Lifestyle Assessment</w:t>
      </w:r>
      <w:r w:rsidR="007E43E3">
        <w:rPr>
          <w:rFonts w:ascii="Times New Roman" w:eastAsia="Times New Roman" w:hAnsi="Times New Roman" w:cs="Times New Roman"/>
          <w:b/>
          <w:i/>
          <w:iCs/>
          <w:sz w:val="24"/>
          <w:szCs w:val="24"/>
        </w:rPr>
        <w:t xml:space="preserve">: </w:t>
      </w:r>
      <w:r w:rsidRPr="008E003C">
        <w:rPr>
          <w:rFonts w:ascii="Times New Roman" w:eastAsia="Times New Roman" w:hAnsi="Times New Roman" w:cs="Times New Roman"/>
          <w:sz w:val="24"/>
          <w:szCs w:val="24"/>
        </w:rPr>
        <w:t>A structured questionnaire was administered to assess baseline lifestyle behaviors, including dietary habits, physical activity levels, and stress management practices. This questionnaire was adapted from validated lifestyle assessment tools, such as the WHO STEPS survey.</w:t>
      </w:r>
    </w:p>
    <w:p w14:paraId="17E546E5" w14:textId="62DC65FA" w:rsidR="000579FF" w:rsidRPr="007E43E3" w:rsidRDefault="000579FF" w:rsidP="007E43E3">
      <w:pPr>
        <w:pStyle w:val="Normal1"/>
        <w:spacing w:line="360" w:lineRule="auto"/>
        <w:jc w:val="both"/>
        <w:rPr>
          <w:rFonts w:ascii="Times New Roman" w:eastAsia="Times New Roman" w:hAnsi="Times New Roman" w:cs="Times New Roman"/>
          <w:b/>
          <w:i/>
          <w:iCs/>
          <w:sz w:val="24"/>
          <w:szCs w:val="24"/>
        </w:rPr>
      </w:pPr>
      <w:r w:rsidRPr="007E43E3">
        <w:rPr>
          <w:rFonts w:ascii="Times New Roman" w:eastAsia="Times New Roman" w:hAnsi="Times New Roman" w:cs="Times New Roman"/>
          <w:b/>
          <w:i/>
          <w:iCs/>
          <w:sz w:val="24"/>
          <w:szCs w:val="24"/>
        </w:rPr>
        <w:t>Adherence Monitoring</w:t>
      </w:r>
      <w:r w:rsidR="007E43E3">
        <w:rPr>
          <w:rFonts w:ascii="Times New Roman" w:eastAsia="Times New Roman" w:hAnsi="Times New Roman" w:cs="Times New Roman"/>
          <w:b/>
          <w:i/>
          <w:iCs/>
          <w:sz w:val="24"/>
          <w:szCs w:val="24"/>
        </w:rPr>
        <w:t xml:space="preserve">: </w:t>
      </w:r>
      <w:r w:rsidRPr="008E003C">
        <w:rPr>
          <w:rFonts w:ascii="Times New Roman" w:eastAsia="Times New Roman" w:hAnsi="Times New Roman" w:cs="Times New Roman"/>
          <w:sz w:val="24"/>
          <w:szCs w:val="24"/>
        </w:rPr>
        <w:t>Participants were required to maintain logs documenting dietary intake, physical activity, and stress management practices. Weekly check-ins were conducted to reinforce adherence.</w:t>
      </w:r>
    </w:p>
    <w:p w14:paraId="36BE84B8" w14:textId="5BCDE9F4" w:rsidR="000579FF" w:rsidRPr="007E43E3" w:rsidRDefault="000579FF" w:rsidP="007E43E3">
      <w:pPr>
        <w:pStyle w:val="Normal1"/>
        <w:spacing w:line="360" w:lineRule="auto"/>
        <w:jc w:val="both"/>
        <w:rPr>
          <w:rFonts w:ascii="Times New Roman" w:eastAsia="Times New Roman" w:hAnsi="Times New Roman" w:cs="Times New Roman"/>
          <w:b/>
          <w:i/>
          <w:iCs/>
          <w:sz w:val="24"/>
          <w:szCs w:val="24"/>
        </w:rPr>
      </w:pPr>
      <w:r w:rsidRPr="007E43E3">
        <w:rPr>
          <w:rFonts w:ascii="Times New Roman" w:eastAsia="Times New Roman" w:hAnsi="Times New Roman" w:cs="Times New Roman"/>
          <w:b/>
          <w:i/>
          <w:iCs/>
          <w:sz w:val="24"/>
          <w:szCs w:val="24"/>
        </w:rPr>
        <w:t>Qualitative Feedback</w:t>
      </w:r>
      <w:r w:rsidR="007E43E3">
        <w:rPr>
          <w:rFonts w:ascii="Times New Roman" w:eastAsia="Times New Roman" w:hAnsi="Times New Roman" w:cs="Times New Roman"/>
          <w:b/>
          <w:i/>
          <w:iCs/>
          <w:sz w:val="24"/>
          <w:szCs w:val="24"/>
        </w:rPr>
        <w:t xml:space="preserve">: </w:t>
      </w:r>
      <w:r w:rsidRPr="008E003C">
        <w:rPr>
          <w:rFonts w:ascii="Times New Roman" w:eastAsia="Times New Roman" w:hAnsi="Times New Roman" w:cs="Times New Roman"/>
          <w:sz w:val="24"/>
          <w:szCs w:val="24"/>
        </w:rPr>
        <w:t>Focus group discussions were conducted post-intervention to gather participant feedback on challenges and facilitators of adherence to lifestyle modifications.</w:t>
      </w:r>
    </w:p>
    <w:p w14:paraId="42D30F9B" w14:textId="77777777" w:rsidR="007E43E3" w:rsidRDefault="007E43E3" w:rsidP="00D21613">
      <w:pPr>
        <w:spacing w:line="480" w:lineRule="auto"/>
        <w:jc w:val="both"/>
        <w:rPr>
          <w:rFonts w:ascii="Times New Roman" w:hAnsi="Times New Roman" w:cs="Times New Roman"/>
          <w:b/>
          <w:i/>
          <w:iCs/>
          <w:sz w:val="24"/>
          <w:szCs w:val="24"/>
        </w:rPr>
      </w:pPr>
    </w:p>
    <w:p w14:paraId="4C34B6E2" w14:textId="77777777" w:rsidR="007E43E3" w:rsidRDefault="007E43E3" w:rsidP="00D21613">
      <w:pPr>
        <w:spacing w:line="480" w:lineRule="auto"/>
        <w:jc w:val="both"/>
        <w:rPr>
          <w:rFonts w:ascii="Times New Roman" w:hAnsi="Times New Roman" w:cs="Times New Roman"/>
          <w:b/>
          <w:i/>
          <w:iCs/>
          <w:sz w:val="24"/>
          <w:szCs w:val="24"/>
        </w:rPr>
      </w:pPr>
    </w:p>
    <w:p w14:paraId="64145E6D" w14:textId="0034FA99" w:rsidR="00D21613" w:rsidRPr="007E43E3" w:rsidRDefault="00D21613" w:rsidP="007E43E3">
      <w:pPr>
        <w:spacing w:after="0" w:line="480" w:lineRule="auto"/>
        <w:jc w:val="both"/>
        <w:rPr>
          <w:rFonts w:ascii="Times New Roman" w:hAnsi="Times New Roman" w:cs="Times New Roman"/>
          <w:b/>
          <w:i/>
          <w:iCs/>
          <w:sz w:val="24"/>
          <w:szCs w:val="24"/>
        </w:rPr>
      </w:pPr>
      <w:r w:rsidRPr="00D21613">
        <w:rPr>
          <w:rFonts w:ascii="Times New Roman" w:hAnsi="Times New Roman" w:cs="Times New Roman"/>
          <w:b/>
          <w:i/>
          <w:iCs/>
          <w:sz w:val="24"/>
          <w:szCs w:val="24"/>
        </w:rPr>
        <w:t>RESULT</w:t>
      </w:r>
    </w:p>
    <w:p w14:paraId="7C7775A7" w14:textId="77777777" w:rsidR="00D21613" w:rsidRPr="00DF7FEF" w:rsidRDefault="00D21613" w:rsidP="007E43E3">
      <w:pPr>
        <w:spacing w:after="0" w:line="480" w:lineRule="auto"/>
        <w:jc w:val="both"/>
        <w:rPr>
          <w:rFonts w:ascii="Times New Roman" w:hAnsi="Times New Roman" w:cs="Times New Roman"/>
          <w:sz w:val="24"/>
          <w:szCs w:val="24"/>
        </w:rPr>
      </w:pPr>
      <w:r w:rsidRPr="00DF7FEF">
        <w:rPr>
          <w:rFonts w:ascii="Times New Roman" w:hAnsi="Times New Roman" w:cs="Times New Roman"/>
          <w:sz w:val="24"/>
          <w:szCs w:val="24"/>
        </w:rPr>
        <w:t xml:space="preserve">This chapter presents the analysis of data collected to evaluate the effect of lifestyle modification on blood pressure among prehypertensive individuals at Federal Medical Centre Asaba. It includes both descriptive and inferential statistical methods to summarize 220 participant characteristics, compare blood pressure measurements before and after the </w:t>
      </w:r>
      <w:r w:rsidRPr="00DF7FEF">
        <w:rPr>
          <w:rFonts w:ascii="Times New Roman" w:hAnsi="Times New Roman" w:cs="Times New Roman"/>
          <w:sz w:val="24"/>
          <w:szCs w:val="24"/>
        </w:rPr>
        <w:lastRenderedPageBreak/>
        <w:t>intervention, and test the study hypothesis. The results provide insight into the impact of lifestyle changes on managing prehypertension within the study population.</w:t>
      </w:r>
    </w:p>
    <w:p w14:paraId="0DE983C1" w14:textId="77777777" w:rsidR="00D21613" w:rsidRPr="007E43E3" w:rsidRDefault="00D21613" w:rsidP="007E43E3">
      <w:pPr>
        <w:spacing w:after="0" w:line="480" w:lineRule="auto"/>
        <w:jc w:val="both"/>
        <w:rPr>
          <w:rFonts w:ascii="Times New Roman" w:hAnsi="Times New Roman" w:cs="Times New Roman"/>
          <w:b/>
          <w:bCs/>
          <w:sz w:val="24"/>
          <w:szCs w:val="24"/>
        </w:rPr>
      </w:pPr>
      <w:r w:rsidRPr="007E43E3">
        <w:rPr>
          <w:rFonts w:ascii="Times New Roman" w:hAnsi="Times New Roman" w:cs="Times New Roman"/>
          <w:b/>
          <w:bCs/>
          <w:sz w:val="24"/>
          <w:szCs w:val="24"/>
        </w:rPr>
        <w:t>Demographic Characteristics using Descriptive Statistics</w:t>
      </w:r>
    </w:p>
    <w:p w14:paraId="52702ECC" w14:textId="77777777" w:rsidR="00D21613" w:rsidRPr="00DF7FEF" w:rsidRDefault="00D21613" w:rsidP="00D21613">
      <w:pPr>
        <w:spacing w:line="480" w:lineRule="auto"/>
        <w:jc w:val="both"/>
        <w:rPr>
          <w:rFonts w:ascii="Times New Roman" w:hAnsi="Times New Roman" w:cs="Times New Roman"/>
          <w:sz w:val="24"/>
          <w:szCs w:val="24"/>
        </w:rPr>
      </w:pPr>
      <w:r w:rsidRPr="00DF7FEF">
        <w:rPr>
          <w:rFonts w:ascii="Times New Roman" w:hAnsi="Times New Roman" w:cs="Times New Roman"/>
          <w:sz w:val="24"/>
          <w:szCs w:val="24"/>
        </w:rPr>
        <w:t>This study involves a total of 220 participants from Federal Medical Centre Asaba, that has prehypertensive individuals who have undergone lifestyle modifications. The participants represent a diverse mix of age groups, genders, and occupational roles within the university community, providing a broad demographic base for analysis.</w:t>
      </w:r>
    </w:p>
    <w:p w14:paraId="34C01DFA" w14:textId="23AF4D6C" w:rsidR="00D21613" w:rsidRPr="00DF7FEF" w:rsidRDefault="00D21613" w:rsidP="00D21613">
      <w:pPr>
        <w:spacing w:line="240" w:lineRule="auto"/>
        <w:jc w:val="both"/>
        <w:outlineLvl w:val="2"/>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Table 1: Demographic Statistics of Participants (n=220)</w:t>
      </w:r>
    </w:p>
    <w:tbl>
      <w:tblPr>
        <w:tblStyle w:val="TableGrid"/>
        <w:tblW w:w="0" w:type="auto"/>
        <w:jc w:val="center"/>
        <w:tblLook w:val="04A0" w:firstRow="1" w:lastRow="0" w:firstColumn="1" w:lastColumn="0" w:noHBand="0" w:noVBand="1"/>
      </w:tblPr>
      <w:tblGrid>
        <w:gridCol w:w="1436"/>
        <w:gridCol w:w="1309"/>
        <w:gridCol w:w="1310"/>
        <w:gridCol w:w="1349"/>
      </w:tblGrid>
      <w:tr w:rsidR="00D21613" w:rsidRPr="00DF7FEF" w14:paraId="1527FCEE" w14:textId="77777777" w:rsidTr="006F3AF4">
        <w:trPr>
          <w:jc w:val="center"/>
        </w:trPr>
        <w:tc>
          <w:tcPr>
            <w:tcW w:w="0" w:type="auto"/>
            <w:tcBorders>
              <w:left w:val="nil"/>
              <w:bottom w:val="single" w:sz="4" w:space="0" w:color="auto"/>
            </w:tcBorders>
            <w:hideMark/>
          </w:tcPr>
          <w:p w14:paraId="494ADFCE"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Variable</w:t>
            </w:r>
          </w:p>
        </w:tc>
        <w:tc>
          <w:tcPr>
            <w:tcW w:w="0" w:type="auto"/>
            <w:tcBorders>
              <w:bottom w:val="single" w:sz="4" w:space="0" w:color="auto"/>
            </w:tcBorders>
            <w:hideMark/>
          </w:tcPr>
          <w:p w14:paraId="5878AF76"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Categories</w:t>
            </w:r>
          </w:p>
        </w:tc>
        <w:tc>
          <w:tcPr>
            <w:tcW w:w="0" w:type="auto"/>
            <w:tcBorders>
              <w:bottom w:val="single" w:sz="4" w:space="0" w:color="auto"/>
            </w:tcBorders>
            <w:hideMark/>
          </w:tcPr>
          <w:p w14:paraId="28F0229A"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Frequency</w:t>
            </w:r>
          </w:p>
        </w:tc>
        <w:tc>
          <w:tcPr>
            <w:tcW w:w="0" w:type="auto"/>
            <w:tcBorders>
              <w:bottom w:val="single" w:sz="4" w:space="0" w:color="auto"/>
              <w:right w:val="nil"/>
            </w:tcBorders>
            <w:hideMark/>
          </w:tcPr>
          <w:p w14:paraId="1F6C3488"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Percentage</w:t>
            </w:r>
          </w:p>
        </w:tc>
      </w:tr>
      <w:tr w:rsidR="00D21613" w:rsidRPr="00DF7FEF" w14:paraId="1F51732E" w14:textId="77777777" w:rsidTr="006F3AF4">
        <w:trPr>
          <w:jc w:val="center"/>
        </w:trPr>
        <w:tc>
          <w:tcPr>
            <w:tcW w:w="0" w:type="auto"/>
            <w:tcBorders>
              <w:top w:val="single" w:sz="4" w:space="0" w:color="auto"/>
              <w:left w:val="nil"/>
              <w:bottom w:val="nil"/>
              <w:right w:val="nil"/>
            </w:tcBorders>
            <w:hideMark/>
          </w:tcPr>
          <w:p w14:paraId="3A1F00C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Sex</w:t>
            </w:r>
          </w:p>
        </w:tc>
        <w:tc>
          <w:tcPr>
            <w:tcW w:w="0" w:type="auto"/>
            <w:tcBorders>
              <w:top w:val="single" w:sz="4" w:space="0" w:color="auto"/>
              <w:left w:val="nil"/>
              <w:bottom w:val="nil"/>
              <w:right w:val="nil"/>
            </w:tcBorders>
            <w:hideMark/>
          </w:tcPr>
          <w:p w14:paraId="526E266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Male</w:t>
            </w:r>
          </w:p>
        </w:tc>
        <w:tc>
          <w:tcPr>
            <w:tcW w:w="0" w:type="auto"/>
            <w:tcBorders>
              <w:top w:val="single" w:sz="4" w:space="0" w:color="auto"/>
              <w:left w:val="nil"/>
              <w:bottom w:val="nil"/>
              <w:right w:val="nil"/>
            </w:tcBorders>
            <w:hideMark/>
          </w:tcPr>
          <w:p w14:paraId="66C492F6"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122</w:t>
            </w:r>
          </w:p>
        </w:tc>
        <w:tc>
          <w:tcPr>
            <w:tcW w:w="0" w:type="auto"/>
            <w:tcBorders>
              <w:top w:val="single" w:sz="4" w:space="0" w:color="auto"/>
              <w:left w:val="nil"/>
              <w:bottom w:val="nil"/>
              <w:right w:val="nil"/>
            </w:tcBorders>
            <w:hideMark/>
          </w:tcPr>
          <w:p w14:paraId="1E46DB2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54.5%</w:t>
            </w:r>
          </w:p>
        </w:tc>
      </w:tr>
      <w:tr w:rsidR="00D21613" w:rsidRPr="00DF7FEF" w14:paraId="144BABDE" w14:textId="77777777" w:rsidTr="006F3AF4">
        <w:trPr>
          <w:jc w:val="center"/>
        </w:trPr>
        <w:tc>
          <w:tcPr>
            <w:tcW w:w="0" w:type="auto"/>
            <w:tcBorders>
              <w:top w:val="nil"/>
              <w:left w:val="nil"/>
              <w:bottom w:val="nil"/>
              <w:right w:val="nil"/>
            </w:tcBorders>
            <w:hideMark/>
          </w:tcPr>
          <w:p w14:paraId="12BC7EA9"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0" w:type="auto"/>
            <w:tcBorders>
              <w:top w:val="nil"/>
              <w:left w:val="nil"/>
              <w:bottom w:val="nil"/>
              <w:right w:val="nil"/>
            </w:tcBorders>
            <w:hideMark/>
          </w:tcPr>
          <w:p w14:paraId="6453CFC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Female</w:t>
            </w:r>
          </w:p>
        </w:tc>
        <w:tc>
          <w:tcPr>
            <w:tcW w:w="0" w:type="auto"/>
            <w:tcBorders>
              <w:top w:val="nil"/>
              <w:left w:val="nil"/>
              <w:bottom w:val="nil"/>
              <w:right w:val="nil"/>
            </w:tcBorders>
            <w:hideMark/>
          </w:tcPr>
          <w:p w14:paraId="7E5773A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98</w:t>
            </w:r>
          </w:p>
        </w:tc>
        <w:tc>
          <w:tcPr>
            <w:tcW w:w="0" w:type="auto"/>
            <w:tcBorders>
              <w:top w:val="nil"/>
              <w:left w:val="nil"/>
              <w:bottom w:val="nil"/>
              <w:right w:val="nil"/>
            </w:tcBorders>
            <w:hideMark/>
          </w:tcPr>
          <w:p w14:paraId="7BFC2CB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44.5%</w:t>
            </w:r>
          </w:p>
        </w:tc>
      </w:tr>
      <w:tr w:rsidR="00D21613" w:rsidRPr="00DF7FEF" w14:paraId="32E99E28" w14:textId="77777777" w:rsidTr="006F3AF4">
        <w:trPr>
          <w:jc w:val="center"/>
        </w:trPr>
        <w:tc>
          <w:tcPr>
            <w:tcW w:w="0" w:type="auto"/>
            <w:tcBorders>
              <w:top w:val="nil"/>
              <w:left w:val="nil"/>
              <w:bottom w:val="nil"/>
              <w:right w:val="nil"/>
            </w:tcBorders>
            <w:hideMark/>
          </w:tcPr>
          <w:p w14:paraId="360D1939"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Age (Years)</w:t>
            </w:r>
          </w:p>
        </w:tc>
        <w:tc>
          <w:tcPr>
            <w:tcW w:w="0" w:type="auto"/>
            <w:tcBorders>
              <w:top w:val="nil"/>
              <w:left w:val="nil"/>
              <w:bottom w:val="nil"/>
              <w:right w:val="nil"/>
            </w:tcBorders>
            <w:hideMark/>
          </w:tcPr>
          <w:p w14:paraId="2F8D74A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40-44</w:t>
            </w:r>
          </w:p>
        </w:tc>
        <w:tc>
          <w:tcPr>
            <w:tcW w:w="0" w:type="auto"/>
            <w:tcBorders>
              <w:top w:val="nil"/>
              <w:left w:val="nil"/>
              <w:bottom w:val="nil"/>
              <w:right w:val="nil"/>
            </w:tcBorders>
            <w:hideMark/>
          </w:tcPr>
          <w:p w14:paraId="60C1E9F0"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94</w:t>
            </w:r>
          </w:p>
        </w:tc>
        <w:tc>
          <w:tcPr>
            <w:tcW w:w="0" w:type="auto"/>
            <w:tcBorders>
              <w:top w:val="nil"/>
              <w:left w:val="nil"/>
              <w:bottom w:val="nil"/>
              <w:right w:val="nil"/>
            </w:tcBorders>
            <w:hideMark/>
          </w:tcPr>
          <w:p w14:paraId="0A3874E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42.7%</w:t>
            </w:r>
          </w:p>
        </w:tc>
      </w:tr>
      <w:tr w:rsidR="00D21613" w:rsidRPr="00DF7FEF" w14:paraId="3AA7FC9D" w14:textId="77777777" w:rsidTr="006F3AF4">
        <w:trPr>
          <w:jc w:val="center"/>
        </w:trPr>
        <w:tc>
          <w:tcPr>
            <w:tcW w:w="0" w:type="auto"/>
            <w:tcBorders>
              <w:top w:val="nil"/>
              <w:left w:val="nil"/>
              <w:bottom w:val="nil"/>
              <w:right w:val="nil"/>
            </w:tcBorders>
            <w:hideMark/>
          </w:tcPr>
          <w:p w14:paraId="47652F03"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0" w:type="auto"/>
            <w:tcBorders>
              <w:top w:val="nil"/>
              <w:left w:val="nil"/>
              <w:bottom w:val="nil"/>
              <w:right w:val="nil"/>
            </w:tcBorders>
            <w:hideMark/>
          </w:tcPr>
          <w:p w14:paraId="0FC94EB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45-49</w:t>
            </w:r>
          </w:p>
        </w:tc>
        <w:tc>
          <w:tcPr>
            <w:tcW w:w="0" w:type="auto"/>
            <w:tcBorders>
              <w:top w:val="nil"/>
              <w:left w:val="nil"/>
              <w:bottom w:val="nil"/>
              <w:right w:val="nil"/>
            </w:tcBorders>
            <w:hideMark/>
          </w:tcPr>
          <w:p w14:paraId="38DCDCE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72</w:t>
            </w:r>
          </w:p>
        </w:tc>
        <w:tc>
          <w:tcPr>
            <w:tcW w:w="0" w:type="auto"/>
            <w:tcBorders>
              <w:top w:val="nil"/>
              <w:left w:val="nil"/>
              <w:bottom w:val="nil"/>
              <w:right w:val="nil"/>
            </w:tcBorders>
            <w:hideMark/>
          </w:tcPr>
          <w:p w14:paraId="0C1271E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32.7%</w:t>
            </w:r>
          </w:p>
        </w:tc>
      </w:tr>
      <w:tr w:rsidR="00D21613" w:rsidRPr="00DF7FEF" w14:paraId="0CEB537A" w14:textId="77777777" w:rsidTr="006F3AF4">
        <w:trPr>
          <w:jc w:val="center"/>
        </w:trPr>
        <w:tc>
          <w:tcPr>
            <w:tcW w:w="0" w:type="auto"/>
            <w:tcBorders>
              <w:top w:val="nil"/>
              <w:left w:val="nil"/>
              <w:bottom w:val="single" w:sz="4" w:space="0" w:color="auto"/>
              <w:right w:val="nil"/>
            </w:tcBorders>
            <w:hideMark/>
          </w:tcPr>
          <w:p w14:paraId="5992E322"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0" w:type="auto"/>
            <w:tcBorders>
              <w:top w:val="nil"/>
              <w:left w:val="nil"/>
              <w:bottom w:val="single" w:sz="4" w:space="0" w:color="auto"/>
              <w:right w:val="nil"/>
            </w:tcBorders>
            <w:hideMark/>
          </w:tcPr>
          <w:p w14:paraId="73206FD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50-55</w:t>
            </w:r>
          </w:p>
        </w:tc>
        <w:tc>
          <w:tcPr>
            <w:tcW w:w="0" w:type="auto"/>
            <w:tcBorders>
              <w:top w:val="nil"/>
              <w:left w:val="nil"/>
              <w:bottom w:val="single" w:sz="4" w:space="0" w:color="auto"/>
              <w:right w:val="nil"/>
            </w:tcBorders>
            <w:hideMark/>
          </w:tcPr>
          <w:p w14:paraId="3E7022F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54</w:t>
            </w:r>
          </w:p>
        </w:tc>
        <w:tc>
          <w:tcPr>
            <w:tcW w:w="0" w:type="auto"/>
            <w:tcBorders>
              <w:top w:val="nil"/>
              <w:left w:val="nil"/>
              <w:bottom w:val="single" w:sz="4" w:space="0" w:color="auto"/>
              <w:right w:val="nil"/>
            </w:tcBorders>
            <w:hideMark/>
          </w:tcPr>
          <w:p w14:paraId="6EFA21B0"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24.5%</w:t>
            </w:r>
          </w:p>
        </w:tc>
      </w:tr>
    </w:tbl>
    <w:p w14:paraId="3AEE3095" w14:textId="77777777" w:rsidR="00D21613" w:rsidRPr="00DF7FEF" w:rsidRDefault="00D21613" w:rsidP="007E43E3">
      <w:pPr>
        <w:spacing w:after="0" w:line="480" w:lineRule="auto"/>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Statistical Interpretation:</w:t>
      </w:r>
    </w:p>
    <w:p w14:paraId="5ECAA5FC" w14:textId="4A6AE515" w:rsidR="00D21613" w:rsidRPr="00DF7FEF" w:rsidRDefault="00D21613" w:rsidP="00D21613">
      <w:pPr>
        <w:spacing w:line="480" w:lineRule="auto"/>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 xml:space="preserve">Table </w:t>
      </w:r>
      <w:r w:rsidR="007E43E3">
        <w:rPr>
          <w:rFonts w:ascii="Times New Roman" w:eastAsia="Times New Roman" w:hAnsi="Times New Roman" w:cs="Times New Roman"/>
          <w:sz w:val="24"/>
          <w:szCs w:val="24"/>
          <w:lang w:eastAsia="en-GB"/>
        </w:rPr>
        <w:t>1</w:t>
      </w:r>
      <w:r w:rsidRPr="00DF7FEF">
        <w:rPr>
          <w:rFonts w:ascii="Times New Roman" w:eastAsia="Times New Roman" w:hAnsi="Times New Roman" w:cs="Times New Roman"/>
          <w:sz w:val="24"/>
          <w:szCs w:val="24"/>
          <w:lang w:eastAsia="en-GB"/>
        </w:rPr>
        <w:t>: The study involved 220 participants, with a slightly higher proportion of males (54.5%) compared to females (44.5%). The majority were aged 40–44 years (42.7%), followed by 45–49 years (32.7%), and 50–55 years (24.5%).</w:t>
      </w:r>
    </w:p>
    <w:p w14:paraId="1F4E96EE" w14:textId="77777777" w:rsidR="00D21613" w:rsidRPr="00DF7FEF" w:rsidRDefault="00D21613" w:rsidP="00D21613">
      <w:pPr>
        <w:jc w:val="center"/>
        <w:rPr>
          <w:rFonts w:ascii="Times New Roman" w:hAnsi="Times New Roman" w:cs="Times New Roman"/>
          <w:sz w:val="24"/>
          <w:szCs w:val="24"/>
        </w:rPr>
      </w:pPr>
      <w:r w:rsidRPr="00DF7FEF">
        <w:rPr>
          <w:rFonts w:ascii="Times New Roman" w:hAnsi="Times New Roman" w:cs="Times New Roman"/>
          <w:noProof/>
          <w:sz w:val="24"/>
          <w:szCs w:val="24"/>
        </w:rPr>
        <w:drawing>
          <wp:inline distT="0" distB="0" distL="0" distR="0" wp14:anchorId="6F90EA8C" wp14:editId="2523336C">
            <wp:extent cx="4057650" cy="2349500"/>
            <wp:effectExtent l="0" t="0" r="0" b="12700"/>
            <wp:docPr id="1" name="Chart 1">
              <a:extLst xmlns:a="http://schemas.openxmlformats.org/drawingml/2006/main">
                <a:ext uri="{FF2B5EF4-FFF2-40B4-BE49-F238E27FC236}">
                  <a16:creationId xmlns:a16="http://schemas.microsoft.com/office/drawing/2014/main" id="{F22A44B4-ECFE-43F2-B18F-6D9F9880CC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500EEE5" w14:textId="60369F8C" w:rsidR="00D21613" w:rsidRPr="00DF7FEF" w:rsidRDefault="00D21613" w:rsidP="00D21613">
      <w:pPr>
        <w:jc w:val="center"/>
        <w:rPr>
          <w:rFonts w:ascii="Times New Roman" w:hAnsi="Times New Roman" w:cs="Times New Roman"/>
          <w:sz w:val="24"/>
          <w:szCs w:val="24"/>
        </w:rPr>
      </w:pPr>
      <w:r w:rsidRPr="00DF7FEF">
        <w:rPr>
          <w:rFonts w:ascii="Times New Roman" w:hAnsi="Times New Roman" w:cs="Times New Roman"/>
          <w:sz w:val="24"/>
          <w:szCs w:val="24"/>
        </w:rPr>
        <w:t xml:space="preserve">Figure </w:t>
      </w:r>
      <w:r w:rsidR="007E43E3">
        <w:rPr>
          <w:rFonts w:ascii="Times New Roman" w:hAnsi="Times New Roman" w:cs="Times New Roman"/>
          <w:sz w:val="24"/>
          <w:szCs w:val="24"/>
        </w:rPr>
        <w:t>1</w:t>
      </w:r>
      <w:r w:rsidRPr="00DF7FEF">
        <w:rPr>
          <w:rFonts w:ascii="Times New Roman" w:hAnsi="Times New Roman" w:cs="Times New Roman"/>
          <w:sz w:val="24"/>
          <w:szCs w:val="24"/>
        </w:rPr>
        <w:t>: Sex and Age Demographic Statistics</w:t>
      </w:r>
    </w:p>
    <w:p w14:paraId="2FD99724" w14:textId="30FDFE6C" w:rsidR="00D21613" w:rsidRPr="00DF7FEF" w:rsidRDefault="00D21613" w:rsidP="007E43E3">
      <w:pPr>
        <w:spacing w:after="0" w:line="360" w:lineRule="auto"/>
        <w:jc w:val="both"/>
        <w:outlineLvl w:val="2"/>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Table 2: Descriptive Statistics of</w:t>
      </w:r>
      <w:r w:rsidR="007E43E3">
        <w:rPr>
          <w:rFonts w:ascii="Times New Roman" w:eastAsia="Times New Roman" w:hAnsi="Times New Roman" w:cs="Times New Roman"/>
          <w:b/>
          <w:bCs/>
          <w:sz w:val="24"/>
          <w:szCs w:val="24"/>
          <w:lang w:eastAsia="en-GB"/>
        </w:rPr>
        <w:t xml:space="preserve"> </w:t>
      </w:r>
      <w:r w:rsidRPr="00DF7FEF">
        <w:rPr>
          <w:rFonts w:ascii="Times New Roman" w:eastAsia="Times New Roman" w:hAnsi="Times New Roman" w:cs="Times New Roman"/>
          <w:b/>
          <w:bCs/>
          <w:sz w:val="24"/>
          <w:szCs w:val="24"/>
          <w:lang w:eastAsia="en-GB"/>
        </w:rPr>
        <w:t>Initial Blood Pressure (SBP, DBP) and Pulse Rate (RPR) (n=220)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701"/>
        <w:gridCol w:w="1634"/>
        <w:gridCol w:w="1909"/>
      </w:tblGrid>
      <w:tr w:rsidR="00D21613" w:rsidRPr="00DF7FEF" w14:paraId="22CD69C3" w14:textId="77777777" w:rsidTr="006F3AF4">
        <w:trPr>
          <w:jc w:val="center"/>
        </w:trPr>
        <w:tc>
          <w:tcPr>
            <w:tcW w:w="2127" w:type="dxa"/>
            <w:tcBorders>
              <w:top w:val="single" w:sz="4" w:space="0" w:color="auto"/>
              <w:bottom w:val="single" w:sz="4" w:space="0" w:color="auto"/>
            </w:tcBorders>
            <w:hideMark/>
          </w:tcPr>
          <w:p w14:paraId="498812A6"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lastRenderedPageBreak/>
              <w:t>Variable</w:t>
            </w:r>
          </w:p>
        </w:tc>
        <w:tc>
          <w:tcPr>
            <w:tcW w:w="1701" w:type="dxa"/>
            <w:tcBorders>
              <w:top w:val="single" w:sz="4" w:space="0" w:color="auto"/>
              <w:bottom w:val="single" w:sz="4" w:space="0" w:color="auto"/>
            </w:tcBorders>
            <w:hideMark/>
          </w:tcPr>
          <w:p w14:paraId="04404A97"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Categories</w:t>
            </w:r>
          </w:p>
        </w:tc>
        <w:tc>
          <w:tcPr>
            <w:tcW w:w="1634" w:type="dxa"/>
            <w:tcBorders>
              <w:top w:val="single" w:sz="4" w:space="0" w:color="auto"/>
              <w:bottom w:val="single" w:sz="4" w:space="0" w:color="auto"/>
            </w:tcBorders>
            <w:hideMark/>
          </w:tcPr>
          <w:p w14:paraId="317A45FE"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Frequency</w:t>
            </w:r>
          </w:p>
        </w:tc>
        <w:tc>
          <w:tcPr>
            <w:tcW w:w="1909" w:type="dxa"/>
            <w:tcBorders>
              <w:top w:val="single" w:sz="4" w:space="0" w:color="auto"/>
              <w:bottom w:val="single" w:sz="4" w:space="0" w:color="auto"/>
            </w:tcBorders>
            <w:hideMark/>
          </w:tcPr>
          <w:p w14:paraId="3ADBF186"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Percentage</w:t>
            </w:r>
          </w:p>
        </w:tc>
      </w:tr>
      <w:tr w:rsidR="00D21613" w:rsidRPr="00DF7FEF" w14:paraId="2F070A4F" w14:textId="77777777" w:rsidTr="006F3AF4">
        <w:trPr>
          <w:jc w:val="center"/>
        </w:trPr>
        <w:tc>
          <w:tcPr>
            <w:tcW w:w="2127" w:type="dxa"/>
            <w:tcBorders>
              <w:top w:val="single" w:sz="4" w:space="0" w:color="auto"/>
            </w:tcBorders>
            <w:hideMark/>
          </w:tcPr>
          <w:p w14:paraId="3D5F2DA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Initial RSBP</w:t>
            </w:r>
          </w:p>
        </w:tc>
        <w:tc>
          <w:tcPr>
            <w:tcW w:w="1701" w:type="dxa"/>
            <w:tcBorders>
              <w:top w:val="single" w:sz="4" w:space="0" w:color="auto"/>
            </w:tcBorders>
            <w:hideMark/>
          </w:tcPr>
          <w:p w14:paraId="0766B13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&lt;120</w:t>
            </w:r>
          </w:p>
        </w:tc>
        <w:tc>
          <w:tcPr>
            <w:tcW w:w="1634" w:type="dxa"/>
            <w:tcBorders>
              <w:top w:val="single" w:sz="4" w:space="0" w:color="auto"/>
            </w:tcBorders>
            <w:hideMark/>
          </w:tcPr>
          <w:p w14:paraId="09A94D2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w:t>
            </w:r>
          </w:p>
        </w:tc>
        <w:tc>
          <w:tcPr>
            <w:tcW w:w="1909" w:type="dxa"/>
            <w:tcBorders>
              <w:top w:val="single" w:sz="4" w:space="0" w:color="auto"/>
            </w:tcBorders>
            <w:hideMark/>
          </w:tcPr>
          <w:p w14:paraId="3F0146D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0.9%</w:t>
            </w:r>
          </w:p>
        </w:tc>
      </w:tr>
      <w:tr w:rsidR="00D21613" w:rsidRPr="00DF7FEF" w14:paraId="4E98CCEE" w14:textId="77777777" w:rsidTr="006F3AF4">
        <w:trPr>
          <w:jc w:val="center"/>
        </w:trPr>
        <w:tc>
          <w:tcPr>
            <w:tcW w:w="2127" w:type="dxa"/>
            <w:hideMark/>
          </w:tcPr>
          <w:p w14:paraId="3C2343A1"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2FE6438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120-129</w:t>
            </w:r>
          </w:p>
        </w:tc>
        <w:tc>
          <w:tcPr>
            <w:tcW w:w="1634" w:type="dxa"/>
            <w:hideMark/>
          </w:tcPr>
          <w:p w14:paraId="2FB9ECF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46</w:t>
            </w:r>
          </w:p>
        </w:tc>
        <w:tc>
          <w:tcPr>
            <w:tcW w:w="1909" w:type="dxa"/>
            <w:hideMark/>
          </w:tcPr>
          <w:p w14:paraId="0AC54FF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20.9%</w:t>
            </w:r>
          </w:p>
        </w:tc>
      </w:tr>
      <w:tr w:rsidR="00D21613" w:rsidRPr="00DF7FEF" w14:paraId="51F47F52" w14:textId="77777777" w:rsidTr="006F3AF4">
        <w:trPr>
          <w:jc w:val="center"/>
        </w:trPr>
        <w:tc>
          <w:tcPr>
            <w:tcW w:w="2127" w:type="dxa"/>
            <w:hideMark/>
          </w:tcPr>
          <w:p w14:paraId="56FAB461"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6AE6D8F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130-139</w:t>
            </w:r>
          </w:p>
        </w:tc>
        <w:tc>
          <w:tcPr>
            <w:tcW w:w="1634" w:type="dxa"/>
            <w:hideMark/>
          </w:tcPr>
          <w:p w14:paraId="351F1D0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170</w:t>
            </w:r>
          </w:p>
        </w:tc>
        <w:tc>
          <w:tcPr>
            <w:tcW w:w="1909" w:type="dxa"/>
            <w:hideMark/>
          </w:tcPr>
          <w:p w14:paraId="05A97B86"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77.3%</w:t>
            </w:r>
          </w:p>
        </w:tc>
      </w:tr>
      <w:tr w:rsidR="00D21613" w:rsidRPr="00DF7FEF" w14:paraId="3CEA21D7" w14:textId="77777777" w:rsidTr="006F3AF4">
        <w:trPr>
          <w:jc w:val="center"/>
        </w:trPr>
        <w:tc>
          <w:tcPr>
            <w:tcW w:w="2127" w:type="dxa"/>
            <w:hideMark/>
          </w:tcPr>
          <w:p w14:paraId="2BC55D1C"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4D91B95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≥140</w:t>
            </w:r>
          </w:p>
        </w:tc>
        <w:tc>
          <w:tcPr>
            <w:tcW w:w="1634" w:type="dxa"/>
            <w:hideMark/>
          </w:tcPr>
          <w:p w14:paraId="6A80F57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w:t>
            </w:r>
          </w:p>
        </w:tc>
        <w:tc>
          <w:tcPr>
            <w:tcW w:w="1909" w:type="dxa"/>
            <w:hideMark/>
          </w:tcPr>
          <w:p w14:paraId="7056619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0.9%</w:t>
            </w:r>
          </w:p>
        </w:tc>
      </w:tr>
      <w:tr w:rsidR="00D21613" w:rsidRPr="00DF7FEF" w14:paraId="72D092EE" w14:textId="77777777" w:rsidTr="006F3AF4">
        <w:trPr>
          <w:jc w:val="center"/>
        </w:trPr>
        <w:tc>
          <w:tcPr>
            <w:tcW w:w="2127" w:type="dxa"/>
            <w:hideMark/>
          </w:tcPr>
          <w:p w14:paraId="7D20FC0F"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Initial RDBP</w:t>
            </w:r>
          </w:p>
        </w:tc>
        <w:tc>
          <w:tcPr>
            <w:tcW w:w="1701" w:type="dxa"/>
            <w:hideMark/>
          </w:tcPr>
          <w:p w14:paraId="7572CC2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&lt;80</w:t>
            </w:r>
          </w:p>
        </w:tc>
        <w:tc>
          <w:tcPr>
            <w:tcW w:w="1634" w:type="dxa"/>
            <w:hideMark/>
          </w:tcPr>
          <w:p w14:paraId="500FB69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w:t>
            </w:r>
          </w:p>
        </w:tc>
        <w:tc>
          <w:tcPr>
            <w:tcW w:w="1909" w:type="dxa"/>
            <w:hideMark/>
          </w:tcPr>
          <w:p w14:paraId="05DC630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0.9%</w:t>
            </w:r>
          </w:p>
        </w:tc>
      </w:tr>
      <w:tr w:rsidR="00D21613" w:rsidRPr="00DF7FEF" w14:paraId="6C2B733D" w14:textId="77777777" w:rsidTr="006F3AF4">
        <w:trPr>
          <w:jc w:val="center"/>
        </w:trPr>
        <w:tc>
          <w:tcPr>
            <w:tcW w:w="2127" w:type="dxa"/>
            <w:hideMark/>
          </w:tcPr>
          <w:p w14:paraId="46A1B0EB"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440CF5F9"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80-85</w:t>
            </w:r>
          </w:p>
        </w:tc>
        <w:tc>
          <w:tcPr>
            <w:tcW w:w="1634" w:type="dxa"/>
            <w:hideMark/>
          </w:tcPr>
          <w:p w14:paraId="404519B0"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18</w:t>
            </w:r>
          </w:p>
        </w:tc>
        <w:tc>
          <w:tcPr>
            <w:tcW w:w="1909" w:type="dxa"/>
            <w:hideMark/>
          </w:tcPr>
          <w:p w14:paraId="35F752A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8.2%</w:t>
            </w:r>
          </w:p>
        </w:tc>
      </w:tr>
      <w:tr w:rsidR="00D21613" w:rsidRPr="00DF7FEF" w14:paraId="65E1C1FD" w14:textId="77777777" w:rsidTr="006F3AF4">
        <w:trPr>
          <w:jc w:val="center"/>
        </w:trPr>
        <w:tc>
          <w:tcPr>
            <w:tcW w:w="2127" w:type="dxa"/>
            <w:hideMark/>
          </w:tcPr>
          <w:p w14:paraId="59F0D46F"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0712881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86-90</w:t>
            </w:r>
          </w:p>
        </w:tc>
        <w:tc>
          <w:tcPr>
            <w:tcW w:w="1634" w:type="dxa"/>
            <w:hideMark/>
          </w:tcPr>
          <w:p w14:paraId="6CFC4F3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199</w:t>
            </w:r>
          </w:p>
        </w:tc>
        <w:tc>
          <w:tcPr>
            <w:tcW w:w="1909" w:type="dxa"/>
            <w:hideMark/>
          </w:tcPr>
          <w:p w14:paraId="2678084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90.5%</w:t>
            </w:r>
          </w:p>
        </w:tc>
      </w:tr>
      <w:tr w:rsidR="00D21613" w:rsidRPr="00DF7FEF" w14:paraId="00483865" w14:textId="77777777" w:rsidTr="006F3AF4">
        <w:trPr>
          <w:jc w:val="center"/>
        </w:trPr>
        <w:tc>
          <w:tcPr>
            <w:tcW w:w="2127" w:type="dxa"/>
            <w:hideMark/>
          </w:tcPr>
          <w:p w14:paraId="20DBE3F9"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2EC591D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≥91</w:t>
            </w:r>
          </w:p>
        </w:tc>
        <w:tc>
          <w:tcPr>
            <w:tcW w:w="1634" w:type="dxa"/>
            <w:hideMark/>
          </w:tcPr>
          <w:p w14:paraId="6C798CE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w:t>
            </w:r>
          </w:p>
        </w:tc>
        <w:tc>
          <w:tcPr>
            <w:tcW w:w="1909" w:type="dxa"/>
            <w:hideMark/>
          </w:tcPr>
          <w:p w14:paraId="0E20181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0.5%</w:t>
            </w:r>
          </w:p>
        </w:tc>
      </w:tr>
      <w:tr w:rsidR="00D21613" w:rsidRPr="00DF7FEF" w14:paraId="309482AD" w14:textId="77777777" w:rsidTr="006F3AF4">
        <w:trPr>
          <w:jc w:val="center"/>
        </w:trPr>
        <w:tc>
          <w:tcPr>
            <w:tcW w:w="2127" w:type="dxa"/>
            <w:hideMark/>
          </w:tcPr>
          <w:p w14:paraId="6DA8239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Initial RPR</w:t>
            </w:r>
          </w:p>
        </w:tc>
        <w:tc>
          <w:tcPr>
            <w:tcW w:w="1701" w:type="dxa"/>
            <w:hideMark/>
          </w:tcPr>
          <w:p w14:paraId="666AAB8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60–69</w:t>
            </w:r>
          </w:p>
        </w:tc>
        <w:tc>
          <w:tcPr>
            <w:tcW w:w="1634" w:type="dxa"/>
            <w:hideMark/>
          </w:tcPr>
          <w:p w14:paraId="2543478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w:t>
            </w:r>
          </w:p>
        </w:tc>
        <w:tc>
          <w:tcPr>
            <w:tcW w:w="1909" w:type="dxa"/>
            <w:hideMark/>
          </w:tcPr>
          <w:p w14:paraId="211B54E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2.7%</w:t>
            </w:r>
          </w:p>
        </w:tc>
      </w:tr>
      <w:tr w:rsidR="00D21613" w:rsidRPr="00DF7FEF" w14:paraId="1A8126E0" w14:textId="77777777" w:rsidTr="006F3AF4">
        <w:trPr>
          <w:jc w:val="center"/>
        </w:trPr>
        <w:tc>
          <w:tcPr>
            <w:tcW w:w="2127" w:type="dxa"/>
            <w:hideMark/>
          </w:tcPr>
          <w:p w14:paraId="4C65E423"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7BEE02E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70–79</w:t>
            </w:r>
          </w:p>
        </w:tc>
        <w:tc>
          <w:tcPr>
            <w:tcW w:w="1634" w:type="dxa"/>
            <w:hideMark/>
          </w:tcPr>
          <w:p w14:paraId="74F16EB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143</w:t>
            </w:r>
          </w:p>
        </w:tc>
        <w:tc>
          <w:tcPr>
            <w:tcW w:w="1909" w:type="dxa"/>
            <w:hideMark/>
          </w:tcPr>
          <w:p w14:paraId="6D3161C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65.0%</w:t>
            </w:r>
          </w:p>
        </w:tc>
      </w:tr>
      <w:tr w:rsidR="00D21613" w:rsidRPr="00DF7FEF" w14:paraId="38CCF3C2" w14:textId="77777777" w:rsidTr="006F3AF4">
        <w:trPr>
          <w:jc w:val="center"/>
        </w:trPr>
        <w:tc>
          <w:tcPr>
            <w:tcW w:w="2127" w:type="dxa"/>
            <w:hideMark/>
          </w:tcPr>
          <w:p w14:paraId="67BD2488"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5E2F685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80–89</w:t>
            </w:r>
          </w:p>
        </w:tc>
        <w:tc>
          <w:tcPr>
            <w:tcW w:w="1634" w:type="dxa"/>
            <w:hideMark/>
          </w:tcPr>
          <w:p w14:paraId="5BC2EA3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69</w:t>
            </w:r>
          </w:p>
        </w:tc>
        <w:tc>
          <w:tcPr>
            <w:tcW w:w="1909" w:type="dxa"/>
            <w:hideMark/>
          </w:tcPr>
          <w:p w14:paraId="5FA0D9B6"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31.4%</w:t>
            </w:r>
          </w:p>
        </w:tc>
      </w:tr>
      <w:tr w:rsidR="00D21613" w:rsidRPr="00DF7FEF" w14:paraId="24207952" w14:textId="77777777" w:rsidTr="006F3AF4">
        <w:trPr>
          <w:jc w:val="center"/>
        </w:trPr>
        <w:tc>
          <w:tcPr>
            <w:tcW w:w="2127" w:type="dxa"/>
            <w:tcBorders>
              <w:bottom w:val="single" w:sz="4" w:space="0" w:color="auto"/>
            </w:tcBorders>
            <w:hideMark/>
          </w:tcPr>
          <w:p w14:paraId="29B02EBF"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tcBorders>
              <w:bottom w:val="single" w:sz="4" w:space="0" w:color="auto"/>
            </w:tcBorders>
            <w:hideMark/>
          </w:tcPr>
          <w:p w14:paraId="66FE23F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≥90</w:t>
            </w:r>
          </w:p>
        </w:tc>
        <w:tc>
          <w:tcPr>
            <w:tcW w:w="1634" w:type="dxa"/>
            <w:tcBorders>
              <w:bottom w:val="single" w:sz="4" w:space="0" w:color="auto"/>
            </w:tcBorders>
            <w:hideMark/>
          </w:tcPr>
          <w:p w14:paraId="3EB7692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w:t>
            </w:r>
          </w:p>
        </w:tc>
        <w:tc>
          <w:tcPr>
            <w:tcW w:w="1909" w:type="dxa"/>
            <w:tcBorders>
              <w:bottom w:val="single" w:sz="4" w:space="0" w:color="auto"/>
            </w:tcBorders>
            <w:hideMark/>
          </w:tcPr>
          <w:p w14:paraId="1D4967D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0.9%</w:t>
            </w:r>
          </w:p>
        </w:tc>
      </w:tr>
    </w:tbl>
    <w:p w14:paraId="0CDB01B4" w14:textId="77777777" w:rsidR="00D21613" w:rsidRPr="00DF7FEF" w:rsidRDefault="00D21613" w:rsidP="007E43E3">
      <w:pPr>
        <w:spacing w:after="0" w:line="360" w:lineRule="auto"/>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Statistical Interpretation:</w:t>
      </w:r>
    </w:p>
    <w:p w14:paraId="48DD11BC" w14:textId="77777777" w:rsidR="00D21613" w:rsidRPr="00DF7FEF" w:rsidRDefault="00D21613" w:rsidP="007E43E3">
      <w:pPr>
        <w:spacing w:line="360" w:lineRule="auto"/>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Table 4.1.2: Initial systolic blood pressure (RSBP) was predominantly between 130–139 mmHg (77.3%), and initial diastolic blood pressure (RDBP) was mostly within 86–90 mmHg (90.5%). Initial resting pulse rate (RPR) mainly fell within the 70–79 bpm range (65%).</w:t>
      </w:r>
    </w:p>
    <w:p w14:paraId="63FE2DBD" w14:textId="77777777" w:rsidR="00D21613" w:rsidRPr="00DF7FEF" w:rsidRDefault="00D21613" w:rsidP="007E43E3">
      <w:pPr>
        <w:spacing w:after="0" w:line="360" w:lineRule="auto"/>
        <w:jc w:val="both"/>
        <w:outlineLvl w:val="2"/>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Table 4.1.3: Descriptive Statistics of Initial Weight and BMI (n=220)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2156"/>
        <w:gridCol w:w="1529"/>
        <w:gridCol w:w="1559"/>
      </w:tblGrid>
      <w:tr w:rsidR="00D21613" w:rsidRPr="00DF7FEF" w14:paraId="65462F24" w14:textId="77777777" w:rsidTr="006F3AF4">
        <w:trPr>
          <w:jc w:val="center"/>
        </w:trPr>
        <w:tc>
          <w:tcPr>
            <w:tcW w:w="2553" w:type="dxa"/>
            <w:tcBorders>
              <w:top w:val="single" w:sz="4" w:space="0" w:color="auto"/>
              <w:bottom w:val="single" w:sz="4" w:space="0" w:color="auto"/>
            </w:tcBorders>
            <w:hideMark/>
          </w:tcPr>
          <w:p w14:paraId="292DA0B3"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Variable</w:t>
            </w:r>
          </w:p>
        </w:tc>
        <w:tc>
          <w:tcPr>
            <w:tcW w:w="2156" w:type="dxa"/>
            <w:tcBorders>
              <w:top w:val="single" w:sz="4" w:space="0" w:color="auto"/>
              <w:bottom w:val="single" w:sz="4" w:space="0" w:color="auto"/>
            </w:tcBorders>
            <w:hideMark/>
          </w:tcPr>
          <w:p w14:paraId="567AC23A"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Categories</w:t>
            </w:r>
          </w:p>
        </w:tc>
        <w:tc>
          <w:tcPr>
            <w:tcW w:w="1529" w:type="dxa"/>
            <w:tcBorders>
              <w:top w:val="single" w:sz="4" w:space="0" w:color="auto"/>
              <w:bottom w:val="single" w:sz="4" w:space="0" w:color="auto"/>
            </w:tcBorders>
            <w:hideMark/>
          </w:tcPr>
          <w:p w14:paraId="3E7A04AF"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Frequency</w:t>
            </w:r>
          </w:p>
        </w:tc>
        <w:tc>
          <w:tcPr>
            <w:tcW w:w="1559" w:type="dxa"/>
            <w:tcBorders>
              <w:top w:val="single" w:sz="4" w:space="0" w:color="auto"/>
              <w:bottom w:val="single" w:sz="4" w:space="0" w:color="auto"/>
            </w:tcBorders>
            <w:hideMark/>
          </w:tcPr>
          <w:p w14:paraId="6A1290B4"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Percentage</w:t>
            </w:r>
          </w:p>
        </w:tc>
      </w:tr>
      <w:tr w:rsidR="00D21613" w:rsidRPr="00DF7FEF" w14:paraId="05C774E7" w14:textId="77777777" w:rsidTr="006F3AF4">
        <w:trPr>
          <w:jc w:val="center"/>
        </w:trPr>
        <w:tc>
          <w:tcPr>
            <w:tcW w:w="2553" w:type="dxa"/>
            <w:tcBorders>
              <w:top w:val="single" w:sz="4" w:space="0" w:color="auto"/>
            </w:tcBorders>
            <w:hideMark/>
          </w:tcPr>
          <w:p w14:paraId="508B6B8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Initial Weight (kg)</w:t>
            </w:r>
          </w:p>
        </w:tc>
        <w:tc>
          <w:tcPr>
            <w:tcW w:w="2156" w:type="dxa"/>
            <w:tcBorders>
              <w:top w:val="single" w:sz="4" w:space="0" w:color="auto"/>
            </w:tcBorders>
            <w:hideMark/>
          </w:tcPr>
          <w:p w14:paraId="0FA989D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&lt;60</w:t>
            </w:r>
          </w:p>
        </w:tc>
        <w:tc>
          <w:tcPr>
            <w:tcW w:w="1529" w:type="dxa"/>
            <w:tcBorders>
              <w:top w:val="single" w:sz="4" w:space="0" w:color="auto"/>
            </w:tcBorders>
            <w:hideMark/>
          </w:tcPr>
          <w:p w14:paraId="7618D3F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46</w:t>
            </w:r>
          </w:p>
        </w:tc>
        <w:tc>
          <w:tcPr>
            <w:tcW w:w="1559" w:type="dxa"/>
            <w:tcBorders>
              <w:top w:val="single" w:sz="4" w:space="0" w:color="auto"/>
            </w:tcBorders>
            <w:hideMark/>
          </w:tcPr>
          <w:p w14:paraId="3189928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20.9%</w:t>
            </w:r>
          </w:p>
        </w:tc>
      </w:tr>
      <w:tr w:rsidR="00D21613" w:rsidRPr="00DF7FEF" w14:paraId="7B918CD2" w14:textId="77777777" w:rsidTr="006F3AF4">
        <w:trPr>
          <w:jc w:val="center"/>
        </w:trPr>
        <w:tc>
          <w:tcPr>
            <w:tcW w:w="2553" w:type="dxa"/>
            <w:hideMark/>
          </w:tcPr>
          <w:p w14:paraId="4FDC814F"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hideMark/>
          </w:tcPr>
          <w:p w14:paraId="595980C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60–69</w:t>
            </w:r>
          </w:p>
        </w:tc>
        <w:tc>
          <w:tcPr>
            <w:tcW w:w="1529" w:type="dxa"/>
            <w:hideMark/>
          </w:tcPr>
          <w:p w14:paraId="59AF0EC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44</w:t>
            </w:r>
          </w:p>
        </w:tc>
        <w:tc>
          <w:tcPr>
            <w:tcW w:w="1559" w:type="dxa"/>
            <w:hideMark/>
          </w:tcPr>
          <w:p w14:paraId="2BD73ED0"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20.0%</w:t>
            </w:r>
          </w:p>
        </w:tc>
      </w:tr>
      <w:tr w:rsidR="00D21613" w:rsidRPr="00DF7FEF" w14:paraId="6F5F05C9" w14:textId="77777777" w:rsidTr="006F3AF4">
        <w:trPr>
          <w:jc w:val="center"/>
        </w:trPr>
        <w:tc>
          <w:tcPr>
            <w:tcW w:w="2553" w:type="dxa"/>
            <w:hideMark/>
          </w:tcPr>
          <w:p w14:paraId="19D45DA3"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hideMark/>
          </w:tcPr>
          <w:p w14:paraId="0318E7BF"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70–79</w:t>
            </w:r>
          </w:p>
        </w:tc>
        <w:tc>
          <w:tcPr>
            <w:tcW w:w="1529" w:type="dxa"/>
            <w:hideMark/>
          </w:tcPr>
          <w:p w14:paraId="6D7F405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50</w:t>
            </w:r>
          </w:p>
        </w:tc>
        <w:tc>
          <w:tcPr>
            <w:tcW w:w="1559" w:type="dxa"/>
            <w:hideMark/>
          </w:tcPr>
          <w:p w14:paraId="45D3F4B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22.7%</w:t>
            </w:r>
          </w:p>
        </w:tc>
      </w:tr>
      <w:tr w:rsidR="00D21613" w:rsidRPr="00DF7FEF" w14:paraId="6C9EFA46" w14:textId="77777777" w:rsidTr="006F3AF4">
        <w:trPr>
          <w:jc w:val="center"/>
        </w:trPr>
        <w:tc>
          <w:tcPr>
            <w:tcW w:w="2553" w:type="dxa"/>
            <w:hideMark/>
          </w:tcPr>
          <w:p w14:paraId="2B6DE7E8"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hideMark/>
          </w:tcPr>
          <w:p w14:paraId="32667AB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80–89</w:t>
            </w:r>
          </w:p>
        </w:tc>
        <w:tc>
          <w:tcPr>
            <w:tcW w:w="1529" w:type="dxa"/>
            <w:hideMark/>
          </w:tcPr>
          <w:p w14:paraId="207F54C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46</w:t>
            </w:r>
          </w:p>
        </w:tc>
        <w:tc>
          <w:tcPr>
            <w:tcW w:w="1559" w:type="dxa"/>
            <w:hideMark/>
          </w:tcPr>
          <w:p w14:paraId="4FE3AE3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20.9%</w:t>
            </w:r>
          </w:p>
        </w:tc>
      </w:tr>
      <w:tr w:rsidR="00D21613" w:rsidRPr="00DF7FEF" w14:paraId="4EA01FF1" w14:textId="77777777" w:rsidTr="006F3AF4">
        <w:trPr>
          <w:jc w:val="center"/>
        </w:trPr>
        <w:tc>
          <w:tcPr>
            <w:tcW w:w="2553" w:type="dxa"/>
            <w:hideMark/>
          </w:tcPr>
          <w:p w14:paraId="29F43329"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hideMark/>
          </w:tcPr>
          <w:p w14:paraId="185B7CBF"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≥90</w:t>
            </w:r>
          </w:p>
        </w:tc>
        <w:tc>
          <w:tcPr>
            <w:tcW w:w="1529" w:type="dxa"/>
            <w:hideMark/>
          </w:tcPr>
          <w:p w14:paraId="08CD5E7E"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34</w:t>
            </w:r>
          </w:p>
        </w:tc>
        <w:tc>
          <w:tcPr>
            <w:tcW w:w="1559" w:type="dxa"/>
            <w:hideMark/>
          </w:tcPr>
          <w:p w14:paraId="49AEB69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15.5%</w:t>
            </w:r>
          </w:p>
        </w:tc>
      </w:tr>
      <w:tr w:rsidR="00D21613" w:rsidRPr="00DF7FEF" w14:paraId="2BCD9BB4" w14:textId="77777777" w:rsidTr="006F3AF4">
        <w:trPr>
          <w:jc w:val="center"/>
        </w:trPr>
        <w:tc>
          <w:tcPr>
            <w:tcW w:w="2553" w:type="dxa"/>
            <w:hideMark/>
          </w:tcPr>
          <w:p w14:paraId="6FF62CE6"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Initial BMI</w:t>
            </w:r>
          </w:p>
        </w:tc>
        <w:tc>
          <w:tcPr>
            <w:tcW w:w="2156" w:type="dxa"/>
            <w:hideMark/>
          </w:tcPr>
          <w:p w14:paraId="5225774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&lt;18.5</w:t>
            </w:r>
          </w:p>
        </w:tc>
        <w:tc>
          <w:tcPr>
            <w:tcW w:w="1529" w:type="dxa"/>
            <w:hideMark/>
          </w:tcPr>
          <w:p w14:paraId="025DC539"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12</w:t>
            </w:r>
          </w:p>
        </w:tc>
        <w:tc>
          <w:tcPr>
            <w:tcW w:w="1559" w:type="dxa"/>
            <w:hideMark/>
          </w:tcPr>
          <w:p w14:paraId="6263DAC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5.5%</w:t>
            </w:r>
          </w:p>
        </w:tc>
      </w:tr>
      <w:tr w:rsidR="00D21613" w:rsidRPr="00DF7FEF" w14:paraId="6FC6120E" w14:textId="77777777" w:rsidTr="006F3AF4">
        <w:trPr>
          <w:jc w:val="center"/>
        </w:trPr>
        <w:tc>
          <w:tcPr>
            <w:tcW w:w="2553" w:type="dxa"/>
            <w:hideMark/>
          </w:tcPr>
          <w:p w14:paraId="09DB1FD6"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hideMark/>
          </w:tcPr>
          <w:p w14:paraId="3661073F"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18.5–24.9</w:t>
            </w:r>
          </w:p>
        </w:tc>
        <w:tc>
          <w:tcPr>
            <w:tcW w:w="1529" w:type="dxa"/>
            <w:hideMark/>
          </w:tcPr>
          <w:p w14:paraId="435FBFB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72</w:t>
            </w:r>
          </w:p>
        </w:tc>
        <w:tc>
          <w:tcPr>
            <w:tcW w:w="1559" w:type="dxa"/>
            <w:hideMark/>
          </w:tcPr>
          <w:p w14:paraId="4B49F84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32.7%</w:t>
            </w:r>
          </w:p>
        </w:tc>
      </w:tr>
      <w:tr w:rsidR="00D21613" w:rsidRPr="00DF7FEF" w14:paraId="6D5924C0" w14:textId="77777777" w:rsidTr="006F3AF4">
        <w:trPr>
          <w:jc w:val="center"/>
        </w:trPr>
        <w:tc>
          <w:tcPr>
            <w:tcW w:w="2553" w:type="dxa"/>
            <w:hideMark/>
          </w:tcPr>
          <w:p w14:paraId="1CAF9C9F"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hideMark/>
          </w:tcPr>
          <w:p w14:paraId="18184B3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25–29.9</w:t>
            </w:r>
          </w:p>
        </w:tc>
        <w:tc>
          <w:tcPr>
            <w:tcW w:w="1529" w:type="dxa"/>
            <w:hideMark/>
          </w:tcPr>
          <w:p w14:paraId="770A537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70</w:t>
            </w:r>
          </w:p>
        </w:tc>
        <w:tc>
          <w:tcPr>
            <w:tcW w:w="1559" w:type="dxa"/>
            <w:hideMark/>
          </w:tcPr>
          <w:p w14:paraId="62302DC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31.8%</w:t>
            </w:r>
          </w:p>
        </w:tc>
      </w:tr>
      <w:tr w:rsidR="00D21613" w:rsidRPr="00DF7FEF" w14:paraId="7038F7FF" w14:textId="77777777" w:rsidTr="006F3AF4">
        <w:trPr>
          <w:jc w:val="center"/>
        </w:trPr>
        <w:tc>
          <w:tcPr>
            <w:tcW w:w="2553" w:type="dxa"/>
            <w:tcBorders>
              <w:bottom w:val="single" w:sz="4" w:space="0" w:color="auto"/>
            </w:tcBorders>
            <w:hideMark/>
          </w:tcPr>
          <w:p w14:paraId="0FE3C473"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2156" w:type="dxa"/>
            <w:tcBorders>
              <w:bottom w:val="single" w:sz="4" w:space="0" w:color="auto"/>
            </w:tcBorders>
            <w:hideMark/>
          </w:tcPr>
          <w:p w14:paraId="2FF43C6E"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≥30</w:t>
            </w:r>
          </w:p>
        </w:tc>
        <w:tc>
          <w:tcPr>
            <w:tcW w:w="1529" w:type="dxa"/>
            <w:tcBorders>
              <w:bottom w:val="single" w:sz="4" w:space="0" w:color="auto"/>
            </w:tcBorders>
            <w:hideMark/>
          </w:tcPr>
          <w:p w14:paraId="47BF1AD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65</w:t>
            </w:r>
          </w:p>
        </w:tc>
        <w:tc>
          <w:tcPr>
            <w:tcW w:w="1559" w:type="dxa"/>
            <w:tcBorders>
              <w:bottom w:val="single" w:sz="4" w:space="0" w:color="auto"/>
            </w:tcBorders>
            <w:hideMark/>
          </w:tcPr>
          <w:p w14:paraId="0975332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29.5%</w:t>
            </w:r>
          </w:p>
        </w:tc>
      </w:tr>
    </w:tbl>
    <w:p w14:paraId="548EE9BF" w14:textId="77777777" w:rsidR="00D21613" w:rsidRPr="00DF7FEF" w:rsidRDefault="00D21613" w:rsidP="007E43E3">
      <w:pPr>
        <w:spacing w:after="0" w:line="360" w:lineRule="auto"/>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Statistical Interpretation:</w:t>
      </w:r>
    </w:p>
    <w:p w14:paraId="09AA24D3" w14:textId="7E0A2FDA" w:rsidR="00D21613" w:rsidRPr="00DF7FEF" w:rsidRDefault="00D21613" w:rsidP="007E43E3">
      <w:pPr>
        <w:spacing w:line="360" w:lineRule="auto"/>
        <w:jc w:val="both"/>
        <w:outlineLvl w:val="2"/>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sz w:val="24"/>
          <w:szCs w:val="24"/>
          <w:lang w:eastAsia="en-GB"/>
        </w:rPr>
        <w:t>Table 3: Initial weight was fairly distributed, with 20.9% weighing under 60 kg and 15.5% over 90 kg. Initial BMI showed that nearly one-third (29.5%) were classified as obese (BMI ≥30), while 32.7% were within the normal range (18.5–24.9).</w:t>
      </w:r>
    </w:p>
    <w:p w14:paraId="5F535D5C" w14:textId="7F891ADB" w:rsidR="00D21613" w:rsidRPr="00DF7FEF" w:rsidRDefault="00D21613" w:rsidP="007E43E3">
      <w:pPr>
        <w:spacing w:after="0" w:line="360" w:lineRule="auto"/>
        <w:jc w:val="both"/>
        <w:outlineLvl w:val="2"/>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Table 4: Descriptive Statistics of Final Blood Pressure (SBP, DBP) and Pulse Rate (RPR)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843"/>
        <w:gridCol w:w="1559"/>
        <w:gridCol w:w="1559"/>
      </w:tblGrid>
      <w:tr w:rsidR="00D21613" w:rsidRPr="00DF7FEF" w14:paraId="11432981" w14:textId="77777777" w:rsidTr="006F3AF4">
        <w:trPr>
          <w:jc w:val="center"/>
        </w:trPr>
        <w:tc>
          <w:tcPr>
            <w:tcW w:w="2405" w:type="dxa"/>
            <w:tcBorders>
              <w:top w:val="single" w:sz="4" w:space="0" w:color="auto"/>
              <w:bottom w:val="single" w:sz="4" w:space="0" w:color="auto"/>
            </w:tcBorders>
            <w:hideMark/>
          </w:tcPr>
          <w:p w14:paraId="1C3180CB" w14:textId="77777777" w:rsidR="00D21613" w:rsidRPr="00DF7FEF" w:rsidRDefault="00D21613" w:rsidP="007E43E3">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Variable</w:t>
            </w:r>
          </w:p>
        </w:tc>
        <w:tc>
          <w:tcPr>
            <w:tcW w:w="1843" w:type="dxa"/>
            <w:tcBorders>
              <w:top w:val="single" w:sz="4" w:space="0" w:color="auto"/>
              <w:bottom w:val="single" w:sz="4" w:space="0" w:color="auto"/>
            </w:tcBorders>
            <w:hideMark/>
          </w:tcPr>
          <w:p w14:paraId="3226B494" w14:textId="77777777" w:rsidR="00D21613" w:rsidRPr="00DF7FEF" w:rsidRDefault="00D21613" w:rsidP="007E43E3">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Categories</w:t>
            </w:r>
          </w:p>
        </w:tc>
        <w:tc>
          <w:tcPr>
            <w:tcW w:w="1559" w:type="dxa"/>
            <w:tcBorders>
              <w:top w:val="single" w:sz="4" w:space="0" w:color="auto"/>
              <w:bottom w:val="single" w:sz="4" w:space="0" w:color="auto"/>
            </w:tcBorders>
            <w:hideMark/>
          </w:tcPr>
          <w:p w14:paraId="11EA5A86" w14:textId="77777777" w:rsidR="00D21613" w:rsidRPr="00DF7FEF" w:rsidRDefault="00D21613" w:rsidP="007E43E3">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Frequency</w:t>
            </w:r>
          </w:p>
        </w:tc>
        <w:tc>
          <w:tcPr>
            <w:tcW w:w="1559" w:type="dxa"/>
            <w:tcBorders>
              <w:top w:val="single" w:sz="4" w:space="0" w:color="auto"/>
              <w:bottom w:val="single" w:sz="4" w:space="0" w:color="auto"/>
            </w:tcBorders>
            <w:hideMark/>
          </w:tcPr>
          <w:p w14:paraId="669F8877" w14:textId="77777777" w:rsidR="00D21613" w:rsidRPr="00DF7FEF" w:rsidRDefault="00D21613" w:rsidP="007E43E3">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Percentage</w:t>
            </w:r>
          </w:p>
        </w:tc>
      </w:tr>
      <w:tr w:rsidR="00D21613" w:rsidRPr="00DF7FEF" w14:paraId="6FEF9364" w14:textId="77777777" w:rsidTr="006F3AF4">
        <w:trPr>
          <w:jc w:val="center"/>
        </w:trPr>
        <w:tc>
          <w:tcPr>
            <w:tcW w:w="2405" w:type="dxa"/>
            <w:tcBorders>
              <w:top w:val="single" w:sz="4" w:space="0" w:color="auto"/>
            </w:tcBorders>
            <w:hideMark/>
          </w:tcPr>
          <w:p w14:paraId="589BFF65"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Final RSBP</w:t>
            </w:r>
          </w:p>
        </w:tc>
        <w:tc>
          <w:tcPr>
            <w:tcW w:w="1843" w:type="dxa"/>
            <w:tcBorders>
              <w:top w:val="single" w:sz="4" w:space="0" w:color="auto"/>
            </w:tcBorders>
            <w:hideMark/>
          </w:tcPr>
          <w:p w14:paraId="73A1B51B"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&lt;120</w:t>
            </w:r>
          </w:p>
        </w:tc>
        <w:tc>
          <w:tcPr>
            <w:tcW w:w="1559" w:type="dxa"/>
            <w:tcBorders>
              <w:top w:val="single" w:sz="4" w:space="0" w:color="auto"/>
            </w:tcBorders>
            <w:hideMark/>
          </w:tcPr>
          <w:p w14:paraId="1DADD0D6"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w:t>
            </w:r>
          </w:p>
        </w:tc>
        <w:tc>
          <w:tcPr>
            <w:tcW w:w="1559" w:type="dxa"/>
            <w:tcBorders>
              <w:top w:val="single" w:sz="4" w:space="0" w:color="auto"/>
            </w:tcBorders>
            <w:hideMark/>
          </w:tcPr>
          <w:p w14:paraId="30315751"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3.6%</w:t>
            </w:r>
          </w:p>
        </w:tc>
      </w:tr>
      <w:tr w:rsidR="00D21613" w:rsidRPr="00DF7FEF" w14:paraId="558B2F3E" w14:textId="77777777" w:rsidTr="006F3AF4">
        <w:trPr>
          <w:jc w:val="center"/>
        </w:trPr>
        <w:tc>
          <w:tcPr>
            <w:tcW w:w="2405" w:type="dxa"/>
            <w:hideMark/>
          </w:tcPr>
          <w:p w14:paraId="54F662C8"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hideMark/>
          </w:tcPr>
          <w:p w14:paraId="0B386B73"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120-129</w:t>
            </w:r>
          </w:p>
        </w:tc>
        <w:tc>
          <w:tcPr>
            <w:tcW w:w="1559" w:type="dxa"/>
            <w:hideMark/>
          </w:tcPr>
          <w:p w14:paraId="0E7ED79F"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160</w:t>
            </w:r>
          </w:p>
        </w:tc>
        <w:tc>
          <w:tcPr>
            <w:tcW w:w="1559" w:type="dxa"/>
            <w:hideMark/>
          </w:tcPr>
          <w:p w14:paraId="3322B51F"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72.7%</w:t>
            </w:r>
          </w:p>
        </w:tc>
      </w:tr>
      <w:tr w:rsidR="00D21613" w:rsidRPr="00DF7FEF" w14:paraId="5C249746" w14:textId="77777777" w:rsidTr="006F3AF4">
        <w:trPr>
          <w:jc w:val="center"/>
        </w:trPr>
        <w:tc>
          <w:tcPr>
            <w:tcW w:w="2405" w:type="dxa"/>
            <w:hideMark/>
          </w:tcPr>
          <w:p w14:paraId="57A03437"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hideMark/>
          </w:tcPr>
          <w:p w14:paraId="380001E4"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130-139</w:t>
            </w:r>
          </w:p>
        </w:tc>
        <w:tc>
          <w:tcPr>
            <w:tcW w:w="1559" w:type="dxa"/>
            <w:hideMark/>
          </w:tcPr>
          <w:p w14:paraId="73554E7C"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52</w:t>
            </w:r>
          </w:p>
        </w:tc>
        <w:tc>
          <w:tcPr>
            <w:tcW w:w="1559" w:type="dxa"/>
            <w:hideMark/>
          </w:tcPr>
          <w:p w14:paraId="2AB0CFE7"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23.6%</w:t>
            </w:r>
          </w:p>
        </w:tc>
      </w:tr>
      <w:tr w:rsidR="00D21613" w:rsidRPr="00DF7FEF" w14:paraId="6629E719" w14:textId="77777777" w:rsidTr="006F3AF4">
        <w:trPr>
          <w:jc w:val="center"/>
        </w:trPr>
        <w:tc>
          <w:tcPr>
            <w:tcW w:w="2405" w:type="dxa"/>
            <w:hideMark/>
          </w:tcPr>
          <w:p w14:paraId="02CC47C7"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Final RDBP</w:t>
            </w:r>
          </w:p>
        </w:tc>
        <w:tc>
          <w:tcPr>
            <w:tcW w:w="1843" w:type="dxa"/>
            <w:hideMark/>
          </w:tcPr>
          <w:p w14:paraId="71EA4D9E"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&lt;80</w:t>
            </w:r>
          </w:p>
        </w:tc>
        <w:tc>
          <w:tcPr>
            <w:tcW w:w="1559" w:type="dxa"/>
            <w:hideMark/>
          </w:tcPr>
          <w:p w14:paraId="44B0ACAC"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10</w:t>
            </w:r>
          </w:p>
        </w:tc>
        <w:tc>
          <w:tcPr>
            <w:tcW w:w="1559" w:type="dxa"/>
            <w:hideMark/>
          </w:tcPr>
          <w:p w14:paraId="48DD2038"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4.5%</w:t>
            </w:r>
          </w:p>
        </w:tc>
      </w:tr>
      <w:tr w:rsidR="00D21613" w:rsidRPr="00DF7FEF" w14:paraId="4BC44462" w14:textId="77777777" w:rsidTr="006F3AF4">
        <w:trPr>
          <w:jc w:val="center"/>
        </w:trPr>
        <w:tc>
          <w:tcPr>
            <w:tcW w:w="2405" w:type="dxa"/>
            <w:hideMark/>
          </w:tcPr>
          <w:p w14:paraId="7093935B"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hideMark/>
          </w:tcPr>
          <w:p w14:paraId="6888EBC3"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80-84</w:t>
            </w:r>
          </w:p>
        </w:tc>
        <w:tc>
          <w:tcPr>
            <w:tcW w:w="1559" w:type="dxa"/>
            <w:hideMark/>
          </w:tcPr>
          <w:p w14:paraId="67C992A5"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205</w:t>
            </w:r>
          </w:p>
        </w:tc>
        <w:tc>
          <w:tcPr>
            <w:tcW w:w="1559" w:type="dxa"/>
            <w:hideMark/>
          </w:tcPr>
          <w:p w14:paraId="3B0BB8FB"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93.2%</w:t>
            </w:r>
          </w:p>
        </w:tc>
      </w:tr>
      <w:tr w:rsidR="00D21613" w:rsidRPr="00DF7FEF" w14:paraId="3F7C68D8" w14:textId="77777777" w:rsidTr="006F3AF4">
        <w:trPr>
          <w:jc w:val="center"/>
        </w:trPr>
        <w:tc>
          <w:tcPr>
            <w:tcW w:w="2405" w:type="dxa"/>
            <w:hideMark/>
          </w:tcPr>
          <w:p w14:paraId="43803D37"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hideMark/>
          </w:tcPr>
          <w:p w14:paraId="29B94A1D"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85-89</w:t>
            </w:r>
          </w:p>
        </w:tc>
        <w:tc>
          <w:tcPr>
            <w:tcW w:w="1559" w:type="dxa"/>
            <w:hideMark/>
          </w:tcPr>
          <w:p w14:paraId="445CF9ED"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w:t>
            </w:r>
          </w:p>
        </w:tc>
        <w:tc>
          <w:tcPr>
            <w:tcW w:w="1559" w:type="dxa"/>
            <w:hideMark/>
          </w:tcPr>
          <w:p w14:paraId="3DECC633"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2.3%</w:t>
            </w:r>
          </w:p>
        </w:tc>
      </w:tr>
      <w:tr w:rsidR="00D21613" w:rsidRPr="00DF7FEF" w14:paraId="3E41E74C" w14:textId="77777777" w:rsidTr="006F3AF4">
        <w:trPr>
          <w:jc w:val="center"/>
        </w:trPr>
        <w:tc>
          <w:tcPr>
            <w:tcW w:w="2405" w:type="dxa"/>
            <w:hideMark/>
          </w:tcPr>
          <w:p w14:paraId="22CF09E7"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Final RPR</w:t>
            </w:r>
          </w:p>
        </w:tc>
        <w:tc>
          <w:tcPr>
            <w:tcW w:w="1843" w:type="dxa"/>
            <w:hideMark/>
          </w:tcPr>
          <w:p w14:paraId="7BBB97D0"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&lt;60</w:t>
            </w:r>
          </w:p>
        </w:tc>
        <w:tc>
          <w:tcPr>
            <w:tcW w:w="1559" w:type="dxa"/>
            <w:hideMark/>
          </w:tcPr>
          <w:p w14:paraId="66BC0FE7"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w:t>
            </w:r>
          </w:p>
        </w:tc>
        <w:tc>
          <w:tcPr>
            <w:tcW w:w="1559" w:type="dxa"/>
            <w:hideMark/>
          </w:tcPr>
          <w:p w14:paraId="57BB0F2C"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0.9%</w:t>
            </w:r>
          </w:p>
        </w:tc>
      </w:tr>
      <w:tr w:rsidR="00D21613" w:rsidRPr="00DF7FEF" w14:paraId="55BDEC49" w14:textId="77777777" w:rsidTr="006F3AF4">
        <w:trPr>
          <w:jc w:val="center"/>
        </w:trPr>
        <w:tc>
          <w:tcPr>
            <w:tcW w:w="2405" w:type="dxa"/>
            <w:hideMark/>
          </w:tcPr>
          <w:p w14:paraId="01532010"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hideMark/>
          </w:tcPr>
          <w:p w14:paraId="6D01A3EE"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60-69</w:t>
            </w:r>
          </w:p>
        </w:tc>
        <w:tc>
          <w:tcPr>
            <w:tcW w:w="1559" w:type="dxa"/>
            <w:hideMark/>
          </w:tcPr>
          <w:p w14:paraId="72FAE269"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90</w:t>
            </w:r>
          </w:p>
        </w:tc>
        <w:tc>
          <w:tcPr>
            <w:tcW w:w="1559" w:type="dxa"/>
            <w:hideMark/>
          </w:tcPr>
          <w:p w14:paraId="1DCCD2C1"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40.9%</w:t>
            </w:r>
          </w:p>
        </w:tc>
      </w:tr>
      <w:tr w:rsidR="00D21613" w:rsidRPr="00DF7FEF" w14:paraId="6E01EC51" w14:textId="77777777" w:rsidTr="006F3AF4">
        <w:trPr>
          <w:jc w:val="center"/>
        </w:trPr>
        <w:tc>
          <w:tcPr>
            <w:tcW w:w="2405" w:type="dxa"/>
            <w:hideMark/>
          </w:tcPr>
          <w:p w14:paraId="721E92DE"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hideMark/>
          </w:tcPr>
          <w:p w14:paraId="19F55380"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70-79</w:t>
            </w:r>
          </w:p>
        </w:tc>
        <w:tc>
          <w:tcPr>
            <w:tcW w:w="1559" w:type="dxa"/>
            <w:hideMark/>
          </w:tcPr>
          <w:p w14:paraId="73910AEC"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118</w:t>
            </w:r>
          </w:p>
        </w:tc>
        <w:tc>
          <w:tcPr>
            <w:tcW w:w="1559" w:type="dxa"/>
            <w:hideMark/>
          </w:tcPr>
          <w:p w14:paraId="1E5CED22"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53.6%</w:t>
            </w:r>
          </w:p>
        </w:tc>
      </w:tr>
      <w:tr w:rsidR="00D21613" w:rsidRPr="00DF7FEF" w14:paraId="43CB4052" w14:textId="77777777" w:rsidTr="006F3AF4">
        <w:trPr>
          <w:jc w:val="center"/>
        </w:trPr>
        <w:tc>
          <w:tcPr>
            <w:tcW w:w="2405" w:type="dxa"/>
            <w:tcBorders>
              <w:bottom w:val="single" w:sz="4" w:space="0" w:color="auto"/>
            </w:tcBorders>
            <w:hideMark/>
          </w:tcPr>
          <w:p w14:paraId="5AD3DDC1" w14:textId="77777777" w:rsidR="00D21613" w:rsidRPr="00DF7FEF" w:rsidRDefault="00D21613" w:rsidP="007E43E3">
            <w:pPr>
              <w:jc w:val="both"/>
              <w:rPr>
                <w:rFonts w:ascii="Times New Roman" w:eastAsia="Times New Roman" w:hAnsi="Times New Roman" w:cs="Times New Roman"/>
                <w:sz w:val="24"/>
                <w:szCs w:val="24"/>
                <w:lang w:eastAsia="en-GB"/>
              </w:rPr>
            </w:pPr>
          </w:p>
        </w:tc>
        <w:tc>
          <w:tcPr>
            <w:tcW w:w="1843" w:type="dxa"/>
            <w:tcBorders>
              <w:bottom w:val="single" w:sz="4" w:space="0" w:color="auto"/>
            </w:tcBorders>
            <w:hideMark/>
          </w:tcPr>
          <w:p w14:paraId="0CEF188C"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≥80</w:t>
            </w:r>
          </w:p>
        </w:tc>
        <w:tc>
          <w:tcPr>
            <w:tcW w:w="1559" w:type="dxa"/>
            <w:tcBorders>
              <w:bottom w:val="single" w:sz="4" w:space="0" w:color="auto"/>
            </w:tcBorders>
            <w:hideMark/>
          </w:tcPr>
          <w:p w14:paraId="4B8D67C2"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10</w:t>
            </w:r>
          </w:p>
        </w:tc>
        <w:tc>
          <w:tcPr>
            <w:tcW w:w="1559" w:type="dxa"/>
            <w:tcBorders>
              <w:bottom w:val="single" w:sz="4" w:space="0" w:color="auto"/>
            </w:tcBorders>
            <w:hideMark/>
          </w:tcPr>
          <w:p w14:paraId="0AD26076" w14:textId="77777777" w:rsidR="00D21613" w:rsidRPr="00DF7FEF" w:rsidRDefault="00D21613" w:rsidP="007E43E3">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4.5%</w:t>
            </w:r>
          </w:p>
        </w:tc>
      </w:tr>
    </w:tbl>
    <w:p w14:paraId="676F5F21" w14:textId="77777777" w:rsidR="00D21613" w:rsidRPr="00DF7FEF" w:rsidRDefault="00D21613" w:rsidP="007E43E3">
      <w:pPr>
        <w:spacing w:after="0" w:line="360" w:lineRule="auto"/>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lastRenderedPageBreak/>
        <w:t>Statistical Interpretation:</w:t>
      </w:r>
    </w:p>
    <w:p w14:paraId="36A170EC" w14:textId="29CD8271" w:rsidR="00D21613" w:rsidRPr="00DF7FEF" w:rsidRDefault="00D21613" w:rsidP="007E43E3">
      <w:pPr>
        <w:spacing w:line="360" w:lineRule="auto"/>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Table 4: Following lifestyle modification, there was a shift towards lower blood pressure levels; 72.7% had systolic blood pressure in the 120–129 mmHg range, and 93.2% had diastolic pressure between 80–84 mmHg. Final pulse rates improved, with 53.6% within 70–79 bpm.</w:t>
      </w:r>
    </w:p>
    <w:p w14:paraId="6A75D1D8" w14:textId="38F2DE23" w:rsidR="00D21613" w:rsidRPr="00DF7FEF" w:rsidRDefault="00D21613" w:rsidP="007E43E3">
      <w:pPr>
        <w:spacing w:after="0" w:line="240" w:lineRule="auto"/>
        <w:jc w:val="both"/>
        <w:outlineLvl w:val="2"/>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Table 5: Descriptive Statistics of Final Weight, Height and BMI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701"/>
        <w:gridCol w:w="1842"/>
        <w:gridCol w:w="1736"/>
      </w:tblGrid>
      <w:tr w:rsidR="00D21613" w:rsidRPr="00DF7FEF" w14:paraId="37A5813A" w14:textId="77777777" w:rsidTr="006F3AF4">
        <w:trPr>
          <w:jc w:val="center"/>
        </w:trPr>
        <w:tc>
          <w:tcPr>
            <w:tcW w:w="2689" w:type="dxa"/>
            <w:tcBorders>
              <w:top w:val="single" w:sz="4" w:space="0" w:color="auto"/>
              <w:bottom w:val="single" w:sz="4" w:space="0" w:color="auto"/>
            </w:tcBorders>
            <w:hideMark/>
          </w:tcPr>
          <w:p w14:paraId="45002994"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Variable</w:t>
            </w:r>
          </w:p>
        </w:tc>
        <w:tc>
          <w:tcPr>
            <w:tcW w:w="1701" w:type="dxa"/>
            <w:tcBorders>
              <w:top w:val="single" w:sz="4" w:space="0" w:color="auto"/>
              <w:bottom w:val="single" w:sz="4" w:space="0" w:color="auto"/>
            </w:tcBorders>
            <w:hideMark/>
          </w:tcPr>
          <w:p w14:paraId="3247F200"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Categories</w:t>
            </w:r>
          </w:p>
        </w:tc>
        <w:tc>
          <w:tcPr>
            <w:tcW w:w="1842" w:type="dxa"/>
            <w:tcBorders>
              <w:top w:val="single" w:sz="4" w:space="0" w:color="auto"/>
              <w:bottom w:val="single" w:sz="4" w:space="0" w:color="auto"/>
            </w:tcBorders>
            <w:hideMark/>
          </w:tcPr>
          <w:p w14:paraId="0D1BBEAC"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Frequency</w:t>
            </w:r>
          </w:p>
        </w:tc>
        <w:tc>
          <w:tcPr>
            <w:tcW w:w="1736" w:type="dxa"/>
            <w:tcBorders>
              <w:top w:val="single" w:sz="4" w:space="0" w:color="auto"/>
              <w:bottom w:val="single" w:sz="4" w:space="0" w:color="auto"/>
            </w:tcBorders>
            <w:hideMark/>
          </w:tcPr>
          <w:p w14:paraId="7C6E89B3"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Percentage</w:t>
            </w:r>
          </w:p>
        </w:tc>
      </w:tr>
      <w:tr w:rsidR="00D21613" w:rsidRPr="00DF7FEF" w14:paraId="1DECFB5A" w14:textId="77777777" w:rsidTr="006F3AF4">
        <w:trPr>
          <w:jc w:val="center"/>
        </w:trPr>
        <w:tc>
          <w:tcPr>
            <w:tcW w:w="2689" w:type="dxa"/>
            <w:tcBorders>
              <w:top w:val="single" w:sz="4" w:space="0" w:color="auto"/>
            </w:tcBorders>
            <w:hideMark/>
          </w:tcPr>
          <w:p w14:paraId="635B68CF"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Final Weight (kg)</w:t>
            </w:r>
          </w:p>
        </w:tc>
        <w:tc>
          <w:tcPr>
            <w:tcW w:w="1701" w:type="dxa"/>
            <w:tcBorders>
              <w:top w:val="single" w:sz="4" w:space="0" w:color="auto"/>
            </w:tcBorders>
            <w:hideMark/>
          </w:tcPr>
          <w:p w14:paraId="44D0A5C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&lt;60</w:t>
            </w:r>
          </w:p>
        </w:tc>
        <w:tc>
          <w:tcPr>
            <w:tcW w:w="1842" w:type="dxa"/>
            <w:tcBorders>
              <w:top w:val="single" w:sz="4" w:space="0" w:color="auto"/>
            </w:tcBorders>
            <w:hideMark/>
          </w:tcPr>
          <w:p w14:paraId="13741E8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72</w:t>
            </w:r>
          </w:p>
        </w:tc>
        <w:tc>
          <w:tcPr>
            <w:tcW w:w="1736" w:type="dxa"/>
            <w:tcBorders>
              <w:top w:val="single" w:sz="4" w:space="0" w:color="auto"/>
            </w:tcBorders>
            <w:hideMark/>
          </w:tcPr>
          <w:p w14:paraId="68C30D9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32.7%</w:t>
            </w:r>
          </w:p>
        </w:tc>
      </w:tr>
      <w:tr w:rsidR="00D21613" w:rsidRPr="00DF7FEF" w14:paraId="6C82FF39" w14:textId="77777777" w:rsidTr="006F3AF4">
        <w:trPr>
          <w:jc w:val="center"/>
        </w:trPr>
        <w:tc>
          <w:tcPr>
            <w:tcW w:w="2689" w:type="dxa"/>
            <w:hideMark/>
          </w:tcPr>
          <w:p w14:paraId="27736697"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11337FD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60–69</w:t>
            </w:r>
          </w:p>
        </w:tc>
        <w:tc>
          <w:tcPr>
            <w:tcW w:w="1842" w:type="dxa"/>
            <w:hideMark/>
          </w:tcPr>
          <w:p w14:paraId="7FBCB59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55</w:t>
            </w:r>
          </w:p>
        </w:tc>
        <w:tc>
          <w:tcPr>
            <w:tcW w:w="1736" w:type="dxa"/>
            <w:hideMark/>
          </w:tcPr>
          <w:p w14:paraId="058F7B8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25.0%</w:t>
            </w:r>
          </w:p>
        </w:tc>
      </w:tr>
      <w:tr w:rsidR="00D21613" w:rsidRPr="00DF7FEF" w14:paraId="511F4D6E" w14:textId="77777777" w:rsidTr="006F3AF4">
        <w:trPr>
          <w:jc w:val="center"/>
        </w:trPr>
        <w:tc>
          <w:tcPr>
            <w:tcW w:w="2689" w:type="dxa"/>
            <w:hideMark/>
          </w:tcPr>
          <w:p w14:paraId="78862058"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4C93CCE0"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70–79</w:t>
            </w:r>
          </w:p>
        </w:tc>
        <w:tc>
          <w:tcPr>
            <w:tcW w:w="1842" w:type="dxa"/>
            <w:hideMark/>
          </w:tcPr>
          <w:p w14:paraId="5D277F6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55</w:t>
            </w:r>
          </w:p>
        </w:tc>
        <w:tc>
          <w:tcPr>
            <w:tcW w:w="1736" w:type="dxa"/>
            <w:hideMark/>
          </w:tcPr>
          <w:p w14:paraId="4F50281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25.0%</w:t>
            </w:r>
          </w:p>
        </w:tc>
      </w:tr>
      <w:tr w:rsidR="00D21613" w:rsidRPr="00DF7FEF" w14:paraId="1D09FDEB" w14:textId="77777777" w:rsidTr="006F3AF4">
        <w:trPr>
          <w:jc w:val="center"/>
        </w:trPr>
        <w:tc>
          <w:tcPr>
            <w:tcW w:w="2689" w:type="dxa"/>
            <w:hideMark/>
          </w:tcPr>
          <w:p w14:paraId="38EA4296"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0E09553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80–89</w:t>
            </w:r>
          </w:p>
        </w:tc>
        <w:tc>
          <w:tcPr>
            <w:tcW w:w="1842" w:type="dxa"/>
            <w:hideMark/>
          </w:tcPr>
          <w:p w14:paraId="171758A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28</w:t>
            </w:r>
          </w:p>
        </w:tc>
        <w:tc>
          <w:tcPr>
            <w:tcW w:w="1736" w:type="dxa"/>
            <w:hideMark/>
          </w:tcPr>
          <w:p w14:paraId="75B0DC8D"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12.7%</w:t>
            </w:r>
          </w:p>
        </w:tc>
      </w:tr>
      <w:tr w:rsidR="00D21613" w:rsidRPr="00DF7FEF" w14:paraId="63EC5548" w14:textId="77777777" w:rsidTr="006F3AF4">
        <w:trPr>
          <w:jc w:val="center"/>
        </w:trPr>
        <w:tc>
          <w:tcPr>
            <w:tcW w:w="2689" w:type="dxa"/>
            <w:hideMark/>
          </w:tcPr>
          <w:p w14:paraId="235EDB0B"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0905F11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≥90</w:t>
            </w:r>
          </w:p>
        </w:tc>
        <w:tc>
          <w:tcPr>
            <w:tcW w:w="1842" w:type="dxa"/>
            <w:hideMark/>
          </w:tcPr>
          <w:p w14:paraId="43FECCC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10</w:t>
            </w:r>
          </w:p>
        </w:tc>
        <w:tc>
          <w:tcPr>
            <w:tcW w:w="1736" w:type="dxa"/>
            <w:hideMark/>
          </w:tcPr>
          <w:p w14:paraId="2101FA4E"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4.5%</w:t>
            </w:r>
          </w:p>
        </w:tc>
      </w:tr>
      <w:tr w:rsidR="00D21613" w:rsidRPr="00DF7FEF" w14:paraId="6FFAB529" w14:textId="77777777" w:rsidTr="006F3AF4">
        <w:trPr>
          <w:jc w:val="center"/>
        </w:trPr>
        <w:tc>
          <w:tcPr>
            <w:tcW w:w="2689" w:type="dxa"/>
          </w:tcPr>
          <w:p w14:paraId="7C9087EA" w14:textId="77777777" w:rsidR="00D21613" w:rsidRPr="00DF7FEF" w:rsidRDefault="00D21613" w:rsidP="006F3AF4">
            <w:pPr>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Height</w:t>
            </w:r>
          </w:p>
        </w:tc>
        <w:tc>
          <w:tcPr>
            <w:tcW w:w="1701" w:type="dxa"/>
          </w:tcPr>
          <w:p w14:paraId="4FBB174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&lt;160</w:t>
            </w:r>
          </w:p>
        </w:tc>
        <w:tc>
          <w:tcPr>
            <w:tcW w:w="1842" w:type="dxa"/>
          </w:tcPr>
          <w:p w14:paraId="57785DE6"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47</w:t>
            </w:r>
          </w:p>
        </w:tc>
        <w:tc>
          <w:tcPr>
            <w:tcW w:w="1736" w:type="dxa"/>
          </w:tcPr>
          <w:p w14:paraId="3FB7245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21.4%</w:t>
            </w:r>
          </w:p>
        </w:tc>
      </w:tr>
      <w:tr w:rsidR="00D21613" w:rsidRPr="00DF7FEF" w14:paraId="5713E921" w14:textId="77777777" w:rsidTr="006F3AF4">
        <w:trPr>
          <w:jc w:val="center"/>
        </w:trPr>
        <w:tc>
          <w:tcPr>
            <w:tcW w:w="2689" w:type="dxa"/>
          </w:tcPr>
          <w:p w14:paraId="0004DAA3"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tcPr>
          <w:p w14:paraId="554452B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 xml:space="preserve">160 </w:t>
            </w:r>
            <w:r w:rsidRPr="00DF7FEF">
              <w:rPr>
                <w:rFonts w:ascii="Times New Roman" w:eastAsia="Times New Roman" w:hAnsi="Times New Roman" w:cs="Times New Roman" w:hint="eastAsia"/>
                <w:sz w:val="24"/>
                <w:szCs w:val="24"/>
                <w:lang w:eastAsia="en-GB"/>
              </w:rPr>
              <w:t>–</w:t>
            </w:r>
            <w:r w:rsidRPr="00DF7FEF">
              <w:rPr>
                <w:rFonts w:ascii="Times New Roman" w:eastAsia="Times New Roman" w:hAnsi="Times New Roman" w:cs="Times New Roman"/>
                <w:sz w:val="24"/>
                <w:szCs w:val="24"/>
                <w:lang w:eastAsia="en-GB"/>
              </w:rPr>
              <w:t xml:space="preserve"> 169 </w:t>
            </w:r>
          </w:p>
        </w:tc>
        <w:tc>
          <w:tcPr>
            <w:tcW w:w="1842" w:type="dxa"/>
          </w:tcPr>
          <w:p w14:paraId="392521F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115</w:t>
            </w:r>
          </w:p>
        </w:tc>
        <w:tc>
          <w:tcPr>
            <w:tcW w:w="1736" w:type="dxa"/>
          </w:tcPr>
          <w:p w14:paraId="609534B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52.3%</w:t>
            </w:r>
          </w:p>
        </w:tc>
      </w:tr>
      <w:tr w:rsidR="00D21613" w:rsidRPr="00DF7FEF" w14:paraId="54501151" w14:textId="77777777" w:rsidTr="006F3AF4">
        <w:trPr>
          <w:jc w:val="center"/>
        </w:trPr>
        <w:tc>
          <w:tcPr>
            <w:tcW w:w="2689" w:type="dxa"/>
          </w:tcPr>
          <w:p w14:paraId="31E38DFA"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tcPr>
          <w:p w14:paraId="01CA746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 xml:space="preserve">170 </w:t>
            </w:r>
            <w:r w:rsidRPr="00DF7FEF">
              <w:rPr>
                <w:rFonts w:ascii="Times New Roman" w:eastAsia="Times New Roman" w:hAnsi="Times New Roman" w:cs="Times New Roman" w:hint="eastAsia"/>
                <w:sz w:val="24"/>
                <w:szCs w:val="24"/>
                <w:lang w:eastAsia="en-GB"/>
              </w:rPr>
              <w:t>–</w:t>
            </w:r>
            <w:r w:rsidRPr="00DF7FEF">
              <w:rPr>
                <w:rFonts w:ascii="Times New Roman" w:eastAsia="Times New Roman" w:hAnsi="Times New Roman" w:cs="Times New Roman"/>
                <w:sz w:val="24"/>
                <w:szCs w:val="24"/>
                <w:lang w:eastAsia="en-GB"/>
              </w:rPr>
              <w:t xml:space="preserve"> 179  </w:t>
            </w:r>
          </w:p>
        </w:tc>
        <w:tc>
          <w:tcPr>
            <w:tcW w:w="1842" w:type="dxa"/>
          </w:tcPr>
          <w:p w14:paraId="4EDF8EC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55</w:t>
            </w:r>
          </w:p>
        </w:tc>
        <w:tc>
          <w:tcPr>
            <w:tcW w:w="1736" w:type="dxa"/>
          </w:tcPr>
          <w:p w14:paraId="7175EE9E"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25.0%</w:t>
            </w:r>
          </w:p>
        </w:tc>
      </w:tr>
      <w:tr w:rsidR="00D21613" w:rsidRPr="00DF7FEF" w14:paraId="178714C6" w14:textId="77777777" w:rsidTr="006F3AF4">
        <w:trPr>
          <w:jc w:val="center"/>
        </w:trPr>
        <w:tc>
          <w:tcPr>
            <w:tcW w:w="2689" w:type="dxa"/>
          </w:tcPr>
          <w:p w14:paraId="1EB53C40"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tcPr>
          <w:p w14:paraId="29D52557"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≥180</w:t>
            </w:r>
          </w:p>
        </w:tc>
        <w:tc>
          <w:tcPr>
            <w:tcW w:w="1842" w:type="dxa"/>
          </w:tcPr>
          <w:p w14:paraId="7106360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w:t>
            </w:r>
          </w:p>
        </w:tc>
        <w:tc>
          <w:tcPr>
            <w:tcW w:w="1736" w:type="dxa"/>
          </w:tcPr>
          <w:p w14:paraId="16535F9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1.4%</w:t>
            </w:r>
          </w:p>
        </w:tc>
      </w:tr>
      <w:tr w:rsidR="00D21613" w:rsidRPr="00DF7FEF" w14:paraId="03A809FB" w14:textId="77777777" w:rsidTr="006F3AF4">
        <w:trPr>
          <w:jc w:val="center"/>
        </w:trPr>
        <w:tc>
          <w:tcPr>
            <w:tcW w:w="2689" w:type="dxa"/>
            <w:hideMark/>
          </w:tcPr>
          <w:p w14:paraId="3434BF8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b/>
                <w:bCs/>
                <w:sz w:val="24"/>
                <w:szCs w:val="24"/>
                <w:lang w:eastAsia="en-GB"/>
              </w:rPr>
              <w:t>Final BMI</w:t>
            </w:r>
          </w:p>
        </w:tc>
        <w:tc>
          <w:tcPr>
            <w:tcW w:w="1701" w:type="dxa"/>
            <w:hideMark/>
          </w:tcPr>
          <w:p w14:paraId="66A38DF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&lt;18.5</w:t>
            </w:r>
          </w:p>
        </w:tc>
        <w:tc>
          <w:tcPr>
            <w:tcW w:w="1842" w:type="dxa"/>
            <w:hideMark/>
          </w:tcPr>
          <w:p w14:paraId="2B89BE88"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28</w:t>
            </w:r>
          </w:p>
        </w:tc>
        <w:tc>
          <w:tcPr>
            <w:tcW w:w="1736" w:type="dxa"/>
            <w:hideMark/>
          </w:tcPr>
          <w:p w14:paraId="5E5F28AB"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12.7%</w:t>
            </w:r>
          </w:p>
        </w:tc>
      </w:tr>
      <w:tr w:rsidR="00D21613" w:rsidRPr="00DF7FEF" w14:paraId="2F4864BD" w14:textId="77777777" w:rsidTr="006F3AF4">
        <w:trPr>
          <w:jc w:val="center"/>
        </w:trPr>
        <w:tc>
          <w:tcPr>
            <w:tcW w:w="2689" w:type="dxa"/>
            <w:hideMark/>
          </w:tcPr>
          <w:p w14:paraId="60939E33"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1A28F753"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18.5–24.9</w:t>
            </w:r>
          </w:p>
        </w:tc>
        <w:tc>
          <w:tcPr>
            <w:tcW w:w="1842" w:type="dxa"/>
            <w:hideMark/>
          </w:tcPr>
          <w:p w14:paraId="30A4FB1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92</w:t>
            </w:r>
          </w:p>
        </w:tc>
        <w:tc>
          <w:tcPr>
            <w:tcW w:w="1736" w:type="dxa"/>
            <w:hideMark/>
          </w:tcPr>
          <w:p w14:paraId="4441E704"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41.8%</w:t>
            </w:r>
          </w:p>
        </w:tc>
      </w:tr>
      <w:tr w:rsidR="00D21613" w:rsidRPr="00DF7FEF" w14:paraId="3CEECE65" w14:textId="77777777" w:rsidTr="006F3AF4">
        <w:trPr>
          <w:jc w:val="center"/>
        </w:trPr>
        <w:tc>
          <w:tcPr>
            <w:tcW w:w="2689" w:type="dxa"/>
            <w:hideMark/>
          </w:tcPr>
          <w:p w14:paraId="074D69CD"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hideMark/>
          </w:tcPr>
          <w:p w14:paraId="3FE0875C"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25–29.9</w:t>
            </w:r>
          </w:p>
        </w:tc>
        <w:tc>
          <w:tcPr>
            <w:tcW w:w="1842" w:type="dxa"/>
            <w:hideMark/>
          </w:tcPr>
          <w:p w14:paraId="23B59C8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66</w:t>
            </w:r>
          </w:p>
        </w:tc>
        <w:tc>
          <w:tcPr>
            <w:tcW w:w="1736" w:type="dxa"/>
            <w:hideMark/>
          </w:tcPr>
          <w:p w14:paraId="0941D0AA"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30.0%</w:t>
            </w:r>
          </w:p>
        </w:tc>
      </w:tr>
      <w:tr w:rsidR="00D21613" w:rsidRPr="00DF7FEF" w14:paraId="379DEEFF" w14:textId="77777777" w:rsidTr="006F3AF4">
        <w:trPr>
          <w:jc w:val="center"/>
        </w:trPr>
        <w:tc>
          <w:tcPr>
            <w:tcW w:w="2689" w:type="dxa"/>
            <w:tcBorders>
              <w:bottom w:val="single" w:sz="4" w:space="0" w:color="auto"/>
            </w:tcBorders>
            <w:hideMark/>
          </w:tcPr>
          <w:p w14:paraId="3070BADB" w14:textId="77777777" w:rsidR="00D21613" w:rsidRPr="00DF7FEF" w:rsidRDefault="00D21613" w:rsidP="006F3AF4">
            <w:pPr>
              <w:jc w:val="both"/>
              <w:rPr>
                <w:rFonts w:ascii="Times New Roman" w:eastAsia="Times New Roman" w:hAnsi="Times New Roman" w:cs="Times New Roman"/>
                <w:sz w:val="24"/>
                <w:szCs w:val="24"/>
                <w:lang w:eastAsia="en-GB"/>
              </w:rPr>
            </w:pPr>
          </w:p>
        </w:tc>
        <w:tc>
          <w:tcPr>
            <w:tcW w:w="1701" w:type="dxa"/>
            <w:tcBorders>
              <w:bottom w:val="single" w:sz="4" w:space="0" w:color="auto"/>
            </w:tcBorders>
            <w:hideMark/>
          </w:tcPr>
          <w:p w14:paraId="6FBD25F1"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≥30</w:t>
            </w:r>
          </w:p>
        </w:tc>
        <w:tc>
          <w:tcPr>
            <w:tcW w:w="1842" w:type="dxa"/>
            <w:tcBorders>
              <w:bottom w:val="single" w:sz="4" w:space="0" w:color="auto"/>
            </w:tcBorders>
            <w:hideMark/>
          </w:tcPr>
          <w:p w14:paraId="46658C35"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34</w:t>
            </w:r>
          </w:p>
        </w:tc>
        <w:tc>
          <w:tcPr>
            <w:tcW w:w="1736" w:type="dxa"/>
            <w:tcBorders>
              <w:bottom w:val="single" w:sz="4" w:space="0" w:color="auto"/>
            </w:tcBorders>
            <w:hideMark/>
          </w:tcPr>
          <w:p w14:paraId="40C09842" w14:textId="77777777" w:rsidR="00D21613" w:rsidRPr="00DF7FEF" w:rsidRDefault="00D21613" w:rsidP="006F3AF4">
            <w:pPr>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15.5%</w:t>
            </w:r>
          </w:p>
        </w:tc>
      </w:tr>
    </w:tbl>
    <w:p w14:paraId="40E6905E" w14:textId="77777777" w:rsidR="00D21613" w:rsidRPr="00DF7FEF" w:rsidRDefault="00D21613" w:rsidP="007E43E3">
      <w:pPr>
        <w:spacing w:after="0" w:line="360" w:lineRule="auto"/>
        <w:jc w:val="both"/>
        <w:rPr>
          <w:rFonts w:ascii="Times New Roman" w:eastAsia="Times New Roman" w:hAnsi="Times New Roman" w:cs="Times New Roman"/>
          <w:b/>
          <w:bCs/>
          <w:sz w:val="24"/>
          <w:szCs w:val="24"/>
          <w:lang w:eastAsia="en-GB"/>
        </w:rPr>
      </w:pPr>
      <w:r w:rsidRPr="00DF7FEF">
        <w:rPr>
          <w:rFonts w:ascii="Times New Roman" w:eastAsia="Times New Roman" w:hAnsi="Times New Roman" w:cs="Times New Roman"/>
          <w:b/>
          <w:bCs/>
          <w:sz w:val="24"/>
          <w:szCs w:val="24"/>
          <w:lang w:eastAsia="en-GB"/>
        </w:rPr>
        <w:t>Statistical Interpretation:</w:t>
      </w:r>
    </w:p>
    <w:p w14:paraId="75A486BF" w14:textId="247F31AC" w:rsidR="00D21613" w:rsidRPr="00DF7FEF" w:rsidRDefault="00D21613" w:rsidP="007E43E3">
      <w:pPr>
        <w:spacing w:line="480" w:lineRule="auto"/>
        <w:jc w:val="both"/>
        <w:rPr>
          <w:rFonts w:ascii="Times New Roman" w:eastAsia="Times New Roman" w:hAnsi="Times New Roman" w:cs="Times New Roman"/>
          <w:sz w:val="24"/>
          <w:szCs w:val="24"/>
          <w:lang w:eastAsia="en-GB"/>
        </w:rPr>
      </w:pPr>
      <w:r w:rsidRPr="00DF7FEF">
        <w:rPr>
          <w:rFonts w:ascii="Times New Roman" w:eastAsia="Times New Roman" w:hAnsi="Times New Roman" w:cs="Times New Roman"/>
          <w:sz w:val="24"/>
          <w:szCs w:val="24"/>
          <w:lang w:eastAsia="en-GB"/>
        </w:rPr>
        <w:t>Table 5: After intervention, more participants fell into lower weight categories, with 32.7% under 60 kg. BMI improved as well, with 41.8% now in the normal range (18.5–24.9). Regarding height, most participants were between 160 and 169 cm (52.3%).</w:t>
      </w:r>
    </w:p>
    <w:p w14:paraId="5BB13E6B" w14:textId="77777777" w:rsidR="00D21613" w:rsidRPr="007E43E3" w:rsidRDefault="00D21613" w:rsidP="007E43E3">
      <w:pPr>
        <w:spacing w:after="0"/>
        <w:jc w:val="center"/>
        <w:rPr>
          <w:rFonts w:ascii="Times New Roman" w:hAnsi="Times New Roman" w:cs="Times New Roman"/>
          <w:b/>
          <w:bCs/>
          <w:sz w:val="24"/>
          <w:szCs w:val="24"/>
        </w:rPr>
      </w:pPr>
      <w:r w:rsidRPr="007E43E3">
        <w:rPr>
          <w:b/>
          <w:bCs/>
          <w:noProof/>
          <w:sz w:val="24"/>
          <w:szCs w:val="24"/>
        </w:rPr>
        <w:drawing>
          <wp:inline distT="0" distB="0" distL="0" distR="0" wp14:anchorId="2E191637" wp14:editId="2592D0E8">
            <wp:extent cx="5638800" cy="3613150"/>
            <wp:effectExtent l="0" t="0" r="0" b="6350"/>
            <wp:docPr id="3" name="Chart 3">
              <a:extLst xmlns:a="http://schemas.openxmlformats.org/drawingml/2006/main">
                <a:ext uri="{FF2B5EF4-FFF2-40B4-BE49-F238E27FC236}">
                  <a16:creationId xmlns:a16="http://schemas.microsoft.com/office/drawing/2014/main" id="{C338B938-94D3-4F99-B694-38A9B3156C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9B46F4E" w14:textId="4F2A2BB4" w:rsidR="00D21613" w:rsidRPr="007E43E3" w:rsidRDefault="00D21613" w:rsidP="007E43E3">
      <w:pPr>
        <w:jc w:val="center"/>
        <w:rPr>
          <w:rFonts w:ascii="Times New Roman" w:hAnsi="Times New Roman" w:cs="Times New Roman"/>
          <w:b/>
          <w:bCs/>
          <w:sz w:val="24"/>
          <w:szCs w:val="24"/>
        </w:rPr>
      </w:pPr>
      <w:r w:rsidRPr="007E43E3">
        <w:rPr>
          <w:rFonts w:ascii="Times New Roman" w:hAnsi="Times New Roman" w:cs="Times New Roman"/>
          <w:b/>
          <w:bCs/>
          <w:sz w:val="24"/>
          <w:szCs w:val="24"/>
        </w:rPr>
        <w:lastRenderedPageBreak/>
        <w:t>Figure</w:t>
      </w:r>
      <w:r w:rsidR="007E43E3" w:rsidRPr="007E43E3">
        <w:rPr>
          <w:rFonts w:ascii="Times New Roman" w:hAnsi="Times New Roman" w:cs="Times New Roman"/>
          <w:b/>
          <w:bCs/>
          <w:sz w:val="24"/>
          <w:szCs w:val="24"/>
        </w:rPr>
        <w:t xml:space="preserve"> 2</w:t>
      </w:r>
      <w:r w:rsidRPr="007E43E3">
        <w:rPr>
          <w:rFonts w:ascii="Times New Roman" w:hAnsi="Times New Roman" w:cs="Times New Roman"/>
          <w:b/>
          <w:bCs/>
          <w:sz w:val="24"/>
          <w:szCs w:val="24"/>
        </w:rPr>
        <w:t>: BMI Demographic Statistics</w:t>
      </w:r>
    </w:p>
    <w:p w14:paraId="5A1ED468" w14:textId="77777777" w:rsidR="00D21613" w:rsidRPr="007E43E3" w:rsidRDefault="00D21613" w:rsidP="007E43E3">
      <w:pPr>
        <w:pStyle w:val="Heading2"/>
        <w:spacing w:before="0"/>
        <w:jc w:val="both"/>
        <w:rPr>
          <w:rFonts w:ascii="Times New Roman" w:hAnsi="Times New Roman" w:cs="Times New Roman"/>
          <w:b/>
          <w:bCs/>
          <w:i/>
          <w:iCs/>
          <w:color w:val="000000" w:themeColor="text1"/>
          <w:sz w:val="24"/>
          <w:szCs w:val="24"/>
        </w:rPr>
      </w:pPr>
      <w:r w:rsidRPr="007E43E3">
        <w:rPr>
          <w:rFonts w:ascii="Times New Roman" w:hAnsi="Times New Roman" w:cs="Times New Roman"/>
          <w:b/>
          <w:bCs/>
          <w:i/>
          <w:iCs/>
          <w:color w:val="000000" w:themeColor="text1"/>
          <w:sz w:val="24"/>
          <w:szCs w:val="24"/>
        </w:rPr>
        <w:t>Descriptive Statistics</w:t>
      </w:r>
    </w:p>
    <w:p w14:paraId="6BC78826" w14:textId="77777777" w:rsidR="00D21613" w:rsidRPr="00DF7FEF" w:rsidRDefault="00D21613" w:rsidP="007E43E3">
      <w:pPr>
        <w:spacing w:line="360" w:lineRule="auto"/>
        <w:jc w:val="both"/>
        <w:rPr>
          <w:rFonts w:ascii="Times New Roman" w:hAnsi="Times New Roman" w:cs="Times New Roman"/>
          <w:sz w:val="24"/>
          <w:szCs w:val="24"/>
        </w:rPr>
      </w:pPr>
      <w:r w:rsidRPr="00DF7FEF">
        <w:rPr>
          <w:rFonts w:ascii="Times New Roman" w:hAnsi="Times New Roman" w:cs="Times New Roman"/>
          <w:sz w:val="24"/>
          <w:szCs w:val="24"/>
        </w:rPr>
        <w:t>The descriptive statistics summarize the key characteristics of the study participants, including demographic, clinical, and anthropometric measurements before and after lifestyle modification. These statistics provide an overview of the central tendencies, variability, and ranges of the measured variables.</w:t>
      </w:r>
    </w:p>
    <w:p w14:paraId="60BF08FF" w14:textId="7545FAF2" w:rsidR="00D21613" w:rsidRPr="00DF7FEF" w:rsidRDefault="00D21613" w:rsidP="007E43E3">
      <w:pPr>
        <w:spacing w:after="0"/>
        <w:jc w:val="both"/>
        <w:rPr>
          <w:rFonts w:ascii="Times New Roman" w:hAnsi="Times New Roman" w:cs="Times New Roman"/>
          <w:b/>
          <w:bCs/>
          <w:sz w:val="24"/>
          <w:szCs w:val="24"/>
        </w:rPr>
      </w:pPr>
      <w:r w:rsidRPr="00DF7FEF">
        <w:rPr>
          <w:rFonts w:ascii="Times New Roman" w:hAnsi="Times New Roman" w:cs="Times New Roman"/>
          <w:b/>
          <w:bCs/>
          <w:sz w:val="24"/>
          <w:szCs w:val="24"/>
        </w:rPr>
        <w:t>Table</w:t>
      </w:r>
      <w:r w:rsidR="007E43E3">
        <w:rPr>
          <w:rFonts w:ascii="Times New Roman" w:hAnsi="Times New Roman" w:cs="Times New Roman"/>
          <w:b/>
          <w:bCs/>
          <w:sz w:val="24"/>
          <w:szCs w:val="24"/>
        </w:rPr>
        <w:t xml:space="preserve"> 6</w:t>
      </w:r>
      <w:r w:rsidRPr="00DF7FEF">
        <w:rPr>
          <w:rFonts w:ascii="Times New Roman" w:hAnsi="Times New Roman" w:cs="Times New Roman"/>
          <w:b/>
          <w:bCs/>
          <w:sz w:val="24"/>
          <w:szCs w:val="24"/>
        </w:rPr>
        <w:t>: Descriptive Statistics of Data on Age, Initial and Final (SBP, DBP and RPR)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1134"/>
        <w:gridCol w:w="992"/>
        <w:gridCol w:w="1984"/>
      </w:tblGrid>
      <w:tr w:rsidR="00D21613" w:rsidRPr="00DF7FEF" w14:paraId="420F2D18" w14:textId="77777777" w:rsidTr="006F3AF4">
        <w:trPr>
          <w:jc w:val="center"/>
        </w:trPr>
        <w:tc>
          <w:tcPr>
            <w:tcW w:w="2689" w:type="dxa"/>
            <w:tcBorders>
              <w:top w:val="single" w:sz="4" w:space="0" w:color="auto"/>
              <w:bottom w:val="single" w:sz="4" w:space="0" w:color="auto"/>
            </w:tcBorders>
            <w:hideMark/>
          </w:tcPr>
          <w:p w14:paraId="1BC90DC2"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Variable</w:t>
            </w:r>
          </w:p>
        </w:tc>
        <w:tc>
          <w:tcPr>
            <w:tcW w:w="1134" w:type="dxa"/>
            <w:tcBorders>
              <w:top w:val="single" w:sz="4" w:space="0" w:color="auto"/>
              <w:bottom w:val="single" w:sz="4" w:space="0" w:color="auto"/>
            </w:tcBorders>
            <w:hideMark/>
          </w:tcPr>
          <w:p w14:paraId="0B218D44"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Mean</w:t>
            </w:r>
          </w:p>
        </w:tc>
        <w:tc>
          <w:tcPr>
            <w:tcW w:w="992" w:type="dxa"/>
            <w:tcBorders>
              <w:top w:val="single" w:sz="4" w:space="0" w:color="auto"/>
              <w:bottom w:val="single" w:sz="4" w:space="0" w:color="auto"/>
            </w:tcBorders>
            <w:hideMark/>
          </w:tcPr>
          <w:p w14:paraId="21352F9D"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SD</w:t>
            </w:r>
          </w:p>
        </w:tc>
        <w:tc>
          <w:tcPr>
            <w:tcW w:w="1984" w:type="dxa"/>
            <w:tcBorders>
              <w:top w:val="single" w:sz="4" w:space="0" w:color="auto"/>
              <w:bottom w:val="single" w:sz="4" w:space="0" w:color="auto"/>
            </w:tcBorders>
            <w:hideMark/>
          </w:tcPr>
          <w:p w14:paraId="10705F92"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Range</w:t>
            </w:r>
          </w:p>
        </w:tc>
      </w:tr>
      <w:tr w:rsidR="00D21613" w:rsidRPr="00DF7FEF" w14:paraId="0D5CEF44" w14:textId="77777777" w:rsidTr="006F3AF4">
        <w:trPr>
          <w:jc w:val="center"/>
        </w:trPr>
        <w:tc>
          <w:tcPr>
            <w:tcW w:w="2689" w:type="dxa"/>
            <w:tcBorders>
              <w:top w:val="single" w:sz="4" w:space="0" w:color="auto"/>
            </w:tcBorders>
            <w:hideMark/>
          </w:tcPr>
          <w:p w14:paraId="5B41CF61"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Age (Years)</w:t>
            </w:r>
          </w:p>
        </w:tc>
        <w:tc>
          <w:tcPr>
            <w:tcW w:w="1134" w:type="dxa"/>
            <w:tcBorders>
              <w:top w:val="single" w:sz="4" w:space="0" w:color="auto"/>
            </w:tcBorders>
            <w:hideMark/>
          </w:tcPr>
          <w:p w14:paraId="06BD9807"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46.09</w:t>
            </w:r>
          </w:p>
        </w:tc>
        <w:tc>
          <w:tcPr>
            <w:tcW w:w="992" w:type="dxa"/>
            <w:tcBorders>
              <w:top w:val="single" w:sz="4" w:space="0" w:color="auto"/>
            </w:tcBorders>
            <w:hideMark/>
          </w:tcPr>
          <w:p w14:paraId="327E0B93"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4.00</w:t>
            </w:r>
          </w:p>
        </w:tc>
        <w:tc>
          <w:tcPr>
            <w:tcW w:w="1984" w:type="dxa"/>
            <w:tcBorders>
              <w:top w:val="single" w:sz="4" w:space="0" w:color="auto"/>
            </w:tcBorders>
            <w:hideMark/>
          </w:tcPr>
          <w:p w14:paraId="288EE7BC"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42 – 52</w:t>
            </w:r>
          </w:p>
        </w:tc>
      </w:tr>
      <w:tr w:rsidR="00D21613" w:rsidRPr="00DF7FEF" w14:paraId="344A5DBF" w14:textId="77777777" w:rsidTr="006F3AF4">
        <w:trPr>
          <w:jc w:val="center"/>
        </w:trPr>
        <w:tc>
          <w:tcPr>
            <w:tcW w:w="2689" w:type="dxa"/>
            <w:hideMark/>
          </w:tcPr>
          <w:p w14:paraId="4153C09F"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Initial RSBP (mmHg)</w:t>
            </w:r>
          </w:p>
        </w:tc>
        <w:tc>
          <w:tcPr>
            <w:tcW w:w="1134" w:type="dxa"/>
            <w:hideMark/>
          </w:tcPr>
          <w:p w14:paraId="45116116"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132.28</w:t>
            </w:r>
          </w:p>
        </w:tc>
        <w:tc>
          <w:tcPr>
            <w:tcW w:w="992" w:type="dxa"/>
            <w:hideMark/>
          </w:tcPr>
          <w:p w14:paraId="46C67437"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4.74</w:t>
            </w:r>
          </w:p>
        </w:tc>
        <w:tc>
          <w:tcPr>
            <w:tcW w:w="1984" w:type="dxa"/>
            <w:hideMark/>
          </w:tcPr>
          <w:p w14:paraId="4665390C"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110.0 – 145.0</w:t>
            </w:r>
          </w:p>
        </w:tc>
      </w:tr>
      <w:tr w:rsidR="00D21613" w:rsidRPr="00DF7FEF" w14:paraId="6E7079DA" w14:textId="77777777" w:rsidTr="006F3AF4">
        <w:trPr>
          <w:jc w:val="center"/>
        </w:trPr>
        <w:tc>
          <w:tcPr>
            <w:tcW w:w="2689" w:type="dxa"/>
            <w:hideMark/>
          </w:tcPr>
          <w:p w14:paraId="23FB40CE"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Initial RDBP (mmHg)</w:t>
            </w:r>
          </w:p>
        </w:tc>
        <w:tc>
          <w:tcPr>
            <w:tcW w:w="1134" w:type="dxa"/>
            <w:hideMark/>
          </w:tcPr>
          <w:p w14:paraId="78F1DF32"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87.46</w:t>
            </w:r>
          </w:p>
        </w:tc>
        <w:tc>
          <w:tcPr>
            <w:tcW w:w="992" w:type="dxa"/>
            <w:hideMark/>
          </w:tcPr>
          <w:p w14:paraId="720C827D"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1.99</w:t>
            </w:r>
          </w:p>
        </w:tc>
        <w:tc>
          <w:tcPr>
            <w:tcW w:w="1984" w:type="dxa"/>
            <w:hideMark/>
          </w:tcPr>
          <w:p w14:paraId="64F6E307"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75.0 – 95.0</w:t>
            </w:r>
          </w:p>
        </w:tc>
      </w:tr>
      <w:tr w:rsidR="00D21613" w:rsidRPr="00DF7FEF" w14:paraId="673CBB79" w14:textId="77777777" w:rsidTr="006F3AF4">
        <w:trPr>
          <w:jc w:val="center"/>
        </w:trPr>
        <w:tc>
          <w:tcPr>
            <w:tcW w:w="2689" w:type="dxa"/>
            <w:hideMark/>
          </w:tcPr>
          <w:p w14:paraId="6BFF9921"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Final RSBP (mmHg)</w:t>
            </w:r>
          </w:p>
        </w:tc>
        <w:tc>
          <w:tcPr>
            <w:tcW w:w="1134" w:type="dxa"/>
            <w:hideMark/>
          </w:tcPr>
          <w:p w14:paraId="47A2676C"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126.34</w:t>
            </w:r>
          </w:p>
        </w:tc>
        <w:tc>
          <w:tcPr>
            <w:tcW w:w="992" w:type="dxa"/>
            <w:hideMark/>
          </w:tcPr>
          <w:p w14:paraId="3C666B62"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5.28</w:t>
            </w:r>
          </w:p>
        </w:tc>
        <w:tc>
          <w:tcPr>
            <w:tcW w:w="1984" w:type="dxa"/>
            <w:hideMark/>
          </w:tcPr>
          <w:p w14:paraId="40325D94"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110.0 – 134.5</w:t>
            </w:r>
          </w:p>
        </w:tc>
      </w:tr>
      <w:tr w:rsidR="00D21613" w:rsidRPr="00DF7FEF" w14:paraId="7D94F4B3" w14:textId="77777777" w:rsidTr="006F3AF4">
        <w:trPr>
          <w:jc w:val="center"/>
        </w:trPr>
        <w:tc>
          <w:tcPr>
            <w:tcW w:w="2689" w:type="dxa"/>
            <w:hideMark/>
          </w:tcPr>
          <w:p w14:paraId="1FF10074"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Final RDBP (mmHg)</w:t>
            </w:r>
          </w:p>
        </w:tc>
        <w:tc>
          <w:tcPr>
            <w:tcW w:w="1134" w:type="dxa"/>
            <w:hideMark/>
          </w:tcPr>
          <w:p w14:paraId="7BAB2067"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81.80</w:t>
            </w:r>
          </w:p>
        </w:tc>
        <w:tc>
          <w:tcPr>
            <w:tcW w:w="992" w:type="dxa"/>
            <w:hideMark/>
          </w:tcPr>
          <w:p w14:paraId="6F070D72"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1.66</w:t>
            </w:r>
          </w:p>
        </w:tc>
        <w:tc>
          <w:tcPr>
            <w:tcW w:w="1984" w:type="dxa"/>
            <w:hideMark/>
          </w:tcPr>
          <w:p w14:paraId="7C9BBC55"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75 – 87</w:t>
            </w:r>
          </w:p>
        </w:tc>
      </w:tr>
      <w:tr w:rsidR="00D21613" w:rsidRPr="00DF7FEF" w14:paraId="31929A35" w14:textId="77777777" w:rsidTr="006F3AF4">
        <w:trPr>
          <w:jc w:val="center"/>
        </w:trPr>
        <w:tc>
          <w:tcPr>
            <w:tcW w:w="2689" w:type="dxa"/>
            <w:hideMark/>
          </w:tcPr>
          <w:p w14:paraId="567C5F8D"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Initial RPR (bpm)</w:t>
            </w:r>
          </w:p>
        </w:tc>
        <w:tc>
          <w:tcPr>
            <w:tcW w:w="1134" w:type="dxa"/>
            <w:hideMark/>
          </w:tcPr>
          <w:p w14:paraId="7C6A8D0B"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77.55</w:t>
            </w:r>
          </w:p>
        </w:tc>
        <w:tc>
          <w:tcPr>
            <w:tcW w:w="992" w:type="dxa"/>
            <w:hideMark/>
          </w:tcPr>
          <w:p w14:paraId="1EB1E39F"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5.35</w:t>
            </w:r>
          </w:p>
        </w:tc>
        <w:tc>
          <w:tcPr>
            <w:tcW w:w="1984" w:type="dxa"/>
            <w:hideMark/>
          </w:tcPr>
          <w:p w14:paraId="297611B8"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64.5 – 95.0</w:t>
            </w:r>
          </w:p>
        </w:tc>
      </w:tr>
      <w:tr w:rsidR="00D21613" w:rsidRPr="00DF7FEF" w14:paraId="49AE945C" w14:textId="77777777" w:rsidTr="006F3AF4">
        <w:trPr>
          <w:jc w:val="center"/>
        </w:trPr>
        <w:tc>
          <w:tcPr>
            <w:tcW w:w="2689" w:type="dxa"/>
            <w:tcBorders>
              <w:bottom w:val="single" w:sz="4" w:space="0" w:color="auto"/>
            </w:tcBorders>
            <w:hideMark/>
          </w:tcPr>
          <w:p w14:paraId="6032BF57"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Final RPR (bpm)</w:t>
            </w:r>
          </w:p>
        </w:tc>
        <w:tc>
          <w:tcPr>
            <w:tcW w:w="1134" w:type="dxa"/>
            <w:tcBorders>
              <w:bottom w:val="single" w:sz="4" w:space="0" w:color="auto"/>
            </w:tcBorders>
            <w:hideMark/>
          </w:tcPr>
          <w:p w14:paraId="15E34F84"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70.71</w:t>
            </w:r>
          </w:p>
        </w:tc>
        <w:tc>
          <w:tcPr>
            <w:tcW w:w="992" w:type="dxa"/>
            <w:tcBorders>
              <w:bottom w:val="single" w:sz="4" w:space="0" w:color="auto"/>
            </w:tcBorders>
            <w:hideMark/>
          </w:tcPr>
          <w:p w14:paraId="4C6E2570"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5.92</w:t>
            </w:r>
          </w:p>
        </w:tc>
        <w:tc>
          <w:tcPr>
            <w:tcW w:w="1984" w:type="dxa"/>
            <w:tcBorders>
              <w:bottom w:val="single" w:sz="4" w:space="0" w:color="auto"/>
            </w:tcBorders>
            <w:hideMark/>
          </w:tcPr>
          <w:p w14:paraId="389F1327"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55.0 – 85.0</w:t>
            </w:r>
          </w:p>
        </w:tc>
      </w:tr>
    </w:tbl>
    <w:p w14:paraId="497E7B6B" w14:textId="77777777" w:rsidR="00D21613" w:rsidRPr="00DF7FEF" w:rsidRDefault="00D21613" w:rsidP="007E43E3">
      <w:pPr>
        <w:spacing w:after="0" w:line="360" w:lineRule="auto"/>
        <w:jc w:val="both"/>
        <w:rPr>
          <w:rFonts w:ascii="Times New Roman" w:hAnsi="Times New Roman" w:cs="Times New Roman"/>
          <w:b/>
          <w:bCs/>
          <w:sz w:val="24"/>
          <w:szCs w:val="24"/>
        </w:rPr>
      </w:pPr>
      <w:r w:rsidRPr="00DF7FEF">
        <w:rPr>
          <w:rFonts w:ascii="Times New Roman" w:hAnsi="Times New Roman" w:cs="Times New Roman"/>
          <w:b/>
          <w:bCs/>
          <w:sz w:val="24"/>
          <w:szCs w:val="24"/>
        </w:rPr>
        <w:t>Statistical Interpretation:</w:t>
      </w:r>
    </w:p>
    <w:p w14:paraId="1451843A" w14:textId="70CABCC0" w:rsidR="00D21613" w:rsidRPr="00DF7FEF" w:rsidRDefault="00D21613" w:rsidP="007E43E3">
      <w:pPr>
        <w:spacing w:line="360" w:lineRule="auto"/>
        <w:jc w:val="both"/>
        <w:rPr>
          <w:rFonts w:ascii="Times New Roman" w:hAnsi="Times New Roman" w:cs="Times New Roman"/>
          <w:sz w:val="24"/>
          <w:szCs w:val="24"/>
        </w:rPr>
      </w:pPr>
      <w:r w:rsidRPr="00DF7FEF">
        <w:rPr>
          <w:rFonts w:ascii="Times New Roman" w:hAnsi="Times New Roman" w:cs="Times New Roman"/>
          <w:sz w:val="24"/>
          <w:szCs w:val="24"/>
        </w:rPr>
        <w:t xml:space="preserve">Table </w:t>
      </w:r>
      <w:r w:rsidR="007E43E3">
        <w:rPr>
          <w:rFonts w:ascii="Times New Roman" w:hAnsi="Times New Roman" w:cs="Times New Roman"/>
          <w:sz w:val="24"/>
          <w:szCs w:val="24"/>
        </w:rPr>
        <w:t>6</w:t>
      </w:r>
      <w:r w:rsidRPr="00DF7FEF">
        <w:rPr>
          <w:rFonts w:ascii="Times New Roman" w:hAnsi="Times New Roman" w:cs="Times New Roman"/>
          <w:sz w:val="24"/>
          <w:szCs w:val="24"/>
        </w:rPr>
        <w:t xml:space="preserve"> shows that participants were on average 46 years old. Initial systolic and diastolic blood pressures averaged 132.28 mmHg and 87.46 mmHg, respectively, with both decreasing at the final measurement to 126.34 mmHg and 81.80 mmHg. Resting pulse rate also dropped from 77.55 bpm initially to 70.71 bpm finally. These reductions suggest an overall improvement in cardiovascular measures over time.</w:t>
      </w:r>
    </w:p>
    <w:p w14:paraId="164A5C12" w14:textId="0AE3BA0F" w:rsidR="00D21613" w:rsidRPr="00DF7FEF" w:rsidRDefault="00D21613" w:rsidP="00D21613">
      <w:pPr>
        <w:jc w:val="both"/>
        <w:rPr>
          <w:rFonts w:ascii="Times New Roman" w:hAnsi="Times New Roman" w:cs="Times New Roman"/>
          <w:sz w:val="24"/>
          <w:szCs w:val="24"/>
        </w:rPr>
      </w:pPr>
      <w:r w:rsidRPr="00DF7FEF">
        <w:rPr>
          <w:rFonts w:ascii="Times New Roman" w:hAnsi="Times New Roman" w:cs="Times New Roman"/>
          <w:b/>
          <w:bCs/>
          <w:sz w:val="24"/>
          <w:szCs w:val="24"/>
        </w:rPr>
        <w:t xml:space="preserve">Table </w:t>
      </w:r>
      <w:r w:rsidR="007E43E3">
        <w:rPr>
          <w:rFonts w:ascii="Times New Roman" w:hAnsi="Times New Roman" w:cs="Times New Roman"/>
          <w:b/>
          <w:bCs/>
          <w:sz w:val="24"/>
          <w:szCs w:val="24"/>
        </w:rPr>
        <w:t>7</w:t>
      </w:r>
      <w:r w:rsidRPr="00DF7FEF">
        <w:rPr>
          <w:rFonts w:ascii="Times New Roman" w:hAnsi="Times New Roman" w:cs="Times New Roman"/>
          <w:b/>
          <w:bCs/>
          <w:sz w:val="24"/>
          <w:szCs w:val="24"/>
        </w:rPr>
        <w:t>: Descriptive Statistics of Data on Height, Initial and Final (Weight, and BMI)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134"/>
        <w:gridCol w:w="1276"/>
        <w:gridCol w:w="1843"/>
      </w:tblGrid>
      <w:tr w:rsidR="00D21613" w:rsidRPr="00DF7FEF" w14:paraId="1F250738" w14:textId="77777777" w:rsidTr="006F3AF4">
        <w:trPr>
          <w:jc w:val="center"/>
        </w:trPr>
        <w:tc>
          <w:tcPr>
            <w:tcW w:w="2405" w:type="dxa"/>
            <w:tcBorders>
              <w:top w:val="single" w:sz="4" w:space="0" w:color="auto"/>
              <w:bottom w:val="single" w:sz="4" w:space="0" w:color="auto"/>
            </w:tcBorders>
            <w:hideMark/>
          </w:tcPr>
          <w:p w14:paraId="3DBADE74"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Variable</w:t>
            </w:r>
          </w:p>
        </w:tc>
        <w:tc>
          <w:tcPr>
            <w:tcW w:w="1134" w:type="dxa"/>
            <w:tcBorders>
              <w:top w:val="single" w:sz="4" w:space="0" w:color="auto"/>
              <w:bottom w:val="single" w:sz="4" w:space="0" w:color="auto"/>
            </w:tcBorders>
            <w:hideMark/>
          </w:tcPr>
          <w:p w14:paraId="44F4DFA8"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Mean</w:t>
            </w:r>
          </w:p>
        </w:tc>
        <w:tc>
          <w:tcPr>
            <w:tcW w:w="1276" w:type="dxa"/>
            <w:tcBorders>
              <w:top w:val="single" w:sz="4" w:space="0" w:color="auto"/>
              <w:bottom w:val="single" w:sz="4" w:space="0" w:color="auto"/>
            </w:tcBorders>
            <w:hideMark/>
          </w:tcPr>
          <w:p w14:paraId="01350FDE"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SD</w:t>
            </w:r>
          </w:p>
        </w:tc>
        <w:tc>
          <w:tcPr>
            <w:tcW w:w="1843" w:type="dxa"/>
            <w:tcBorders>
              <w:top w:val="single" w:sz="4" w:space="0" w:color="auto"/>
              <w:bottom w:val="single" w:sz="4" w:space="0" w:color="auto"/>
            </w:tcBorders>
            <w:hideMark/>
          </w:tcPr>
          <w:p w14:paraId="6BAE7756" w14:textId="77777777" w:rsidR="00D21613" w:rsidRPr="00DF7FEF" w:rsidRDefault="00D21613" w:rsidP="006F3AF4">
            <w:pPr>
              <w:spacing w:line="276" w:lineRule="auto"/>
              <w:jc w:val="both"/>
              <w:rPr>
                <w:rFonts w:ascii="Times New Roman" w:eastAsia="Times New Roman" w:hAnsi="Times New Roman" w:cs="Times New Roman"/>
                <w:b/>
                <w:bCs/>
                <w:sz w:val="24"/>
                <w:szCs w:val="24"/>
              </w:rPr>
            </w:pPr>
            <w:r w:rsidRPr="00DF7FEF">
              <w:rPr>
                <w:rFonts w:ascii="Times New Roman" w:eastAsia="Times New Roman" w:hAnsi="Times New Roman" w:cs="Times New Roman"/>
                <w:b/>
                <w:bCs/>
                <w:sz w:val="24"/>
                <w:szCs w:val="24"/>
              </w:rPr>
              <w:t>Range</w:t>
            </w:r>
          </w:p>
        </w:tc>
      </w:tr>
      <w:tr w:rsidR="00D21613" w:rsidRPr="00DF7FEF" w14:paraId="701E3DBD" w14:textId="77777777" w:rsidTr="006F3AF4">
        <w:trPr>
          <w:jc w:val="center"/>
        </w:trPr>
        <w:tc>
          <w:tcPr>
            <w:tcW w:w="2405" w:type="dxa"/>
            <w:tcBorders>
              <w:top w:val="single" w:sz="4" w:space="0" w:color="auto"/>
            </w:tcBorders>
            <w:hideMark/>
          </w:tcPr>
          <w:p w14:paraId="6A92C0CA"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Height (cm)</w:t>
            </w:r>
          </w:p>
        </w:tc>
        <w:tc>
          <w:tcPr>
            <w:tcW w:w="1134" w:type="dxa"/>
            <w:tcBorders>
              <w:top w:val="single" w:sz="4" w:space="0" w:color="auto"/>
            </w:tcBorders>
            <w:hideMark/>
          </w:tcPr>
          <w:p w14:paraId="1AFAF03C"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165.25</w:t>
            </w:r>
          </w:p>
        </w:tc>
        <w:tc>
          <w:tcPr>
            <w:tcW w:w="1276" w:type="dxa"/>
            <w:tcBorders>
              <w:top w:val="single" w:sz="4" w:space="0" w:color="auto"/>
            </w:tcBorders>
            <w:hideMark/>
          </w:tcPr>
          <w:p w14:paraId="27DEE206"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7.03</w:t>
            </w:r>
          </w:p>
        </w:tc>
        <w:tc>
          <w:tcPr>
            <w:tcW w:w="1843" w:type="dxa"/>
            <w:tcBorders>
              <w:top w:val="single" w:sz="4" w:space="0" w:color="auto"/>
            </w:tcBorders>
            <w:hideMark/>
          </w:tcPr>
          <w:p w14:paraId="2C91CACF"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155.0 – 185.0</w:t>
            </w:r>
          </w:p>
        </w:tc>
      </w:tr>
      <w:tr w:rsidR="00D21613" w:rsidRPr="00DF7FEF" w14:paraId="34F86387" w14:textId="77777777" w:rsidTr="006F3AF4">
        <w:trPr>
          <w:jc w:val="center"/>
        </w:trPr>
        <w:tc>
          <w:tcPr>
            <w:tcW w:w="2405" w:type="dxa"/>
            <w:hideMark/>
          </w:tcPr>
          <w:p w14:paraId="533373FF"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Initial Weight (kg)</w:t>
            </w:r>
          </w:p>
        </w:tc>
        <w:tc>
          <w:tcPr>
            <w:tcW w:w="1134" w:type="dxa"/>
            <w:hideMark/>
          </w:tcPr>
          <w:p w14:paraId="77F5CCAF"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73.68</w:t>
            </w:r>
          </w:p>
        </w:tc>
        <w:tc>
          <w:tcPr>
            <w:tcW w:w="1276" w:type="dxa"/>
            <w:hideMark/>
          </w:tcPr>
          <w:p w14:paraId="2BBA479E"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13.59</w:t>
            </w:r>
          </w:p>
        </w:tc>
        <w:tc>
          <w:tcPr>
            <w:tcW w:w="1843" w:type="dxa"/>
            <w:hideMark/>
          </w:tcPr>
          <w:p w14:paraId="245A3D8F"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55.0 – 95.0</w:t>
            </w:r>
          </w:p>
        </w:tc>
      </w:tr>
      <w:tr w:rsidR="00D21613" w:rsidRPr="00DF7FEF" w14:paraId="3EC87593" w14:textId="77777777" w:rsidTr="006F3AF4">
        <w:trPr>
          <w:jc w:val="center"/>
        </w:trPr>
        <w:tc>
          <w:tcPr>
            <w:tcW w:w="2405" w:type="dxa"/>
            <w:hideMark/>
          </w:tcPr>
          <w:p w14:paraId="380EFDF2"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BMI</w:t>
            </w:r>
          </w:p>
        </w:tc>
        <w:tc>
          <w:tcPr>
            <w:tcW w:w="1134" w:type="dxa"/>
            <w:hideMark/>
          </w:tcPr>
          <w:p w14:paraId="323106D4"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26.32</w:t>
            </w:r>
          </w:p>
        </w:tc>
        <w:tc>
          <w:tcPr>
            <w:tcW w:w="1276" w:type="dxa"/>
            <w:hideMark/>
          </w:tcPr>
          <w:p w14:paraId="1DDFCBA9"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4.66</w:t>
            </w:r>
          </w:p>
        </w:tc>
        <w:tc>
          <w:tcPr>
            <w:tcW w:w="1843" w:type="dxa"/>
            <w:hideMark/>
          </w:tcPr>
          <w:p w14:paraId="2D94C14D"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17.0 – 32.0</w:t>
            </w:r>
          </w:p>
        </w:tc>
      </w:tr>
      <w:tr w:rsidR="00D21613" w:rsidRPr="00DF7FEF" w14:paraId="2D08C19A" w14:textId="77777777" w:rsidTr="006F3AF4">
        <w:trPr>
          <w:jc w:val="center"/>
        </w:trPr>
        <w:tc>
          <w:tcPr>
            <w:tcW w:w="2405" w:type="dxa"/>
            <w:hideMark/>
          </w:tcPr>
          <w:p w14:paraId="2B5350A3"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Final Weight (kg)</w:t>
            </w:r>
          </w:p>
        </w:tc>
        <w:tc>
          <w:tcPr>
            <w:tcW w:w="1134" w:type="dxa"/>
            <w:hideMark/>
          </w:tcPr>
          <w:p w14:paraId="36493496"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67.82</w:t>
            </w:r>
          </w:p>
        </w:tc>
        <w:tc>
          <w:tcPr>
            <w:tcW w:w="1276" w:type="dxa"/>
            <w:hideMark/>
          </w:tcPr>
          <w:p w14:paraId="31734140"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11.69</w:t>
            </w:r>
          </w:p>
        </w:tc>
        <w:tc>
          <w:tcPr>
            <w:tcW w:w="1843" w:type="dxa"/>
            <w:hideMark/>
          </w:tcPr>
          <w:p w14:paraId="2D9AF72A"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55.0 – 95.0</w:t>
            </w:r>
          </w:p>
        </w:tc>
      </w:tr>
      <w:tr w:rsidR="00D21613" w:rsidRPr="00DF7FEF" w14:paraId="228F693B" w14:textId="77777777" w:rsidTr="006F3AF4">
        <w:trPr>
          <w:jc w:val="center"/>
        </w:trPr>
        <w:tc>
          <w:tcPr>
            <w:tcW w:w="2405" w:type="dxa"/>
            <w:tcBorders>
              <w:bottom w:val="single" w:sz="4" w:space="0" w:color="auto"/>
            </w:tcBorders>
            <w:hideMark/>
          </w:tcPr>
          <w:p w14:paraId="43F80564"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Final BMI</w:t>
            </w:r>
          </w:p>
        </w:tc>
        <w:tc>
          <w:tcPr>
            <w:tcW w:w="1134" w:type="dxa"/>
            <w:tcBorders>
              <w:bottom w:val="single" w:sz="4" w:space="0" w:color="auto"/>
            </w:tcBorders>
            <w:hideMark/>
          </w:tcPr>
          <w:p w14:paraId="1CF39C01"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24.40</w:t>
            </w:r>
          </w:p>
        </w:tc>
        <w:tc>
          <w:tcPr>
            <w:tcW w:w="1276" w:type="dxa"/>
            <w:tcBorders>
              <w:bottom w:val="single" w:sz="4" w:space="0" w:color="auto"/>
            </w:tcBorders>
            <w:hideMark/>
          </w:tcPr>
          <w:p w14:paraId="48B4A190"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4.65</w:t>
            </w:r>
          </w:p>
        </w:tc>
        <w:tc>
          <w:tcPr>
            <w:tcW w:w="1843" w:type="dxa"/>
            <w:tcBorders>
              <w:bottom w:val="single" w:sz="4" w:space="0" w:color="auto"/>
            </w:tcBorders>
            <w:hideMark/>
          </w:tcPr>
          <w:p w14:paraId="54A6EAED" w14:textId="77777777" w:rsidR="00D21613" w:rsidRPr="00DF7FEF" w:rsidRDefault="00D21613" w:rsidP="006F3AF4">
            <w:pPr>
              <w:spacing w:line="276" w:lineRule="auto"/>
              <w:jc w:val="both"/>
              <w:rPr>
                <w:rFonts w:ascii="Times New Roman" w:eastAsia="Times New Roman" w:hAnsi="Times New Roman" w:cs="Times New Roman"/>
                <w:sz w:val="24"/>
                <w:szCs w:val="24"/>
              </w:rPr>
            </w:pPr>
            <w:r w:rsidRPr="00DF7FEF">
              <w:rPr>
                <w:rFonts w:ascii="Times New Roman" w:eastAsia="Times New Roman" w:hAnsi="Times New Roman" w:cs="Times New Roman"/>
                <w:sz w:val="24"/>
                <w:szCs w:val="24"/>
              </w:rPr>
              <w:t>17.0 – 32.0</w:t>
            </w:r>
          </w:p>
        </w:tc>
      </w:tr>
    </w:tbl>
    <w:p w14:paraId="72C4BBD2" w14:textId="77777777" w:rsidR="00D21613" w:rsidRPr="00DF7FEF" w:rsidRDefault="00D21613" w:rsidP="00AD4023">
      <w:pPr>
        <w:spacing w:after="0" w:line="360" w:lineRule="auto"/>
        <w:jc w:val="both"/>
        <w:rPr>
          <w:rFonts w:ascii="Times New Roman" w:hAnsi="Times New Roman" w:cs="Times New Roman"/>
          <w:b/>
          <w:bCs/>
          <w:sz w:val="24"/>
          <w:szCs w:val="24"/>
        </w:rPr>
      </w:pPr>
      <w:r w:rsidRPr="00DF7FEF">
        <w:rPr>
          <w:rFonts w:ascii="Times New Roman" w:hAnsi="Times New Roman" w:cs="Times New Roman"/>
          <w:b/>
          <w:bCs/>
          <w:sz w:val="24"/>
          <w:szCs w:val="24"/>
        </w:rPr>
        <w:t>Statistical Interpretation:</w:t>
      </w:r>
    </w:p>
    <w:p w14:paraId="00665AC2" w14:textId="19811257" w:rsidR="00D21613" w:rsidRPr="00DF7FEF" w:rsidRDefault="00D21613" w:rsidP="00AD4023">
      <w:pPr>
        <w:spacing w:line="360" w:lineRule="auto"/>
        <w:jc w:val="both"/>
        <w:rPr>
          <w:rFonts w:ascii="Times New Roman" w:hAnsi="Times New Roman" w:cs="Times New Roman"/>
          <w:b/>
          <w:bCs/>
          <w:sz w:val="24"/>
          <w:szCs w:val="24"/>
        </w:rPr>
      </w:pPr>
      <w:r w:rsidRPr="00DF7FEF">
        <w:rPr>
          <w:rFonts w:ascii="Times New Roman" w:hAnsi="Times New Roman" w:cs="Times New Roman"/>
          <w:sz w:val="24"/>
          <w:szCs w:val="24"/>
        </w:rPr>
        <w:t xml:space="preserve">Table </w:t>
      </w:r>
      <w:r w:rsidR="00AD4023">
        <w:rPr>
          <w:rFonts w:ascii="Times New Roman" w:hAnsi="Times New Roman" w:cs="Times New Roman"/>
          <w:sz w:val="24"/>
          <w:szCs w:val="24"/>
        </w:rPr>
        <w:t>7.</w:t>
      </w:r>
      <w:r w:rsidRPr="00DF7FEF">
        <w:rPr>
          <w:rFonts w:ascii="Times New Roman" w:hAnsi="Times New Roman" w:cs="Times New Roman"/>
          <w:sz w:val="24"/>
          <w:szCs w:val="24"/>
        </w:rPr>
        <w:t xml:space="preserve"> data show the average height of participants was 165.25 cm. Initial weight averaged 73.68 kg with a corresponding BMI of 26.32, indicating slight overweight. At the final measurement, both weight and BMI decreased to 67.82 kg and 24.40, respectively, reflecting an overall improvement toward a healthier body weight.</w:t>
      </w:r>
    </w:p>
    <w:p w14:paraId="71B47481" w14:textId="77777777" w:rsidR="00D21613" w:rsidRPr="00AD4023" w:rsidRDefault="00D21613" w:rsidP="00AD4023">
      <w:pPr>
        <w:jc w:val="both"/>
        <w:rPr>
          <w:rFonts w:ascii="Times New Roman" w:hAnsi="Times New Roman" w:cs="Times New Roman"/>
          <w:b/>
          <w:bCs/>
          <w:i/>
          <w:iCs/>
          <w:sz w:val="24"/>
          <w:szCs w:val="24"/>
        </w:rPr>
      </w:pPr>
      <w:r w:rsidRPr="00AD4023">
        <w:rPr>
          <w:rFonts w:ascii="Times New Roman" w:hAnsi="Times New Roman" w:cs="Times New Roman"/>
          <w:b/>
          <w:bCs/>
          <w:i/>
          <w:iCs/>
          <w:sz w:val="24"/>
          <w:szCs w:val="24"/>
        </w:rPr>
        <w:t xml:space="preserve">Inferential Statistics </w:t>
      </w:r>
    </w:p>
    <w:p w14:paraId="32E66344" w14:textId="77777777" w:rsidR="00D21613" w:rsidRPr="00DF7FEF" w:rsidRDefault="00D21613" w:rsidP="00AD4023">
      <w:pPr>
        <w:spacing w:after="0" w:line="360" w:lineRule="auto"/>
        <w:jc w:val="both"/>
        <w:rPr>
          <w:rFonts w:ascii="Times New Roman" w:hAnsi="Times New Roman" w:cs="Times New Roman"/>
          <w:sz w:val="24"/>
          <w:szCs w:val="24"/>
        </w:rPr>
      </w:pPr>
      <w:r w:rsidRPr="00DF7FEF">
        <w:rPr>
          <w:rFonts w:ascii="Times New Roman" w:hAnsi="Times New Roman" w:cs="Times New Roman"/>
          <w:sz w:val="24"/>
          <w:szCs w:val="24"/>
        </w:rPr>
        <w:t xml:space="preserve">The statistical analysis assessed the impact of lifestyle modification on key physiological parameters, including weight, body mass index (BMI), blood pressure, and pulse rate, </w:t>
      </w:r>
      <w:r w:rsidRPr="00DF7FEF">
        <w:rPr>
          <w:rFonts w:ascii="Times New Roman" w:hAnsi="Times New Roman" w:cs="Times New Roman"/>
          <w:sz w:val="24"/>
          <w:szCs w:val="24"/>
        </w:rPr>
        <w:lastRenderedPageBreak/>
        <w:t>comparing pre-intervention and post-intervention values using paired sample t-tests. The results demonstrated statistically significant reductions across all measured variables, indicating the effectiveness of the intervention in mitigating cardiovascular risk factors among prehypertensive individuals.</w:t>
      </w:r>
    </w:p>
    <w:p w14:paraId="4B7AE6DE" w14:textId="47DF90BE" w:rsidR="00D21613" w:rsidRPr="00DF7FEF" w:rsidRDefault="00D21613" w:rsidP="00AD4023">
      <w:pPr>
        <w:spacing w:after="0"/>
        <w:rPr>
          <w:rFonts w:ascii="Times New Roman" w:hAnsi="Times New Roman" w:cs="Times New Roman"/>
          <w:sz w:val="24"/>
          <w:szCs w:val="24"/>
        </w:rPr>
      </w:pPr>
      <w:r w:rsidRPr="00DF7FEF">
        <w:rPr>
          <w:rStyle w:val="Strong"/>
          <w:rFonts w:ascii="Times New Roman" w:eastAsia="Times New Roman" w:hAnsi="Times New Roman" w:cs="Times New Roman"/>
          <w:sz w:val="24"/>
          <w:szCs w:val="24"/>
        </w:rPr>
        <w:t xml:space="preserve">Table </w:t>
      </w:r>
      <w:r w:rsidR="00AD4023">
        <w:rPr>
          <w:rStyle w:val="Strong"/>
          <w:rFonts w:ascii="Times New Roman" w:eastAsia="Times New Roman" w:hAnsi="Times New Roman" w:cs="Times New Roman"/>
          <w:sz w:val="24"/>
          <w:szCs w:val="24"/>
        </w:rPr>
        <w:t>8</w:t>
      </w:r>
      <w:r w:rsidRPr="00DF7FEF">
        <w:rPr>
          <w:rStyle w:val="Strong"/>
          <w:rFonts w:ascii="Times New Roman" w:eastAsia="Times New Roman" w:hAnsi="Times New Roman" w:cs="Times New Roman"/>
          <w:sz w:val="24"/>
          <w:szCs w:val="24"/>
        </w:rPr>
        <w:t>: Comparison of Weight and BMI (Pre vs. Post Intervention)</w:t>
      </w:r>
    </w:p>
    <w:tbl>
      <w:tblPr>
        <w:tblStyle w:val="TableGrid"/>
        <w:tblW w:w="0" w:type="auto"/>
        <w:tblLook w:val="04A0" w:firstRow="1" w:lastRow="0" w:firstColumn="1" w:lastColumn="0" w:noHBand="0" w:noVBand="1"/>
      </w:tblPr>
      <w:tblGrid>
        <w:gridCol w:w="1455"/>
        <w:gridCol w:w="1163"/>
        <w:gridCol w:w="923"/>
        <w:gridCol w:w="1256"/>
        <w:gridCol w:w="1017"/>
        <w:gridCol w:w="1136"/>
        <w:gridCol w:w="989"/>
      </w:tblGrid>
      <w:tr w:rsidR="00D21613" w:rsidRPr="00DF7FEF" w14:paraId="2CD774D1" w14:textId="77777777" w:rsidTr="006F3AF4">
        <w:tc>
          <w:tcPr>
            <w:tcW w:w="0" w:type="auto"/>
            <w:hideMark/>
          </w:tcPr>
          <w:p w14:paraId="44F7B135"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Variable</w:t>
            </w:r>
          </w:p>
        </w:tc>
        <w:tc>
          <w:tcPr>
            <w:tcW w:w="0" w:type="auto"/>
            <w:hideMark/>
          </w:tcPr>
          <w:p w14:paraId="6D5620EF"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Pre-Mean</w:t>
            </w:r>
          </w:p>
        </w:tc>
        <w:tc>
          <w:tcPr>
            <w:tcW w:w="0" w:type="auto"/>
            <w:hideMark/>
          </w:tcPr>
          <w:p w14:paraId="1C3A532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Pre-SD</w:t>
            </w:r>
          </w:p>
        </w:tc>
        <w:tc>
          <w:tcPr>
            <w:tcW w:w="0" w:type="auto"/>
            <w:hideMark/>
          </w:tcPr>
          <w:p w14:paraId="0493FED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Post-Mean</w:t>
            </w:r>
          </w:p>
        </w:tc>
        <w:tc>
          <w:tcPr>
            <w:tcW w:w="0" w:type="auto"/>
            <w:hideMark/>
          </w:tcPr>
          <w:p w14:paraId="3CA36BFF"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Post-SD</w:t>
            </w:r>
          </w:p>
        </w:tc>
        <w:tc>
          <w:tcPr>
            <w:tcW w:w="0" w:type="auto"/>
            <w:hideMark/>
          </w:tcPr>
          <w:p w14:paraId="6472E7D5"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t-Statistic</w:t>
            </w:r>
          </w:p>
        </w:tc>
        <w:tc>
          <w:tcPr>
            <w:tcW w:w="0" w:type="auto"/>
            <w:hideMark/>
          </w:tcPr>
          <w:p w14:paraId="2734BA2F"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p-Value</w:t>
            </w:r>
          </w:p>
        </w:tc>
      </w:tr>
      <w:tr w:rsidR="00D21613" w:rsidRPr="00DF7FEF" w14:paraId="4DA28EE7" w14:textId="77777777" w:rsidTr="006F3AF4">
        <w:tc>
          <w:tcPr>
            <w:tcW w:w="0" w:type="auto"/>
            <w:hideMark/>
          </w:tcPr>
          <w:p w14:paraId="60A9444D"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Weight (kg)</w:t>
            </w:r>
          </w:p>
        </w:tc>
        <w:tc>
          <w:tcPr>
            <w:tcW w:w="0" w:type="auto"/>
            <w:hideMark/>
          </w:tcPr>
          <w:p w14:paraId="58AE17A9"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73.83</w:t>
            </w:r>
          </w:p>
        </w:tc>
        <w:tc>
          <w:tcPr>
            <w:tcW w:w="0" w:type="auto"/>
            <w:hideMark/>
          </w:tcPr>
          <w:p w14:paraId="29CE987F"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14.74</w:t>
            </w:r>
          </w:p>
        </w:tc>
        <w:tc>
          <w:tcPr>
            <w:tcW w:w="0" w:type="auto"/>
            <w:hideMark/>
          </w:tcPr>
          <w:p w14:paraId="75BCFB67"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66.85</w:t>
            </w:r>
          </w:p>
        </w:tc>
        <w:tc>
          <w:tcPr>
            <w:tcW w:w="0" w:type="auto"/>
            <w:hideMark/>
          </w:tcPr>
          <w:p w14:paraId="6E059241"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13.24</w:t>
            </w:r>
          </w:p>
        </w:tc>
        <w:tc>
          <w:tcPr>
            <w:tcW w:w="0" w:type="auto"/>
            <w:hideMark/>
          </w:tcPr>
          <w:p w14:paraId="66C8C0EC"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33.713</w:t>
            </w:r>
          </w:p>
        </w:tc>
        <w:tc>
          <w:tcPr>
            <w:tcW w:w="0" w:type="auto"/>
            <w:hideMark/>
          </w:tcPr>
          <w:p w14:paraId="3E9DFA9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0.0000</w:t>
            </w:r>
          </w:p>
        </w:tc>
      </w:tr>
      <w:tr w:rsidR="00D21613" w:rsidRPr="00DF7FEF" w14:paraId="39C949D7" w14:textId="77777777" w:rsidTr="006F3AF4">
        <w:tc>
          <w:tcPr>
            <w:tcW w:w="0" w:type="auto"/>
            <w:hideMark/>
          </w:tcPr>
          <w:p w14:paraId="705101EA"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BMI (kg/m²)</w:t>
            </w:r>
          </w:p>
        </w:tc>
        <w:tc>
          <w:tcPr>
            <w:tcW w:w="0" w:type="auto"/>
            <w:hideMark/>
          </w:tcPr>
          <w:p w14:paraId="6EC37194"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27.21</w:t>
            </w:r>
          </w:p>
        </w:tc>
        <w:tc>
          <w:tcPr>
            <w:tcW w:w="0" w:type="auto"/>
            <w:hideMark/>
          </w:tcPr>
          <w:p w14:paraId="5AE93978"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5.67</w:t>
            </w:r>
          </w:p>
        </w:tc>
        <w:tc>
          <w:tcPr>
            <w:tcW w:w="0" w:type="auto"/>
            <w:hideMark/>
          </w:tcPr>
          <w:p w14:paraId="404E906D"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24.65</w:t>
            </w:r>
          </w:p>
        </w:tc>
        <w:tc>
          <w:tcPr>
            <w:tcW w:w="0" w:type="auto"/>
            <w:hideMark/>
          </w:tcPr>
          <w:p w14:paraId="21078BA7"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5.10</w:t>
            </w:r>
          </w:p>
        </w:tc>
        <w:tc>
          <w:tcPr>
            <w:tcW w:w="0" w:type="auto"/>
            <w:hideMark/>
          </w:tcPr>
          <w:p w14:paraId="39854848"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33.155</w:t>
            </w:r>
          </w:p>
        </w:tc>
        <w:tc>
          <w:tcPr>
            <w:tcW w:w="0" w:type="auto"/>
            <w:hideMark/>
          </w:tcPr>
          <w:p w14:paraId="4932B7FD"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0.0000</w:t>
            </w:r>
          </w:p>
        </w:tc>
      </w:tr>
    </w:tbl>
    <w:p w14:paraId="7A228A47" w14:textId="77777777" w:rsidR="00D21613" w:rsidRPr="00DF7FEF" w:rsidRDefault="00D21613" w:rsidP="00AD4023">
      <w:pPr>
        <w:spacing w:after="0"/>
        <w:rPr>
          <w:rFonts w:ascii="Times New Roman" w:hAnsi="Times New Roman" w:cs="Times New Roman"/>
          <w:b/>
          <w:bCs/>
          <w:sz w:val="24"/>
          <w:szCs w:val="24"/>
        </w:rPr>
      </w:pPr>
      <w:r w:rsidRPr="00DF7FEF">
        <w:rPr>
          <w:rFonts w:ascii="Times New Roman" w:hAnsi="Times New Roman" w:cs="Times New Roman"/>
          <w:b/>
          <w:bCs/>
          <w:sz w:val="24"/>
          <w:szCs w:val="24"/>
        </w:rPr>
        <w:t>Statistical Interpretation:</w:t>
      </w:r>
    </w:p>
    <w:p w14:paraId="1A1FC972" w14:textId="24E0D777" w:rsidR="00D21613" w:rsidRPr="00DF7FEF" w:rsidRDefault="00D21613" w:rsidP="00AD4023">
      <w:pPr>
        <w:spacing w:line="360" w:lineRule="auto"/>
        <w:jc w:val="both"/>
        <w:rPr>
          <w:rFonts w:ascii="Times New Roman" w:hAnsi="Times New Roman" w:cs="Times New Roman"/>
          <w:sz w:val="24"/>
          <w:szCs w:val="24"/>
        </w:rPr>
      </w:pPr>
      <w:r w:rsidRPr="00DF7FEF">
        <w:rPr>
          <w:rFonts w:ascii="Times New Roman" w:hAnsi="Times New Roman" w:cs="Times New Roman"/>
          <w:sz w:val="24"/>
          <w:szCs w:val="24"/>
        </w:rPr>
        <w:t xml:space="preserve">Table </w:t>
      </w:r>
      <w:r w:rsidR="00AD4023">
        <w:rPr>
          <w:rFonts w:ascii="Times New Roman" w:hAnsi="Times New Roman" w:cs="Times New Roman"/>
          <w:sz w:val="24"/>
          <w:szCs w:val="24"/>
        </w:rPr>
        <w:t>8</w:t>
      </w:r>
      <w:r w:rsidRPr="00DF7FEF">
        <w:rPr>
          <w:rFonts w:ascii="Times New Roman" w:hAnsi="Times New Roman" w:cs="Times New Roman"/>
          <w:sz w:val="24"/>
          <w:szCs w:val="24"/>
        </w:rPr>
        <w:t xml:space="preserve"> compares weight before and after the intervention. The mean weight significantly decreased from 73.83 kg (SD = 14.74) pre-intervention to 66.85 kg (SD = 13.24) post-intervention. The large t-statistic (33.713) and p-value of 0.000 indicate this reduction is statistically significant.</w:t>
      </w:r>
    </w:p>
    <w:p w14:paraId="507FD36F" w14:textId="46321D4A" w:rsidR="00D21613" w:rsidRPr="00DF7FEF" w:rsidRDefault="00D21613" w:rsidP="00AD4023">
      <w:pPr>
        <w:spacing w:after="0"/>
        <w:rPr>
          <w:rFonts w:ascii="Times New Roman" w:hAnsi="Times New Roman" w:cs="Times New Roman"/>
          <w:sz w:val="24"/>
          <w:szCs w:val="24"/>
        </w:rPr>
      </w:pPr>
      <w:r w:rsidRPr="00DF7FEF">
        <w:rPr>
          <w:rStyle w:val="Strong"/>
          <w:rFonts w:ascii="Times New Roman" w:eastAsia="Times New Roman" w:hAnsi="Times New Roman" w:cs="Times New Roman"/>
          <w:sz w:val="24"/>
          <w:szCs w:val="24"/>
        </w:rPr>
        <w:t xml:space="preserve">Table </w:t>
      </w:r>
      <w:r w:rsidR="00AD4023">
        <w:rPr>
          <w:rStyle w:val="Strong"/>
          <w:rFonts w:ascii="Times New Roman" w:eastAsia="Times New Roman" w:hAnsi="Times New Roman" w:cs="Times New Roman"/>
          <w:sz w:val="24"/>
          <w:szCs w:val="24"/>
        </w:rPr>
        <w:t>9</w:t>
      </w:r>
      <w:r w:rsidRPr="00DF7FEF">
        <w:rPr>
          <w:rStyle w:val="Strong"/>
          <w:rFonts w:ascii="Times New Roman" w:eastAsia="Times New Roman" w:hAnsi="Times New Roman" w:cs="Times New Roman"/>
          <w:sz w:val="24"/>
          <w:szCs w:val="24"/>
        </w:rPr>
        <w:t>: t-Test of Blood Pressure (Pre vs. Post Intervention)</w:t>
      </w:r>
    </w:p>
    <w:tbl>
      <w:tblPr>
        <w:tblStyle w:val="TableGrid"/>
        <w:tblW w:w="0" w:type="auto"/>
        <w:tblLook w:val="04A0" w:firstRow="1" w:lastRow="0" w:firstColumn="1" w:lastColumn="0" w:noHBand="0" w:noVBand="1"/>
      </w:tblPr>
      <w:tblGrid>
        <w:gridCol w:w="1570"/>
        <w:gridCol w:w="1163"/>
        <w:gridCol w:w="923"/>
        <w:gridCol w:w="1256"/>
        <w:gridCol w:w="1017"/>
        <w:gridCol w:w="1136"/>
        <w:gridCol w:w="989"/>
      </w:tblGrid>
      <w:tr w:rsidR="00D21613" w:rsidRPr="00DF7FEF" w14:paraId="1F42195C" w14:textId="77777777" w:rsidTr="006F3AF4">
        <w:tc>
          <w:tcPr>
            <w:tcW w:w="0" w:type="auto"/>
            <w:hideMark/>
          </w:tcPr>
          <w:p w14:paraId="52DF2BEE"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Variable</w:t>
            </w:r>
          </w:p>
        </w:tc>
        <w:tc>
          <w:tcPr>
            <w:tcW w:w="0" w:type="auto"/>
            <w:hideMark/>
          </w:tcPr>
          <w:p w14:paraId="56A524CC"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Pre-Mean</w:t>
            </w:r>
          </w:p>
        </w:tc>
        <w:tc>
          <w:tcPr>
            <w:tcW w:w="0" w:type="auto"/>
            <w:hideMark/>
          </w:tcPr>
          <w:p w14:paraId="18819010"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Pre-SD</w:t>
            </w:r>
          </w:p>
        </w:tc>
        <w:tc>
          <w:tcPr>
            <w:tcW w:w="0" w:type="auto"/>
            <w:hideMark/>
          </w:tcPr>
          <w:p w14:paraId="3D806325"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Post-Mean</w:t>
            </w:r>
          </w:p>
        </w:tc>
        <w:tc>
          <w:tcPr>
            <w:tcW w:w="0" w:type="auto"/>
            <w:hideMark/>
          </w:tcPr>
          <w:p w14:paraId="0168582A"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Post-SD</w:t>
            </w:r>
          </w:p>
        </w:tc>
        <w:tc>
          <w:tcPr>
            <w:tcW w:w="0" w:type="auto"/>
            <w:hideMark/>
          </w:tcPr>
          <w:p w14:paraId="1B0AEEF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t-Statistic</w:t>
            </w:r>
          </w:p>
        </w:tc>
        <w:tc>
          <w:tcPr>
            <w:tcW w:w="0" w:type="auto"/>
            <w:hideMark/>
          </w:tcPr>
          <w:p w14:paraId="0D7D696C"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p-Value</w:t>
            </w:r>
          </w:p>
        </w:tc>
      </w:tr>
      <w:tr w:rsidR="00D21613" w:rsidRPr="00DF7FEF" w14:paraId="1301B4BB" w14:textId="77777777" w:rsidTr="006F3AF4">
        <w:tc>
          <w:tcPr>
            <w:tcW w:w="0" w:type="auto"/>
            <w:hideMark/>
          </w:tcPr>
          <w:p w14:paraId="45D39455"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SBP (mmHg)</w:t>
            </w:r>
          </w:p>
        </w:tc>
        <w:tc>
          <w:tcPr>
            <w:tcW w:w="0" w:type="auto"/>
            <w:hideMark/>
          </w:tcPr>
          <w:p w14:paraId="60EE6206"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132.87</w:t>
            </w:r>
          </w:p>
        </w:tc>
        <w:tc>
          <w:tcPr>
            <w:tcW w:w="0" w:type="auto"/>
            <w:hideMark/>
          </w:tcPr>
          <w:p w14:paraId="343359F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9.21</w:t>
            </w:r>
          </w:p>
        </w:tc>
        <w:tc>
          <w:tcPr>
            <w:tcW w:w="0" w:type="auto"/>
            <w:hideMark/>
          </w:tcPr>
          <w:p w14:paraId="310E639E"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125.44</w:t>
            </w:r>
          </w:p>
        </w:tc>
        <w:tc>
          <w:tcPr>
            <w:tcW w:w="0" w:type="auto"/>
            <w:hideMark/>
          </w:tcPr>
          <w:p w14:paraId="101081EA"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4.23</w:t>
            </w:r>
          </w:p>
        </w:tc>
        <w:tc>
          <w:tcPr>
            <w:tcW w:w="0" w:type="auto"/>
            <w:hideMark/>
          </w:tcPr>
          <w:p w14:paraId="6454957E"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13.161</w:t>
            </w:r>
          </w:p>
        </w:tc>
        <w:tc>
          <w:tcPr>
            <w:tcW w:w="0" w:type="auto"/>
            <w:hideMark/>
          </w:tcPr>
          <w:p w14:paraId="1BF7F86A"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0.0000</w:t>
            </w:r>
          </w:p>
        </w:tc>
      </w:tr>
      <w:tr w:rsidR="00D21613" w:rsidRPr="00DF7FEF" w14:paraId="6B6C4873" w14:textId="77777777" w:rsidTr="006F3AF4">
        <w:tc>
          <w:tcPr>
            <w:tcW w:w="0" w:type="auto"/>
            <w:hideMark/>
          </w:tcPr>
          <w:p w14:paraId="437F2294"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DBP (mmHg)</w:t>
            </w:r>
          </w:p>
        </w:tc>
        <w:tc>
          <w:tcPr>
            <w:tcW w:w="0" w:type="auto"/>
            <w:hideMark/>
          </w:tcPr>
          <w:p w14:paraId="7F5E6DE4"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87.45</w:t>
            </w:r>
          </w:p>
        </w:tc>
        <w:tc>
          <w:tcPr>
            <w:tcW w:w="0" w:type="auto"/>
            <w:hideMark/>
          </w:tcPr>
          <w:p w14:paraId="64AAB3C5"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1.80</w:t>
            </w:r>
          </w:p>
        </w:tc>
        <w:tc>
          <w:tcPr>
            <w:tcW w:w="0" w:type="auto"/>
            <w:hideMark/>
          </w:tcPr>
          <w:p w14:paraId="03BF74CC"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81.14</w:t>
            </w:r>
          </w:p>
        </w:tc>
        <w:tc>
          <w:tcPr>
            <w:tcW w:w="0" w:type="auto"/>
            <w:hideMark/>
          </w:tcPr>
          <w:p w14:paraId="62F05C9F"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1.60</w:t>
            </w:r>
          </w:p>
        </w:tc>
        <w:tc>
          <w:tcPr>
            <w:tcW w:w="0" w:type="auto"/>
            <w:hideMark/>
          </w:tcPr>
          <w:p w14:paraId="3A1E278A"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71.582</w:t>
            </w:r>
          </w:p>
        </w:tc>
        <w:tc>
          <w:tcPr>
            <w:tcW w:w="0" w:type="auto"/>
            <w:hideMark/>
          </w:tcPr>
          <w:p w14:paraId="31DFA290"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0.0000</w:t>
            </w:r>
          </w:p>
        </w:tc>
      </w:tr>
    </w:tbl>
    <w:p w14:paraId="34245153" w14:textId="77777777" w:rsidR="00D21613" w:rsidRPr="00DF7FEF" w:rsidRDefault="00D21613" w:rsidP="00AD4023">
      <w:pPr>
        <w:spacing w:after="0" w:line="360" w:lineRule="auto"/>
        <w:rPr>
          <w:rFonts w:ascii="Times New Roman" w:hAnsi="Times New Roman" w:cs="Times New Roman"/>
          <w:b/>
          <w:bCs/>
          <w:sz w:val="24"/>
          <w:szCs w:val="24"/>
        </w:rPr>
      </w:pPr>
      <w:r w:rsidRPr="00DF7FEF">
        <w:rPr>
          <w:rFonts w:ascii="Times New Roman" w:hAnsi="Times New Roman" w:cs="Times New Roman"/>
          <w:b/>
          <w:bCs/>
          <w:sz w:val="24"/>
          <w:szCs w:val="24"/>
        </w:rPr>
        <w:t>Statistical Interpretation:</w:t>
      </w:r>
    </w:p>
    <w:p w14:paraId="7050A634" w14:textId="279A63CC" w:rsidR="00D21613" w:rsidRPr="00DF7FEF" w:rsidRDefault="00D21613" w:rsidP="00AD4023">
      <w:pPr>
        <w:spacing w:after="0" w:line="360" w:lineRule="auto"/>
        <w:jc w:val="both"/>
        <w:rPr>
          <w:rFonts w:ascii="Times New Roman" w:hAnsi="Times New Roman" w:cs="Times New Roman"/>
          <w:sz w:val="24"/>
          <w:szCs w:val="24"/>
        </w:rPr>
      </w:pPr>
      <w:r w:rsidRPr="00DF7FEF">
        <w:rPr>
          <w:rFonts w:ascii="Times New Roman" w:hAnsi="Times New Roman" w:cs="Times New Roman"/>
          <w:sz w:val="24"/>
          <w:szCs w:val="24"/>
        </w:rPr>
        <w:t xml:space="preserve">Table </w:t>
      </w:r>
      <w:r w:rsidR="00AD4023">
        <w:rPr>
          <w:rFonts w:ascii="Times New Roman" w:hAnsi="Times New Roman" w:cs="Times New Roman"/>
          <w:sz w:val="24"/>
          <w:szCs w:val="24"/>
        </w:rPr>
        <w:t>9</w:t>
      </w:r>
      <w:r w:rsidRPr="00DF7FEF">
        <w:rPr>
          <w:rFonts w:ascii="Times New Roman" w:hAnsi="Times New Roman" w:cs="Times New Roman"/>
          <w:sz w:val="24"/>
          <w:szCs w:val="24"/>
        </w:rPr>
        <w:t xml:space="preserve"> shows a significant decrease in both systolic and diastolic blood pressure after the intervention. Mean SBP dropped from 132.87 mmHg to 125.44 mmHg (t = 13.161, p = 0.000), and mean DBP decreased from 87.45 mmHg to 81.14 mmHg (t = 71.582, p = 0.000), indicating statistically significant improvements.</w:t>
      </w:r>
    </w:p>
    <w:p w14:paraId="61051CEA" w14:textId="77777777" w:rsidR="00D21613" w:rsidRPr="00DF7FEF" w:rsidRDefault="00D21613" w:rsidP="00D21613">
      <w:pPr>
        <w:rPr>
          <w:noProof/>
          <w:sz w:val="24"/>
          <w:szCs w:val="24"/>
        </w:rPr>
      </w:pPr>
      <w:r w:rsidRPr="00DF7FEF">
        <w:rPr>
          <w:noProof/>
          <w:sz w:val="24"/>
          <w:szCs w:val="24"/>
        </w:rPr>
        <w:object w:dxaOrig="10987" w:dyaOrig="4954" w14:anchorId="6433B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03.5pt" o:ole="">
            <v:imagedata r:id="rId9" o:title=""/>
          </v:shape>
          <o:OLEObject Type="Embed" ProgID="Prism9.Document" ShapeID="_x0000_i1025" DrawAspect="Content" ObjectID="_1828973638" r:id="rId10"/>
        </w:object>
      </w:r>
    </w:p>
    <w:p w14:paraId="1C3318F3" w14:textId="5F6C8232" w:rsidR="00D21613" w:rsidRPr="00DF7FEF" w:rsidRDefault="00D21613" w:rsidP="00D21613">
      <w:pPr>
        <w:spacing w:line="480" w:lineRule="auto"/>
        <w:jc w:val="both"/>
        <w:rPr>
          <w:rFonts w:ascii="Times New Roman" w:hAnsi="Times New Roman" w:cs="Times New Roman"/>
          <w:b/>
          <w:bCs/>
          <w:i/>
          <w:iCs/>
          <w:sz w:val="24"/>
          <w:szCs w:val="24"/>
        </w:rPr>
      </w:pPr>
      <w:r w:rsidRPr="00DF7FEF">
        <w:rPr>
          <w:rFonts w:ascii="Times New Roman" w:hAnsi="Times New Roman" w:cs="Times New Roman"/>
          <w:b/>
          <w:bCs/>
          <w:i/>
          <w:iCs/>
          <w:sz w:val="24"/>
          <w:szCs w:val="24"/>
        </w:rPr>
        <w:t xml:space="preserve">Figure </w:t>
      </w:r>
      <w:r w:rsidR="00AD4023">
        <w:rPr>
          <w:rFonts w:ascii="Times New Roman" w:hAnsi="Times New Roman" w:cs="Times New Roman"/>
          <w:b/>
          <w:bCs/>
          <w:i/>
          <w:iCs/>
          <w:sz w:val="24"/>
          <w:szCs w:val="24"/>
        </w:rPr>
        <w:t>3</w:t>
      </w:r>
      <w:r w:rsidRPr="00DF7FEF">
        <w:rPr>
          <w:rFonts w:ascii="Times New Roman" w:hAnsi="Times New Roman" w:cs="Times New Roman"/>
          <w:b/>
          <w:bCs/>
          <w:i/>
          <w:iCs/>
          <w:sz w:val="24"/>
          <w:szCs w:val="24"/>
        </w:rPr>
        <w:t xml:space="preserve">: </w:t>
      </w:r>
      <w:r w:rsidRPr="00DF7FEF">
        <w:rPr>
          <w:rFonts w:ascii="Times New Roman" w:hAnsi="Times New Roman"/>
          <w:b/>
          <w:bCs/>
          <w:i/>
          <w:iCs/>
          <w:sz w:val="24"/>
          <w:szCs w:val="24"/>
        </w:rPr>
        <w:t>Diastolic: Pre vs Post</w:t>
      </w:r>
      <w:r w:rsidRPr="00DF7FEF">
        <w:rPr>
          <w:rFonts w:ascii="Times New Roman" w:hAnsi="Times New Roman" w:cs="Times New Roman"/>
          <w:b/>
          <w:bCs/>
          <w:i/>
          <w:iCs/>
          <w:sz w:val="24"/>
          <w:szCs w:val="24"/>
        </w:rPr>
        <w:t>. Data were expressed as Mean ± SD, n=220, **p&lt;0.05 is significant when compared to Post.</w:t>
      </w:r>
    </w:p>
    <w:p w14:paraId="6F50D0E1" w14:textId="77777777" w:rsidR="00D21613" w:rsidRPr="00DF7FEF" w:rsidRDefault="00D21613" w:rsidP="00D21613">
      <w:pPr>
        <w:jc w:val="both"/>
        <w:rPr>
          <w:noProof/>
          <w:sz w:val="24"/>
          <w:szCs w:val="24"/>
        </w:rPr>
      </w:pPr>
      <w:r w:rsidRPr="00DF7FEF">
        <w:rPr>
          <w:noProof/>
          <w:sz w:val="24"/>
          <w:szCs w:val="24"/>
        </w:rPr>
        <w:object w:dxaOrig="11693" w:dyaOrig="5544" w14:anchorId="2EDD232A">
          <v:shape id="_x0000_i1026" type="#_x0000_t75" style="width:370.5pt;height:174pt" o:ole="">
            <v:imagedata r:id="rId11" o:title=""/>
          </v:shape>
          <o:OLEObject Type="Embed" ProgID="Prism9.Document" ShapeID="_x0000_i1026" DrawAspect="Content" ObjectID="_1828973639" r:id="rId12"/>
        </w:object>
      </w:r>
    </w:p>
    <w:p w14:paraId="0A6A4732" w14:textId="79A39680" w:rsidR="00D21613" w:rsidRPr="00DF7FEF" w:rsidRDefault="00D21613" w:rsidP="00D21613">
      <w:pPr>
        <w:spacing w:line="480" w:lineRule="auto"/>
        <w:jc w:val="both"/>
        <w:rPr>
          <w:rFonts w:ascii="Times New Roman" w:hAnsi="Times New Roman" w:cs="Times New Roman"/>
          <w:b/>
          <w:bCs/>
          <w:i/>
          <w:iCs/>
          <w:sz w:val="24"/>
          <w:szCs w:val="24"/>
        </w:rPr>
      </w:pPr>
      <w:r w:rsidRPr="00DF7FEF">
        <w:rPr>
          <w:rFonts w:ascii="Times New Roman" w:hAnsi="Times New Roman" w:cs="Times New Roman"/>
          <w:b/>
          <w:bCs/>
          <w:i/>
          <w:iCs/>
          <w:sz w:val="24"/>
          <w:szCs w:val="24"/>
        </w:rPr>
        <w:t xml:space="preserve">Figure </w:t>
      </w:r>
      <w:r w:rsidR="00AD4023">
        <w:rPr>
          <w:rFonts w:ascii="Times New Roman" w:hAnsi="Times New Roman" w:cs="Times New Roman"/>
          <w:b/>
          <w:bCs/>
          <w:i/>
          <w:iCs/>
          <w:sz w:val="24"/>
          <w:szCs w:val="24"/>
        </w:rPr>
        <w:t>4</w:t>
      </w:r>
      <w:r w:rsidRPr="00DF7FEF">
        <w:rPr>
          <w:rFonts w:ascii="Times New Roman" w:hAnsi="Times New Roman" w:cs="Times New Roman"/>
          <w:b/>
          <w:bCs/>
          <w:i/>
          <w:iCs/>
          <w:sz w:val="24"/>
          <w:szCs w:val="24"/>
        </w:rPr>
        <w:t xml:space="preserve">: Systolic </w:t>
      </w:r>
      <w:r w:rsidRPr="00DF7FEF">
        <w:rPr>
          <w:rFonts w:ascii="Times New Roman" w:hAnsi="Times New Roman"/>
          <w:b/>
          <w:bCs/>
          <w:i/>
          <w:iCs/>
          <w:sz w:val="24"/>
          <w:szCs w:val="24"/>
        </w:rPr>
        <w:t>Blood Pressure: Pre vs Post</w:t>
      </w:r>
      <w:r w:rsidRPr="00DF7FEF">
        <w:rPr>
          <w:rFonts w:ascii="Times New Roman" w:hAnsi="Times New Roman" w:cs="Times New Roman"/>
          <w:b/>
          <w:bCs/>
          <w:i/>
          <w:iCs/>
          <w:sz w:val="24"/>
          <w:szCs w:val="24"/>
        </w:rPr>
        <w:t xml:space="preserve"> Data were expressed as Mean ± SD, n=220, *p&lt;0.05 is significant when compared to Post.</w:t>
      </w:r>
    </w:p>
    <w:p w14:paraId="2A39FB98" w14:textId="391DA760" w:rsidR="00D21613" w:rsidRPr="00DF7FEF" w:rsidRDefault="00D21613" w:rsidP="00AD4023">
      <w:pPr>
        <w:spacing w:after="0"/>
        <w:rPr>
          <w:rFonts w:ascii="Times New Roman" w:hAnsi="Times New Roman" w:cs="Times New Roman"/>
          <w:sz w:val="24"/>
          <w:szCs w:val="24"/>
        </w:rPr>
      </w:pPr>
      <w:r w:rsidRPr="00DF7FEF">
        <w:rPr>
          <w:rStyle w:val="Strong"/>
          <w:rFonts w:ascii="Times New Roman" w:eastAsia="Times New Roman" w:hAnsi="Times New Roman" w:cs="Times New Roman"/>
          <w:sz w:val="24"/>
          <w:szCs w:val="24"/>
        </w:rPr>
        <w:t xml:space="preserve">Table </w:t>
      </w:r>
      <w:r w:rsidR="00AD4023">
        <w:rPr>
          <w:rStyle w:val="Strong"/>
          <w:rFonts w:ascii="Times New Roman" w:eastAsia="Times New Roman" w:hAnsi="Times New Roman" w:cs="Times New Roman"/>
          <w:sz w:val="24"/>
          <w:szCs w:val="24"/>
        </w:rPr>
        <w:t>10</w:t>
      </w:r>
      <w:r w:rsidRPr="00DF7FEF">
        <w:rPr>
          <w:rStyle w:val="Strong"/>
          <w:rFonts w:ascii="Times New Roman" w:eastAsia="Times New Roman" w:hAnsi="Times New Roman" w:cs="Times New Roman"/>
          <w:sz w:val="24"/>
          <w:szCs w:val="24"/>
        </w:rPr>
        <w:t>: Comparison of Pulse Rate (Pre vs. Post Intervention)</w:t>
      </w:r>
    </w:p>
    <w:tbl>
      <w:tblPr>
        <w:tblStyle w:val="TableGrid"/>
        <w:tblW w:w="0" w:type="auto"/>
        <w:tblLook w:val="04A0" w:firstRow="1" w:lastRow="0" w:firstColumn="1" w:lastColumn="0" w:noHBand="0" w:noVBand="1"/>
      </w:tblPr>
      <w:tblGrid>
        <w:gridCol w:w="1883"/>
        <w:gridCol w:w="1163"/>
        <w:gridCol w:w="923"/>
        <w:gridCol w:w="1256"/>
        <w:gridCol w:w="1017"/>
        <w:gridCol w:w="1136"/>
        <w:gridCol w:w="989"/>
      </w:tblGrid>
      <w:tr w:rsidR="00D21613" w:rsidRPr="00DF7FEF" w14:paraId="52E10514" w14:textId="77777777" w:rsidTr="006F3AF4">
        <w:tc>
          <w:tcPr>
            <w:tcW w:w="0" w:type="auto"/>
            <w:hideMark/>
          </w:tcPr>
          <w:p w14:paraId="0D75B310"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Variable</w:t>
            </w:r>
          </w:p>
        </w:tc>
        <w:tc>
          <w:tcPr>
            <w:tcW w:w="0" w:type="auto"/>
            <w:hideMark/>
          </w:tcPr>
          <w:p w14:paraId="7763332B"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Pre-Mean</w:t>
            </w:r>
          </w:p>
        </w:tc>
        <w:tc>
          <w:tcPr>
            <w:tcW w:w="0" w:type="auto"/>
            <w:hideMark/>
          </w:tcPr>
          <w:p w14:paraId="33AEE7F7"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Pre-SD</w:t>
            </w:r>
          </w:p>
        </w:tc>
        <w:tc>
          <w:tcPr>
            <w:tcW w:w="0" w:type="auto"/>
            <w:hideMark/>
          </w:tcPr>
          <w:p w14:paraId="5805C59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Post-Mean</w:t>
            </w:r>
          </w:p>
        </w:tc>
        <w:tc>
          <w:tcPr>
            <w:tcW w:w="0" w:type="auto"/>
            <w:hideMark/>
          </w:tcPr>
          <w:p w14:paraId="70795FE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Post-SD</w:t>
            </w:r>
          </w:p>
        </w:tc>
        <w:tc>
          <w:tcPr>
            <w:tcW w:w="0" w:type="auto"/>
            <w:hideMark/>
          </w:tcPr>
          <w:p w14:paraId="7B6045E0"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t-Statistic</w:t>
            </w:r>
          </w:p>
        </w:tc>
        <w:tc>
          <w:tcPr>
            <w:tcW w:w="0" w:type="auto"/>
            <w:hideMark/>
          </w:tcPr>
          <w:p w14:paraId="3765AE6B"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p-Value</w:t>
            </w:r>
          </w:p>
        </w:tc>
      </w:tr>
      <w:tr w:rsidR="00D21613" w:rsidRPr="00DF7FEF" w14:paraId="2CA7AFDB" w14:textId="77777777" w:rsidTr="006F3AF4">
        <w:tc>
          <w:tcPr>
            <w:tcW w:w="0" w:type="auto"/>
            <w:hideMark/>
          </w:tcPr>
          <w:p w14:paraId="1D8CB1AD"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Pulse Rate (bpm)</w:t>
            </w:r>
          </w:p>
        </w:tc>
        <w:tc>
          <w:tcPr>
            <w:tcW w:w="0" w:type="auto"/>
            <w:hideMark/>
          </w:tcPr>
          <w:p w14:paraId="3988F26B"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77.32</w:t>
            </w:r>
          </w:p>
        </w:tc>
        <w:tc>
          <w:tcPr>
            <w:tcW w:w="0" w:type="auto"/>
            <w:hideMark/>
          </w:tcPr>
          <w:p w14:paraId="55C8D207"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4.48</w:t>
            </w:r>
          </w:p>
        </w:tc>
        <w:tc>
          <w:tcPr>
            <w:tcW w:w="0" w:type="auto"/>
            <w:hideMark/>
          </w:tcPr>
          <w:p w14:paraId="142E4A9C"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69.38</w:t>
            </w:r>
          </w:p>
        </w:tc>
        <w:tc>
          <w:tcPr>
            <w:tcW w:w="0" w:type="auto"/>
            <w:hideMark/>
          </w:tcPr>
          <w:p w14:paraId="4EF10402"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5.61</w:t>
            </w:r>
          </w:p>
        </w:tc>
        <w:tc>
          <w:tcPr>
            <w:tcW w:w="0" w:type="auto"/>
            <w:hideMark/>
          </w:tcPr>
          <w:p w14:paraId="0F33A98E"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35.251</w:t>
            </w:r>
          </w:p>
        </w:tc>
        <w:tc>
          <w:tcPr>
            <w:tcW w:w="0" w:type="auto"/>
            <w:hideMark/>
          </w:tcPr>
          <w:p w14:paraId="4BFC647B" w14:textId="77777777" w:rsidR="00D21613" w:rsidRPr="00DF7FEF" w:rsidRDefault="00D21613" w:rsidP="006F3AF4">
            <w:pPr>
              <w:rPr>
                <w:rFonts w:ascii="Times New Roman" w:hAnsi="Times New Roman" w:cs="Times New Roman"/>
                <w:sz w:val="24"/>
                <w:szCs w:val="24"/>
              </w:rPr>
            </w:pPr>
            <w:r w:rsidRPr="00DF7FEF">
              <w:rPr>
                <w:rFonts w:ascii="Times New Roman" w:hAnsi="Times New Roman" w:cs="Times New Roman"/>
                <w:sz w:val="24"/>
                <w:szCs w:val="24"/>
              </w:rPr>
              <w:t>0.0000</w:t>
            </w:r>
          </w:p>
        </w:tc>
      </w:tr>
    </w:tbl>
    <w:p w14:paraId="381230FC" w14:textId="77777777" w:rsidR="00D21613" w:rsidRPr="00DF7FEF" w:rsidRDefault="00D21613" w:rsidP="00AD4023">
      <w:pPr>
        <w:spacing w:after="0" w:line="360" w:lineRule="auto"/>
        <w:rPr>
          <w:rFonts w:ascii="Times New Roman" w:hAnsi="Times New Roman" w:cs="Times New Roman"/>
          <w:b/>
          <w:bCs/>
          <w:noProof/>
          <w:sz w:val="24"/>
          <w:szCs w:val="24"/>
        </w:rPr>
      </w:pPr>
      <w:r w:rsidRPr="00DF7FEF">
        <w:rPr>
          <w:rFonts w:ascii="Times New Roman" w:hAnsi="Times New Roman" w:cs="Times New Roman"/>
          <w:b/>
          <w:bCs/>
          <w:noProof/>
          <w:sz w:val="24"/>
          <w:szCs w:val="24"/>
        </w:rPr>
        <w:t>Statistical Interpretation:</w:t>
      </w:r>
    </w:p>
    <w:p w14:paraId="2CEE17E1" w14:textId="4C339F92" w:rsidR="00D21613" w:rsidRDefault="00D21613" w:rsidP="00D21613">
      <w:pPr>
        <w:spacing w:line="480" w:lineRule="auto"/>
        <w:jc w:val="both"/>
        <w:rPr>
          <w:rFonts w:ascii="Times New Roman" w:hAnsi="Times New Roman" w:cs="Times New Roman"/>
          <w:sz w:val="24"/>
          <w:szCs w:val="24"/>
        </w:rPr>
      </w:pPr>
      <w:r w:rsidRPr="00DF7FEF">
        <w:rPr>
          <w:rFonts w:ascii="Times New Roman" w:hAnsi="Times New Roman" w:cs="Times New Roman"/>
          <w:sz w:val="24"/>
          <w:szCs w:val="24"/>
        </w:rPr>
        <w:t xml:space="preserve">Table </w:t>
      </w:r>
      <w:r w:rsidR="00AD4023">
        <w:rPr>
          <w:rFonts w:ascii="Times New Roman" w:hAnsi="Times New Roman" w:cs="Times New Roman"/>
          <w:sz w:val="24"/>
          <w:szCs w:val="24"/>
        </w:rPr>
        <w:t>10</w:t>
      </w:r>
      <w:r w:rsidRPr="00DF7FEF">
        <w:rPr>
          <w:rFonts w:ascii="Times New Roman" w:hAnsi="Times New Roman" w:cs="Times New Roman"/>
          <w:sz w:val="24"/>
          <w:szCs w:val="24"/>
        </w:rPr>
        <w:t xml:space="preserve"> shows a significant reduction in pulse rate from a pre-intervention mean of 77.32 bpm (SD = 4.48) to a post-intervention mean of 69.38 bpm (SD = 5.61). The t-statistic of 35.251 with a p-value of 0.000 indicates this decrease is statistically significant.</w:t>
      </w:r>
    </w:p>
    <w:p w14:paraId="4516CE88" w14:textId="77777777" w:rsidR="00D21613" w:rsidRPr="00DF7FEF" w:rsidRDefault="00D21613" w:rsidP="00D21613">
      <w:pPr>
        <w:spacing w:line="480" w:lineRule="auto"/>
        <w:jc w:val="both"/>
        <w:rPr>
          <w:rFonts w:ascii="Times New Roman" w:hAnsi="Times New Roman" w:cs="Times New Roman"/>
          <w:sz w:val="24"/>
          <w:szCs w:val="24"/>
        </w:rPr>
      </w:pPr>
    </w:p>
    <w:p w14:paraId="16FE0F4D" w14:textId="77777777" w:rsidR="00D21613" w:rsidRPr="00DF7FEF" w:rsidRDefault="00D21613" w:rsidP="00D21613">
      <w:pPr>
        <w:jc w:val="both"/>
        <w:rPr>
          <w:noProof/>
          <w:sz w:val="24"/>
          <w:szCs w:val="24"/>
        </w:rPr>
      </w:pPr>
      <w:r w:rsidRPr="00DF7FEF">
        <w:rPr>
          <w:noProof/>
          <w:sz w:val="24"/>
          <w:szCs w:val="24"/>
        </w:rPr>
        <w:object w:dxaOrig="11102" w:dyaOrig="4651" w14:anchorId="749ACC6F">
          <v:shape id="_x0000_i1027" type="#_x0000_t75" style="width:382pt;height:187pt" o:ole="">
            <v:imagedata r:id="rId13" o:title=""/>
          </v:shape>
          <o:OLEObject Type="Embed" ProgID="Prism9.Document" ShapeID="_x0000_i1027" DrawAspect="Content" ObjectID="_1828973640" r:id="rId14"/>
        </w:object>
      </w:r>
    </w:p>
    <w:p w14:paraId="2B9DB2EC" w14:textId="482A11D9" w:rsidR="00D21613" w:rsidRPr="00DF7FEF" w:rsidRDefault="00D21613" w:rsidP="00D21613">
      <w:pPr>
        <w:spacing w:line="480" w:lineRule="auto"/>
        <w:jc w:val="both"/>
        <w:rPr>
          <w:rFonts w:ascii="Times New Roman" w:hAnsi="Times New Roman" w:cs="Times New Roman"/>
          <w:i/>
          <w:sz w:val="24"/>
          <w:szCs w:val="24"/>
        </w:rPr>
      </w:pPr>
      <w:r w:rsidRPr="00DF7FEF">
        <w:rPr>
          <w:rFonts w:ascii="Times New Roman" w:hAnsi="Times New Roman" w:cs="Times New Roman"/>
          <w:b/>
          <w:bCs/>
          <w:i/>
          <w:iCs/>
          <w:sz w:val="24"/>
          <w:szCs w:val="24"/>
        </w:rPr>
        <w:t xml:space="preserve">Figure </w:t>
      </w:r>
      <w:r w:rsidR="00AD4023">
        <w:rPr>
          <w:rFonts w:ascii="Times New Roman" w:hAnsi="Times New Roman" w:cs="Times New Roman"/>
          <w:b/>
          <w:bCs/>
          <w:i/>
          <w:iCs/>
          <w:sz w:val="24"/>
          <w:szCs w:val="24"/>
        </w:rPr>
        <w:t>5</w:t>
      </w:r>
      <w:r w:rsidRPr="00DF7FEF">
        <w:rPr>
          <w:rFonts w:ascii="Times New Roman" w:hAnsi="Times New Roman" w:cs="Times New Roman"/>
          <w:b/>
          <w:bCs/>
          <w:i/>
          <w:iCs/>
          <w:sz w:val="24"/>
          <w:szCs w:val="24"/>
        </w:rPr>
        <w:t xml:space="preserve">: </w:t>
      </w:r>
      <w:r w:rsidRPr="00DF7FEF">
        <w:rPr>
          <w:rFonts w:ascii="Times New Roman" w:hAnsi="Times New Roman"/>
          <w:b/>
          <w:bCs/>
          <w:i/>
          <w:iCs/>
          <w:sz w:val="24"/>
          <w:szCs w:val="24"/>
        </w:rPr>
        <w:t xml:space="preserve">Pulse Rate: Pre vs </w:t>
      </w:r>
      <w:proofErr w:type="spellStart"/>
      <w:r w:rsidRPr="00DF7FEF">
        <w:rPr>
          <w:rFonts w:ascii="Times New Roman" w:hAnsi="Times New Roman"/>
          <w:b/>
          <w:bCs/>
          <w:i/>
          <w:iCs/>
          <w:sz w:val="24"/>
          <w:szCs w:val="24"/>
        </w:rPr>
        <w:t>Post</w:t>
      </w:r>
      <w:r w:rsidRPr="00DF7FEF">
        <w:rPr>
          <w:rFonts w:ascii="Times New Roman" w:hAnsi="Times New Roman" w:cs="Times New Roman"/>
          <w:b/>
          <w:bCs/>
          <w:i/>
          <w:iCs/>
          <w:sz w:val="24"/>
          <w:szCs w:val="24"/>
        </w:rPr>
        <w:t>Data</w:t>
      </w:r>
      <w:proofErr w:type="spellEnd"/>
      <w:r w:rsidRPr="00DF7FEF">
        <w:rPr>
          <w:rFonts w:ascii="Times New Roman" w:hAnsi="Times New Roman" w:cs="Times New Roman"/>
          <w:b/>
          <w:bCs/>
          <w:i/>
          <w:iCs/>
          <w:sz w:val="24"/>
          <w:szCs w:val="24"/>
        </w:rPr>
        <w:t xml:space="preserve"> were expressed as Mean ± SD, n=220, ****p&lt;0.05 is significant when compared to Post.</w:t>
      </w:r>
    </w:p>
    <w:p w14:paraId="517BE507" w14:textId="22A01693" w:rsidR="00D21613" w:rsidRPr="00AD4023" w:rsidRDefault="00D21613" w:rsidP="00AD4023">
      <w:pPr>
        <w:pStyle w:val="Normal1"/>
        <w:rPr>
          <w:rFonts w:ascii="Times New Roman" w:eastAsia="Times New Roman" w:hAnsi="Times New Roman" w:cs="Times New Roman"/>
          <w:b/>
          <w:i/>
          <w:iCs/>
          <w:sz w:val="24"/>
          <w:szCs w:val="24"/>
        </w:rPr>
      </w:pPr>
      <w:r w:rsidRPr="00AD4023">
        <w:rPr>
          <w:rFonts w:ascii="Times New Roman" w:eastAsia="Times New Roman" w:hAnsi="Times New Roman" w:cs="Times New Roman"/>
          <w:b/>
          <w:i/>
          <w:iCs/>
          <w:sz w:val="24"/>
          <w:szCs w:val="24"/>
        </w:rPr>
        <w:lastRenderedPageBreak/>
        <w:t xml:space="preserve">DISCUSSION </w:t>
      </w:r>
    </w:p>
    <w:p w14:paraId="01ABAA8A" w14:textId="77777777"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This study comprehensively examined the impact of lifestyle modification on blood pressure, anthropometric indices, and cardiovascular physiology among prehypertensive individuals at Federal Medical Centre Asaba. The discussion is presented table by table, integrating the numerical values obtained, their statistical and clinical significance, and the underlying physiological mechanisms.</w:t>
      </w:r>
    </w:p>
    <w:p w14:paraId="68B793E6" w14:textId="0C4CD4C2"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The study population consisted of 220 participants, with males accounting for 54.5% and females 44.5%</w:t>
      </w:r>
      <w:r>
        <w:rPr>
          <w:rFonts w:ascii="Times New Roman" w:eastAsia="Times New Roman" w:hAnsi="Times New Roman" w:cs="Times New Roman"/>
          <w:sz w:val="24"/>
          <w:szCs w:val="24"/>
        </w:rPr>
        <w:t xml:space="preserve"> (Table 1)</w:t>
      </w:r>
      <w:r w:rsidRPr="00AB1A0A">
        <w:rPr>
          <w:rFonts w:ascii="Times New Roman" w:eastAsia="Times New Roman" w:hAnsi="Times New Roman" w:cs="Times New Roman"/>
          <w:sz w:val="24"/>
          <w:szCs w:val="24"/>
        </w:rPr>
        <w:t xml:space="preserve">. The predominance of males is consistent with previous reports that men in middle adulthood exhibit higher rates of prehypertension, partly due to greater exposure to occupational stress, higher sodium intake, and lower healthcare-seeking behavior </w:t>
      </w:r>
      <w:r w:rsidR="00C55553">
        <w:rPr>
          <w:rFonts w:ascii="Times New Roman" w:eastAsia="Times New Roman" w:hAnsi="Times New Roman" w:cs="Times New Roman"/>
          <w:sz w:val="24"/>
          <w:szCs w:val="24"/>
        </w:rPr>
        <w:t>[5, 33]</w:t>
      </w:r>
      <w:r w:rsidRPr="00AB1A0A">
        <w:rPr>
          <w:rFonts w:ascii="Times New Roman" w:eastAsia="Times New Roman" w:hAnsi="Times New Roman" w:cs="Times New Roman"/>
          <w:sz w:val="24"/>
          <w:szCs w:val="24"/>
        </w:rPr>
        <w:t xml:space="preserve">. The majority of participants were aged 40–44 years (42.7%), with a mean age of 46.09 ± 4.00 years (Table 6). This age group represents a critical window in which vascular stiffening, endothelial dysfunction, and metabolic alterations begin to emerge, increasing susceptibility to blood pressure elevation </w:t>
      </w:r>
      <w:r w:rsidR="00C55553">
        <w:rPr>
          <w:rFonts w:ascii="Times New Roman" w:eastAsia="Times New Roman" w:hAnsi="Times New Roman" w:cs="Times New Roman"/>
          <w:sz w:val="24"/>
          <w:szCs w:val="24"/>
        </w:rPr>
        <w:t>[16]</w:t>
      </w:r>
      <w:r w:rsidRPr="00AB1A0A">
        <w:rPr>
          <w:rFonts w:ascii="Times New Roman" w:eastAsia="Times New Roman" w:hAnsi="Times New Roman" w:cs="Times New Roman"/>
          <w:sz w:val="24"/>
          <w:szCs w:val="24"/>
        </w:rPr>
        <w:t>. Clinically, identifying and intervening in this age group is crucial to preventing long-term cardiovascular morbidity.</w:t>
      </w:r>
    </w:p>
    <w:p w14:paraId="65B1BEB0" w14:textId="2ABFA6D6"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At baseline, 77.3% of participants had systolic blood pressure between 130–139 mmHg, while 90.5% had diastolic blood pressure between 86–90 mmHg</w:t>
      </w:r>
      <w:r>
        <w:rPr>
          <w:rFonts w:ascii="Times New Roman" w:eastAsia="Times New Roman" w:hAnsi="Times New Roman" w:cs="Times New Roman"/>
          <w:sz w:val="24"/>
          <w:szCs w:val="24"/>
        </w:rPr>
        <w:t xml:space="preserve"> (Table 2)</w:t>
      </w:r>
      <w:r w:rsidRPr="00AB1A0A">
        <w:rPr>
          <w:rFonts w:ascii="Times New Roman" w:eastAsia="Times New Roman" w:hAnsi="Times New Roman" w:cs="Times New Roman"/>
          <w:sz w:val="24"/>
          <w:szCs w:val="24"/>
        </w:rPr>
        <w:t xml:space="preserve">. The mean initial systolic and diastolic pressures were 132.28 ± 4.74 mmHg and 87.46 ± 1.99 mmHg, respectively (Table 6). These values confirm a homogeneous prehypertensive population. Chen et al. </w:t>
      </w:r>
      <w:r w:rsidR="00C55553">
        <w:rPr>
          <w:rFonts w:ascii="Times New Roman" w:eastAsia="Times New Roman" w:hAnsi="Times New Roman" w:cs="Times New Roman"/>
          <w:sz w:val="24"/>
          <w:szCs w:val="24"/>
        </w:rPr>
        <w:t>[9]</w:t>
      </w:r>
      <w:r w:rsidRPr="00AB1A0A">
        <w:rPr>
          <w:rFonts w:ascii="Times New Roman" w:eastAsia="Times New Roman" w:hAnsi="Times New Roman" w:cs="Times New Roman"/>
          <w:sz w:val="24"/>
          <w:szCs w:val="24"/>
        </w:rPr>
        <w:t xml:space="preserve"> explained that blood pressure in this range is associated with increased sympathetic nervous system activity, which elevates cardiac output and peripheral vascular resistance. In addition, Li et al. </w:t>
      </w:r>
      <w:r w:rsidR="00C55553">
        <w:rPr>
          <w:rFonts w:ascii="Times New Roman" w:eastAsia="Times New Roman" w:hAnsi="Times New Roman" w:cs="Times New Roman"/>
          <w:sz w:val="24"/>
          <w:szCs w:val="24"/>
        </w:rPr>
        <w:t xml:space="preserve">[4] </w:t>
      </w:r>
      <w:r w:rsidRPr="00AB1A0A">
        <w:rPr>
          <w:rFonts w:ascii="Times New Roman" w:eastAsia="Times New Roman" w:hAnsi="Times New Roman" w:cs="Times New Roman"/>
          <w:sz w:val="24"/>
          <w:szCs w:val="24"/>
        </w:rPr>
        <w:t xml:space="preserve">reported that early activation of the renin–angiotensin–aldosterone system at this stage promotes sodium retention and vasoconstriction. The baseline resting pulse rate, with a mean of 77.55 ± 5.35 bpm and 65% of participants in the 70–79 bpm range, further reflects </w:t>
      </w:r>
      <w:r w:rsidRPr="00AB1A0A">
        <w:rPr>
          <w:rFonts w:ascii="Times New Roman" w:eastAsia="Times New Roman" w:hAnsi="Times New Roman" w:cs="Times New Roman"/>
          <w:sz w:val="24"/>
          <w:szCs w:val="24"/>
        </w:rPr>
        <w:lastRenderedPageBreak/>
        <w:t>heightened sympathetic tone. Physiologically, this autonomic imbalance increases myocardial oxygen demand and accelerates vascular remodeling, underscoring the clinical importance of early intervention.</w:t>
      </w:r>
    </w:p>
    <w:p w14:paraId="76FE0EAD" w14:textId="47229C67"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Baseline anthropometric data showed a mean weight of 73.68 ± 13.59 kg and a mean BMI of 26.32 ± 4.66 kg/m², indicating that the average participant was overweight. Notably, 29.5% of participants were obese (BMI ≥30 kg/m²)</w:t>
      </w:r>
      <w:r>
        <w:rPr>
          <w:rFonts w:ascii="Times New Roman" w:eastAsia="Times New Roman" w:hAnsi="Times New Roman" w:cs="Times New Roman"/>
          <w:sz w:val="24"/>
          <w:szCs w:val="24"/>
        </w:rPr>
        <w:t xml:space="preserve"> (Table 3)</w:t>
      </w:r>
      <w:r w:rsidRPr="00AB1A0A">
        <w:rPr>
          <w:rFonts w:ascii="Times New Roman" w:eastAsia="Times New Roman" w:hAnsi="Times New Roman" w:cs="Times New Roman"/>
          <w:sz w:val="24"/>
          <w:szCs w:val="24"/>
        </w:rPr>
        <w:t xml:space="preserve">. Chen et al. </w:t>
      </w:r>
      <w:r w:rsidR="00C55553">
        <w:rPr>
          <w:rFonts w:ascii="Times New Roman" w:eastAsia="Times New Roman" w:hAnsi="Times New Roman" w:cs="Times New Roman"/>
          <w:sz w:val="24"/>
          <w:szCs w:val="24"/>
        </w:rPr>
        <w:t>[34]</w:t>
      </w:r>
      <w:r w:rsidRPr="00AB1A0A">
        <w:rPr>
          <w:rFonts w:ascii="Times New Roman" w:eastAsia="Times New Roman" w:hAnsi="Times New Roman" w:cs="Times New Roman"/>
          <w:sz w:val="24"/>
          <w:szCs w:val="24"/>
        </w:rPr>
        <w:t xml:space="preserve"> demonstrated a strong positive association between increasing BMI and incident hypertension. Excess adipose tissue, particularly visceral fat, contributes to blood pressure elevation through increased inflammatory cytokine release, insulin resistance, and enhanced sympathetic activity </w:t>
      </w:r>
      <w:r w:rsidR="00C55553">
        <w:rPr>
          <w:rFonts w:ascii="Times New Roman" w:eastAsia="Times New Roman" w:hAnsi="Times New Roman" w:cs="Times New Roman"/>
          <w:sz w:val="24"/>
          <w:szCs w:val="24"/>
        </w:rPr>
        <w:t>[35]</w:t>
      </w:r>
      <w:r w:rsidRPr="00AB1A0A">
        <w:rPr>
          <w:rFonts w:ascii="Times New Roman" w:eastAsia="Times New Roman" w:hAnsi="Times New Roman" w:cs="Times New Roman"/>
          <w:sz w:val="24"/>
          <w:szCs w:val="24"/>
        </w:rPr>
        <w:t>. Clinically, these findings highlight obesity as a modifiable risk factor that directly amplifies blood pressure dysregulation in prehypertensive individuals.</w:t>
      </w:r>
    </w:p>
    <w:p w14:paraId="2E94774A" w14:textId="24988D2B"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After lifestyle modification, there was a marked improvement in blood pressure distribution</w:t>
      </w:r>
      <w:r>
        <w:rPr>
          <w:rFonts w:ascii="Times New Roman" w:eastAsia="Times New Roman" w:hAnsi="Times New Roman" w:cs="Times New Roman"/>
          <w:sz w:val="24"/>
          <w:szCs w:val="24"/>
        </w:rPr>
        <w:t xml:space="preserve"> (Table 4)</w:t>
      </w:r>
      <w:r w:rsidRPr="00AB1A0A">
        <w:rPr>
          <w:rFonts w:ascii="Times New Roman" w:eastAsia="Times New Roman" w:hAnsi="Times New Roman" w:cs="Times New Roman"/>
          <w:sz w:val="24"/>
          <w:szCs w:val="24"/>
        </w:rPr>
        <w:t xml:space="preserve">. Most participants (72.7%) achieved systolic blood pressure values within 120–129 mmHg, and 93.2% had diastolic blood pressure between 80–84 mmHg. Mean systolic pressure decreased to 126.34 ± 5.28 mmHg, while mean diastolic pressure dropped to 81.80 ± 1.66 mmHg (Table 6). These reductions are clinically meaningful, as even a 5 mmHg decrease in systolic blood pressure has been associated with substantial reductions in stroke and coronary heart disease risk </w:t>
      </w:r>
      <w:r w:rsidR="00C55553">
        <w:rPr>
          <w:rFonts w:ascii="Times New Roman" w:eastAsia="Times New Roman" w:hAnsi="Times New Roman" w:cs="Times New Roman"/>
          <w:sz w:val="24"/>
          <w:szCs w:val="24"/>
        </w:rPr>
        <w:t>[32]</w:t>
      </w:r>
      <w:r w:rsidRPr="00AB1A0A">
        <w:rPr>
          <w:rFonts w:ascii="Times New Roman" w:eastAsia="Times New Roman" w:hAnsi="Times New Roman" w:cs="Times New Roman"/>
          <w:sz w:val="24"/>
          <w:szCs w:val="24"/>
        </w:rPr>
        <w:t>. Physiologically, lifestyle modification improves endothelial nitric oxide bioavailability, reduces vascular resistance, and attenuates sympathetic overactivity, collectively contributing to blood pressure reduction</w:t>
      </w:r>
      <w:r w:rsidR="00C55553">
        <w:rPr>
          <w:rFonts w:ascii="Times New Roman" w:eastAsia="Times New Roman" w:hAnsi="Times New Roman" w:cs="Times New Roman"/>
          <w:sz w:val="24"/>
          <w:szCs w:val="24"/>
        </w:rPr>
        <w:t xml:space="preserve"> [36, 26]</w:t>
      </w:r>
      <w:r w:rsidRPr="00AB1A0A">
        <w:rPr>
          <w:rFonts w:ascii="Times New Roman" w:eastAsia="Times New Roman" w:hAnsi="Times New Roman" w:cs="Times New Roman"/>
          <w:sz w:val="24"/>
          <w:szCs w:val="24"/>
        </w:rPr>
        <w:t>. The improvement in pulse rate, with a post-intervention mean of 70.71 ± 5.92 bpm, reflects enhanced cardiovascular efficiency and autonomic balance.</w:t>
      </w:r>
    </w:p>
    <w:p w14:paraId="4FAC2E15" w14:textId="4CC50BF3"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Following the intervention, weight and BMI distributions shifted toward healthier categories</w:t>
      </w:r>
      <w:r>
        <w:rPr>
          <w:rFonts w:ascii="Times New Roman" w:eastAsia="Times New Roman" w:hAnsi="Times New Roman" w:cs="Times New Roman"/>
          <w:sz w:val="24"/>
          <w:szCs w:val="24"/>
        </w:rPr>
        <w:t xml:space="preserve"> (Table 5)</w:t>
      </w:r>
      <w:r w:rsidRPr="00AB1A0A">
        <w:rPr>
          <w:rFonts w:ascii="Times New Roman" w:eastAsia="Times New Roman" w:hAnsi="Times New Roman" w:cs="Times New Roman"/>
          <w:sz w:val="24"/>
          <w:szCs w:val="24"/>
        </w:rPr>
        <w:t xml:space="preserve">. The proportion of participants weighing under 60 kg increased to 32.7%, while those </w:t>
      </w:r>
      <w:r w:rsidRPr="00AB1A0A">
        <w:rPr>
          <w:rFonts w:ascii="Times New Roman" w:eastAsia="Times New Roman" w:hAnsi="Times New Roman" w:cs="Times New Roman"/>
          <w:sz w:val="24"/>
          <w:szCs w:val="24"/>
        </w:rPr>
        <w:lastRenderedPageBreak/>
        <w:t xml:space="preserve">with BMI in the normal range (18.5–24.9 kg/m²) rose to 41.8%. Mean weight decreased to 67.82 ± 11.69 kg and mean BMI to 24.40 ± 4.65 kg/m² (Table 7). Liu et al. </w:t>
      </w:r>
      <w:r w:rsidR="00C55553">
        <w:rPr>
          <w:rFonts w:ascii="Times New Roman" w:eastAsia="Times New Roman" w:hAnsi="Times New Roman" w:cs="Times New Roman"/>
          <w:sz w:val="24"/>
          <w:szCs w:val="24"/>
        </w:rPr>
        <w:t>[36]</w:t>
      </w:r>
      <w:r w:rsidRPr="00AB1A0A">
        <w:rPr>
          <w:rFonts w:ascii="Times New Roman" w:eastAsia="Times New Roman" w:hAnsi="Times New Roman" w:cs="Times New Roman"/>
          <w:sz w:val="24"/>
          <w:szCs w:val="24"/>
        </w:rPr>
        <w:t xml:space="preserve"> reported that weight loss reduces blood pressure by decreasing cardiac output and peripheral resistance. Additionally, Gao et al. </w:t>
      </w:r>
      <w:r w:rsidR="00C55553">
        <w:rPr>
          <w:rFonts w:ascii="Times New Roman" w:eastAsia="Times New Roman" w:hAnsi="Times New Roman" w:cs="Times New Roman"/>
          <w:sz w:val="24"/>
          <w:szCs w:val="24"/>
        </w:rPr>
        <w:t>[35]</w:t>
      </w:r>
      <w:r w:rsidRPr="00AB1A0A">
        <w:rPr>
          <w:rFonts w:ascii="Times New Roman" w:eastAsia="Times New Roman" w:hAnsi="Times New Roman" w:cs="Times New Roman"/>
          <w:sz w:val="24"/>
          <w:szCs w:val="24"/>
        </w:rPr>
        <w:t xml:space="preserve"> noted that reductions in visceral adiposity lower inflammatory burden and sympathetic drive. Clinically, these improvements reduce long-term cardiovascular risk and the likelihood of progression to established hypertension.</w:t>
      </w:r>
    </w:p>
    <w:p w14:paraId="2DEFBBE0" w14:textId="2193064A" w:rsid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The paired t-test revealed a highly significant reduction in body weight (t = 33.713, p &lt; 0.001) and BMI (t = 33.155, p &lt; 0.001)</w:t>
      </w:r>
      <w:r>
        <w:rPr>
          <w:rFonts w:ascii="Times New Roman" w:eastAsia="Times New Roman" w:hAnsi="Times New Roman" w:cs="Times New Roman"/>
          <w:sz w:val="24"/>
          <w:szCs w:val="24"/>
        </w:rPr>
        <w:t xml:space="preserve"> (Table 8)</w:t>
      </w:r>
      <w:r w:rsidRPr="00AB1A0A">
        <w:rPr>
          <w:rFonts w:ascii="Times New Roman" w:eastAsia="Times New Roman" w:hAnsi="Times New Roman" w:cs="Times New Roman"/>
          <w:sz w:val="24"/>
          <w:szCs w:val="24"/>
        </w:rPr>
        <w:t xml:space="preserve">. The magnitude of these t-values indicates a strong intervention effect. From a physiological perspective, reduced adiposity leads to improved insulin sensitivity, reduced leptin-mediated sympathetic activation, and improved renal sodium handling </w:t>
      </w:r>
      <w:r w:rsidR="003844AA">
        <w:rPr>
          <w:rFonts w:ascii="Times New Roman" w:eastAsia="Times New Roman" w:hAnsi="Times New Roman" w:cs="Times New Roman"/>
          <w:sz w:val="24"/>
          <w:szCs w:val="24"/>
        </w:rPr>
        <w:t>[37]</w:t>
      </w:r>
      <w:r w:rsidRPr="00AB1A0A">
        <w:rPr>
          <w:rFonts w:ascii="Times New Roman" w:eastAsia="Times New Roman" w:hAnsi="Times New Roman" w:cs="Times New Roman"/>
          <w:sz w:val="24"/>
          <w:szCs w:val="24"/>
        </w:rPr>
        <w:t>. Clinically, these changes support lifestyle modification as a first-line therapy for prehypertension, potentially reducing the need for pharmacological treatment</w:t>
      </w:r>
      <w:r w:rsidR="003844AA">
        <w:rPr>
          <w:rFonts w:ascii="Times New Roman" w:eastAsia="Times New Roman" w:hAnsi="Times New Roman" w:cs="Times New Roman"/>
          <w:sz w:val="24"/>
          <w:szCs w:val="24"/>
        </w:rPr>
        <w:t xml:space="preserve"> [1]</w:t>
      </w:r>
      <w:r w:rsidRPr="00AB1A0A">
        <w:rPr>
          <w:rFonts w:ascii="Times New Roman" w:eastAsia="Times New Roman" w:hAnsi="Times New Roman" w:cs="Times New Roman"/>
          <w:sz w:val="24"/>
          <w:szCs w:val="24"/>
        </w:rPr>
        <w:t>.</w:t>
      </w:r>
    </w:p>
    <w:p w14:paraId="0B31C3F4" w14:textId="20E0B2EB"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Systolic blood pressure decreased significantly from 132.87 ± 9.21 mmHg to 125.44 ± 4.23 mmHg (t = 13.161, p &lt; 0.001), while diastolic pressure fell from 87.45 ± 1.80 mmHg to 81.14 ± 1.60 mmHg (t = 71.582, p &lt; 0.001)</w:t>
      </w:r>
      <w:r>
        <w:rPr>
          <w:rFonts w:ascii="Times New Roman" w:eastAsia="Times New Roman" w:hAnsi="Times New Roman" w:cs="Times New Roman"/>
          <w:sz w:val="24"/>
          <w:szCs w:val="24"/>
        </w:rPr>
        <w:t xml:space="preserve"> (table 9)</w:t>
      </w:r>
      <w:r w:rsidRPr="00AB1A0A">
        <w:rPr>
          <w:rFonts w:ascii="Times New Roman" w:eastAsia="Times New Roman" w:hAnsi="Times New Roman" w:cs="Times New Roman"/>
          <w:sz w:val="24"/>
          <w:szCs w:val="24"/>
        </w:rPr>
        <w:t xml:space="preserve">. The larger t-value for diastolic pressure suggests a particularly strong effect on peripheral vascular resistance. Grillo et al. </w:t>
      </w:r>
      <w:r w:rsidR="003844AA">
        <w:rPr>
          <w:rFonts w:ascii="Times New Roman" w:eastAsia="Times New Roman" w:hAnsi="Times New Roman" w:cs="Times New Roman"/>
          <w:sz w:val="24"/>
          <w:szCs w:val="24"/>
        </w:rPr>
        <w:t>[38]</w:t>
      </w:r>
      <w:r w:rsidRPr="00AB1A0A">
        <w:rPr>
          <w:rFonts w:ascii="Times New Roman" w:eastAsia="Times New Roman" w:hAnsi="Times New Roman" w:cs="Times New Roman"/>
          <w:sz w:val="24"/>
          <w:szCs w:val="24"/>
        </w:rPr>
        <w:t xml:space="preserve"> explained that lifestyle interventions, especially sodium reduction and physical activity, directly improve arterial compliance and reduce diastolic pressure. Clinically, improved diastolic control is critical, as elevated diastolic pressure in middle-aged adults is strongly linked to future cardiovascular events.</w:t>
      </w:r>
    </w:p>
    <w:p w14:paraId="5DAA0458" w14:textId="240EAE1B" w:rsidR="00AB1A0A" w:rsidRPr="00AB1A0A" w:rsidRDefault="00AB1A0A" w:rsidP="00AB1A0A">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Pulse rate decreased significantly from 77.32 ± 4.48 bpm to 69.38 ± 5.61 bpm (t = 35.251, p &lt; 0.001)</w:t>
      </w:r>
      <w:r>
        <w:rPr>
          <w:rFonts w:ascii="Times New Roman" w:eastAsia="Times New Roman" w:hAnsi="Times New Roman" w:cs="Times New Roman"/>
          <w:sz w:val="24"/>
          <w:szCs w:val="24"/>
        </w:rPr>
        <w:t xml:space="preserve"> (Table 10)</w:t>
      </w:r>
      <w:r w:rsidRPr="00AB1A0A">
        <w:rPr>
          <w:rFonts w:ascii="Times New Roman" w:eastAsia="Times New Roman" w:hAnsi="Times New Roman" w:cs="Times New Roman"/>
          <w:sz w:val="24"/>
          <w:szCs w:val="24"/>
        </w:rPr>
        <w:t xml:space="preserve">. Park et al. </w:t>
      </w:r>
      <w:r w:rsidR="003844AA">
        <w:rPr>
          <w:rFonts w:ascii="Times New Roman" w:eastAsia="Times New Roman" w:hAnsi="Times New Roman" w:cs="Times New Roman"/>
          <w:sz w:val="24"/>
          <w:szCs w:val="24"/>
        </w:rPr>
        <w:t>[39]</w:t>
      </w:r>
      <w:r w:rsidRPr="00AB1A0A">
        <w:rPr>
          <w:rFonts w:ascii="Times New Roman" w:eastAsia="Times New Roman" w:hAnsi="Times New Roman" w:cs="Times New Roman"/>
          <w:sz w:val="24"/>
          <w:szCs w:val="24"/>
        </w:rPr>
        <w:t xml:space="preserve"> noted that reductions in resting heart rate reflect improved cardiorespiratory fitness and reduced sympathetic activity. Physiologically, a lower resting </w:t>
      </w:r>
      <w:r w:rsidRPr="00AB1A0A">
        <w:rPr>
          <w:rFonts w:ascii="Times New Roman" w:eastAsia="Times New Roman" w:hAnsi="Times New Roman" w:cs="Times New Roman"/>
          <w:sz w:val="24"/>
          <w:szCs w:val="24"/>
        </w:rPr>
        <w:lastRenderedPageBreak/>
        <w:t>heart rate reduces myocardial workload and improves coronary perfusion, which has important clinical implications for long-term cardiovascular health.</w:t>
      </w:r>
    </w:p>
    <w:p w14:paraId="4CA05252" w14:textId="00E65DFF" w:rsidR="00D21613" w:rsidRPr="008E003C" w:rsidRDefault="00AB1A0A" w:rsidP="00D21613">
      <w:pPr>
        <w:pStyle w:val="Normal1"/>
        <w:spacing w:before="240" w:after="240" w:line="480" w:lineRule="auto"/>
        <w:jc w:val="both"/>
        <w:rPr>
          <w:rFonts w:ascii="Times New Roman" w:eastAsia="Times New Roman" w:hAnsi="Times New Roman" w:cs="Times New Roman"/>
          <w:sz w:val="24"/>
          <w:szCs w:val="24"/>
        </w:rPr>
      </w:pPr>
      <w:r w:rsidRPr="00AB1A0A">
        <w:rPr>
          <w:rFonts w:ascii="Times New Roman" w:eastAsia="Times New Roman" w:hAnsi="Times New Roman" w:cs="Times New Roman"/>
          <w:sz w:val="24"/>
          <w:szCs w:val="24"/>
        </w:rPr>
        <w:t xml:space="preserve">The consistent and statistically significant improvements observed across all tables indicate that lifestyle modification effectively reverses early pathophysiological changes associated with prehypertension. By reducing sympathetic overactivity, improving endothelial function, lowering body fat, and enhancing cardiovascular efficiency, lifestyle interventions address the root mechanisms of blood pressure dysregulation </w:t>
      </w:r>
      <w:r w:rsidR="003844AA">
        <w:rPr>
          <w:rFonts w:ascii="Times New Roman" w:eastAsia="Times New Roman" w:hAnsi="Times New Roman" w:cs="Times New Roman"/>
          <w:sz w:val="24"/>
          <w:szCs w:val="24"/>
        </w:rPr>
        <w:t>[22, 40]</w:t>
      </w:r>
      <w:r w:rsidRPr="00AB1A0A">
        <w:rPr>
          <w:rFonts w:ascii="Times New Roman" w:eastAsia="Times New Roman" w:hAnsi="Times New Roman" w:cs="Times New Roman"/>
          <w:sz w:val="24"/>
          <w:szCs w:val="24"/>
        </w:rPr>
        <w:t>. Clinically, these findings support the routine integration of structured lifestyle programs into healthcare services as a cost-effective and sustainable strategy for preventing hypertension and reducing cardiovascular disease burden.</w:t>
      </w:r>
    </w:p>
    <w:p w14:paraId="3D82EFE0" w14:textId="077706AA" w:rsidR="00D21613" w:rsidRPr="00AD4023" w:rsidRDefault="00D21613" w:rsidP="00AB1A0A">
      <w:pPr>
        <w:pStyle w:val="Normal1"/>
        <w:spacing w:line="360" w:lineRule="auto"/>
        <w:jc w:val="both"/>
        <w:rPr>
          <w:rFonts w:ascii="Times New Roman" w:eastAsia="Times New Roman" w:hAnsi="Times New Roman" w:cs="Times New Roman"/>
          <w:b/>
          <w:i/>
          <w:iCs/>
          <w:sz w:val="24"/>
          <w:szCs w:val="24"/>
        </w:rPr>
      </w:pPr>
      <w:r w:rsidRPr="00AD4023">
        <w:rPr>
          <w:rFonts w:ascii="Times New Roman" w:eastAsia="Times New Roman" w:hAnsi="Times New Roman" w:cs="Times New Roman"/>
          <w:b/>
          <w:i/>
          <w:iCs/>
          <w:sz w:val="24"/>
          <w:szCs w:val="24"/>
        </w:rPr>
        <w:t>Conclusion</w:t>
      </w:r>
    </w:p>
    <w:p w14:paraId="63394747" w14:textId="21FAD2BD" w:rsidR="00D21613" w:rsidRPr="008E003C" w:rsidRDefault="00404601" w:rsidP="00AB1A0A">
      <w:pPr>
        <w:pStyle w:val="Normal1"/>
        <w:spacing w:after="160" w:line="360" w:lineRule="auto"/>
        <w:jc w:val="both"/>
        <w:rPr>
          <w:rFonts w:ascii="Times New Roman" w:eastAsia="Times New Roman" w:hAnsi="Times New Roman" w:cs="Times New Roman"/>
          <w:sz w:val="24"/>
          <w:szCs w:val="24"/>
        </w:rPr>
      </w:pPr>
      <w:r w:rsidRPr="00404601">
        <w:rPr>
          <w:rFonts w:ascii="Times New Roman" w:eastAsia="Times New Roman" w:hAnsi="Times New Roman" w:cs="Times New Roman"/>
          <w:sz w:val="24"/>
          <w:szCs w:val="24"/>
        </w:rPr>
        <w:t>This study clearly demonstrates that lifestyle modification is an effective and clinically meaningful strategy for the management of prehypertension among individuals attending Federal Medical Centre Asaba. The intervention produced statistically significant reductions in systolic and diastolic blood pressure, body weight, body mass index, and resting pulse rate. These improvements indicate a reversal of early pathophysiological processes associated with prehypertension, including sympathetic overactivity, increased peripheral vascular resistance, and excess adiposity. The observed shift of participants into lower blood pressure and healthier BMI categories confirms that non-pharmacological interventions can substantially reduce cardiovascular risk before the onset of established hypertension. Overall, the findings support lifestyle modification as a first-line approach capable of improving cardiovascular health, delaying disease progression, and reducing future dependence on antihypertensive medication.</w:t>
      </w:r>
      <w:r w:rsidR="00D21613" w:rsidRPr="008E003C">
        <w:rPr>
          <w:rFonts w:ascii="Times New Roman" w:eastAsia="Times New Roman" w:hAnsi="Times New Roman" w:cs="Times New Roman"/>
          <w:sz w:val="24"/>
          <w:szCs w:val="24"/>
        </w:rPr>
        <w:t xml:space="preserve"> </w:t>
      </w:r>
    </w:p>
    <w:p w14:paraId="27706601" w14:textId="739E98BB" w:rsidR="00D21613" w:rsidRPr="00AD4023" w:rsidRDefault="00D21613" w:rsidP="00404601">
      <w:pPr>
        <w:pStyle w:val="Normal1"/>
        <w:spacing w:line="360" w:lineRule="auto"/>
        <w:jc w:val="both"/>
        <w:rPr>
          <w:rFonts w:ascii="Times New Roman" w:eastAsia="Times New Roman" w:hAnsi="Times New Roman" w:cs="Times New Roman"/>
          <w:b/>
          <w:i/>
          <w:iCs/>
          <w:sz w:val="24"/>
          <w:szCs w:val="24"/>
        </w:rPr>
      </w:pPr>
      <w:r w:rsidRPr="00AD4023">
        <w:rPr>
          <w:rFonts w:ascii="Times New Roman" w:eastAsia="Times New Roman" w:hAnsi="Times New Roman" w:cs="Times New Roman"/>
          <w:b/>
          <w:i/>
          <w:iCs/>
          <w:sz w:val="24"/>
          <w:szCs w:val="24"/>
        </w:rPr>
        <w:t>Recommendations</w:t>
      </w:r>
    </w:p>
    <w:p w14:paraId="7EA959F0" w14:textId="5E22568F" w:rsidR="00E601A1" w:rsidRDefault="00404601" w:rsidP="00404601">
      <w:pPr>
        <w:spacing w:line="360" w:lineRule="auto"/>
        <w:jc w:val="both"/>
        <w:rPr>
          <w:rFonts w:ascii="Times New Roman" w:eastAsia="Times New Roman" w:hAnsi="Times New Roman" w:cs="Times New Roman"/>
          <w:sz w:val="24"/>
          <w:szCs w:val="24"/>
        </w:rPr>
      </w:pPr>
      <w:r w:rsidRPr="00404601">
        <w:rPr>
          <w:rFonts w:ascii="Times New Roman" w:eastAsia="Times New Roman" w:hAnsi="Times New Roman" w:cs="Times New Roman"/>
          <w:sz w:val="24"/>
          <w:szCs w:val="24"/>
        </w:rPr>
        <w:t xml:space="preserve">Based on the findings of this study, lifestyle modification should be routinely integrated into the clinical management of individuals with prehypertension. Healthcare providers should emphasize structured physical activity, dietary improvement with particular attention to sodium reduction, and weight management as central components of care. Continuous health education and behavioral counseling should be strengthened to improve long-term adherence and sustain physiological benefits. Early screening for prehypertension, especially among </w:t>
      </w:r>
      <w:r w:rsidRPr="00404601">
        <w:rPr>
          <w:rFonts w:ascii="Times New Roman" w:eastAsia="Times New Roman" w:hAnsi="Times New Roman" w:cs="Times New Roman"/>
          <w:sz w:val="24"/>
          <w:szCs w:val="24"/>
        </w:rPr>
        <w:lastRenderedPageBreak/>
        <w:t>middle-aged adults, should be encouraged to allow timely intervention before irreversible vascular changes occur. In addition, hospital-based lifestyle intervention programs should be supported by policy and resource allocation to enhance their accessibility and effectiveness, thereby contributing to the broader prevention of hypertension and cardiovascular disease.</w:t>
      </w:r>
    </w:p>
    <w:p w14:paraId="70C320AB" w14:textId="60DC5C12" w:rsidR="00404601" w:rsidRPr="00404601" w:rsidRDefault="00404601" w:rsidP="00404601">
      <w:pPr>
        <w:spacing w:line="360" w:lineRule="auto"/>
        <w:jc w:val="both"/>
        <w:rPr>
          <w:rFonts w:ascii="Times New Roman" w:eastAsia="Times New Roman" w:hAnsi="Times New Roman" w:cs="Times New Roman"/>
          <w:b/>
          <w:bCs/>
          <w:i/>
          <w:iCs/>
          <w:sz w:val="24"/>
          <w:szCs w:val="24"/>
        </w:rPr>
      </w:pPr>
      <w:r w:rsidRPr="00404601">
        <w:rPr>
          <w:rFonts w:ascii="Times New Roman" w:eastAsia="Times New Roman" w:hAnsi="Times New Roman" w:cs="Times New Roman"/>
          <w:b/>
          <w:bCs/>
          <w:i/>
          <w:iCs/>
          <w:sz w:val="24"/>
          <w:szCs w:val="24"/>
        </w:rPr>
        <w:t>References</w:t>
      </w:r>
    </w:p>
    <w:p w14:paraId="221454E9" w14:textId="5A9EDF01" w:rsidR="00404601" w:rsidRPr="00404601" w:rsidRDefault="00404601" w:rsidP="00404601">
      <w:pPr>
        <w:pStyle w:val="ListParagraph"/>
        <w:numPr>
          <w:ilvl w:val="6"/>
          <w:numId w:val="2"/>
        </w:numPr>
        <w:spacing w:line="240" w:lineRule="auto"/>
        <w:ind w:left="426"/>
        <w:jc w:val="both"/>
      </w:pPr>
      <w:r w:rsidRPr="00404601">
        <w:rPr>
          <w:rFonts w:ascii="Times New Roman" w:eastAsia="Times New Roman" w:hAnsi="Times New Roman" w:cs="Times New Roman"/>
          <w:sz w:val="24"/>
          <w:szCs w:val="24"/>
        </w:rPr>
        <w:t xml:space="preserve">Hinderliter, A. L., Smith, P., Sherwood, A. and Blumenthal, J. (2021). Lifestyle interventions reduce the need for antihypertensive medication in overweight adults with elevated blood pressure. </w:t>
      </w:r>
      <w:r w:rsidRPr="00404601">
        <w:rPr>
          <w:rFonts w:ascii="Times New Roman" w:eastAsia="Times New Roman" w:hAnsi="Times New Roman" w:cs="Times New Roman"/>
          <w:i/>
          <w:sz w:val="24"/>
          <w:szCs w:val="24"/>
        </w:rPr>
        <w:t>American Journal of Hypertension</w:t>
      </w:r>
      <w:r w:rsidRPr="00404601">
        <w:rPr>
          <w:rFonts w:ascii="Times New Roman" w:eastAsia="Times New Roman" w:hAnsi="Times New Roman" w:cs="Times New Roman"/>
          <w:sz w:val="24"/>
          <w:szCs w:val="24"/>
        </w:rPr>
        <w:t xml:space="preserve"> </w:t>
      </w:r>
      <w:r w:rsidRPr="00404601">
        <w:rPr>
          <w:rFonts w:ascii="Times New Roman" w:eastAsia="Times New Roman" w:hAnsi="Times New Roman" w:cs="Times New Roman"/>
          <w:b/>
          <w:sz w:val="24"/>
          <w:szCs w:val="24"/>
        </w:rPr>
        <w:t>34</w:t>
      </w:r>
      <w:r w:rsidRPr="00404601">
        <w:rPr>
          <w:rFonts w:ascii="Times New Roman" w:eastAsia="Times New Roman" w:hAnsi="Times New Roman" w:cs="Times New Roman"/>
          <w:sz w:val="24"/>
          <w:szCs w:val="24"/>
        </w:rPr>
        <w:t>(10)</w:t>
      </w:r>
      <w:r>
        <w:rPr>
          <w:rFonts w:ascii="Times New Roman" w:eastAsia="Times New Roman" w:hAnsi="Times New Roman" w:cs="Times New Roman"/>
          <w:sz w:val="24"/>
          <w:szCs w:val="24"/>
        </w:rPr>
        <w:t>:</w:t>
      </w:r>
      <w:r w:rsidRPr="00404601">
        <w:rPr>
          <w:rFonts w:ascii="Times New Roman" w:eastAsia="Times New Roman" w:hAnsi="Times New Roman" w:cs="Times New Roman"/>
          <w:sz w:val="24"/>
          <w:szCs w:val="24"/>
        </w:rPr>
        <w:t xml:space="preserve"> 1100–1107.</w:t>
      </w:r>
    </w:p>
    <w:p w14:paraId="751CB039" w14:textId="77777777" w:rsidR="00B36EC3" w:rsidRDefault="00B36EC3" w:rsidP="00B36EC3">
      <w:pPr>
        <w:pStyle w:val="ListParagraph"/>
        <w:numPr>
          <w:ilvl w:val="6"/>
          <w:numId w:val="2"/>
        </w:numPr>
        <w:spacing w:line="240" w:lineRule="auto"/>
        <w:ind w:left="426"/>
        <w:jc w:val="both"/>
        <w:rPr>
          <w:rFonts w:ascii="Times New Roman" w:hAnsi="Times New Roman" w:cs="Times New Roman"/>
        </w:rPr>
      </w:pPr>
      <w:r w:rsidRPr="00B36EC3">
        <w:rPr>
          <w:rFonts w:ascii="Times New Roman" w:hAnsi="Times New Roman" w:cs="Times New Roman"/>
        </w:rPr>
        <w:t xml:space="preserve">World Health Organization. (2021). </w:t>
      </w:r>
      <w:r w:rsidRPr="00B36EC3">
        <w:rPr>
          <w:rFonts w:ascii="Times New Roman" w:hAnsi="Times New Roman" w:cs="Times New Roman"/>
          <w:i/>
          <w:iCs/>
        </w:rPr>
        <w:t>Guideline for the pharmacological treatment of hypertension in adults.</w:t>
      </w:r>
      <w:r w:rsidRPr="00B36EC3">
        <w:rPr>
          <w:rFonts w:ascii="Times New Roman" w:hAnsi="Times New Roman" w:cs="Times New Roman"/>
        </w:rPr>
        <w:t xml:space="preserve"> World Health Organization.</w:t>
      </w:r>
    </w:p>
    <w:p w14:paraId="541F3D81" w14:textId="4CC1C225" w:rsidR="00B36EC3" w:rsidRPr="00931DB8" w:rsidRDefault="00B36EC3" w:rsidP="00B36EC3">
      <w:pPr>
        <w:pStyle w:val="ListParagraph"/>
        <w:numPr>
          <w:ilvl w:val="6"/>
          <w:numId w:val="2"/>
        </w:numPr>
        <w:spacing w:line="240" w:lineRule="auto"/>
        <w:ind w:left="426"/>
        <w:jc w:val="both"/>
        <w:rPr>
          <w:rFonts w:ascii="Times New Roman" w:hAnsi="Times New Roman" w:cs="Times New Roman"/>
        </w:rPr>
      </w:pPr>
      <w:r w:rsidRPr="00B36EC3">
        <w:rPr>
          <w:rFonts w:ascii="Times New Roman" w:eastAsia="Times New Roman" w:hAnsi="Times New Roman" w:cs="Times New Roman"/>
          <w:sz w:val="24"/>
          <w:szCs w:val="24"/>
        </w:rPr>
        <w:t xml:space="preserve">Williams, K. A., Patel, A. and Ferdinand, K. C. (2021). Combining lifestyle and pharmacological interventions for prehypertension in obese adults: A randomized trial. </w:t>
      </w:r>
      <w:r w:rsidRPr="00B36EC3">
        <w:rPr>
          <w:rFonts w:ascii="Times New Roman" w:eastAsia="Times New Roman" w:hAnsi="Times New Roman" w:cs="Times New Roman"/>
          <w:i/>
          <w:sz w:val="24"/>
          <w:szCs w:val="24"/>
        </w:rPr>
        <w:t>Journal of Clinical Hypertension</w:t>
      </w:r>
      <w:r w:rsidRPr="00B36EC3">
        <w:rPr>
          <w:rFonts w:ascii="Times New Roman" w:eastAsia="Times New Roman" w:hAnsi="Times New Roman" w:cs="Times New Roman"/>
          <w:sz w:val="24"/>
          <w:szCs w:val="24"/>
        </w:rPr>
        <w:t xml:space="preserve"> </w:t>
      </w:r>
      <w:r w:rsidRPr="00B36EC3">
        <w:rPr>
          <w:rFonts w:ascii="Times New Roman" w:eastAsia="Times New Roman" w:hAnsi="Times New Roman" w:cs="Times New Roman"/>
          <w:b/>
          <w:sz w:val="24"/>
          <w:szCs w:val="24"/>
        </w:rPr>
        <w:t>23</w:t>
      </w:r>
      <w:r w:rsidRPr="00B36EC3">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Pr="00B36EC3">
        <w:rPr>
          <w:rFonts w:ascii="Times New Roman" w:eastAsia="Times New Roman" w:hAnsi="Times New Roman" w:cs="Times New Roman"/>
          <w:sz w:val="24"/>
          <w:szCs w:val="24"/>
        </w:rPr>
        <w:t xml:space="preserve"> 1345–1353.</w:t>
      </w:r>
    </w:p>
    <w:p w14:paraId="3FC127D4" w14:textId="587BFA7B" w:rsidR="00931DB8" w:rsidRPr="00B36EC3" w:rsidRDefault="00931DB8" w:rsidP="00B36EC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Li, X., Zhang, H.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Ma, J. (2020). Renin-angiotensin-aldosterone system activation in pre-hypertension: The sodium connection. </w:t>
      </w:r>
      <w:r w:rsidRPr="008E003C">
        <w:rPr>
          <w:rFonts w:ascii="Times New Roman" w:eastAsia="Times New Roman" w:hAnsi="Times New Roman" w:cs="Times New Roman"/>
          <w:i/>
          <w:sz w:val="24"/>
          <w:szCs w:val="24"/>
        </w:rPr>
        <w:t>Kidney International</w:t>
      </w:r>
      <w:r w:rsidRPr="008E003C">
        <w:rPr>
          <w:rFonts w:ascii="Times New Roman" w:eastAsia="Times New Roman" w:hAnsi="Times New Roman" w:cs="Times New Roman"/>
          <w:b/>
          <w:sz w:val="24"/>
          <w:szCs w:val="24"/>
        </w:rPr>
        <w:t xml:space="preserve"> 98</w:t>
      </w:r>
      <w:r w:rsidRPr="008E003C">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654-661.</w:t>
      </w:r>
    </w:p>
    <w:p w14:paraId="0D8C22C9" w14:textId="774B5694" w:rsidR="00B36EC3" w:rsidRPr="00931DB8" w:rsidRDefault="00B36EC3"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Mills, K. T., Stefanescu, A.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He, J. (2020). The global epidemiology of hypertension.</w:t>
      </w:r>
      <w:r w:rsidRPr="008E003C">
        <w:rPr>
          <w:rFonts w:ascii="Times New Roman" w:eastAsia="Times New Roman" w:hAnsi="Times New Roman" w:cs="Times New Roman"/>
          <w:i/>
          <w:sz w:val="24"/>
          <w:szCs w:val="24"/>
        </w:rPr>
        <w:t xml:space="preserve"> Nature Reviews Nephrology</w:t>
      </w:r>
      <w:r w:rsidRPr="008E003C">
        <w:rPr>
          <w:rFonts w:ascii="Times New Roman" w:eastAsia="Times New Roman" w:hAnsi="Times New Roman" w:cs="Times New Roman"/>
          <w:sz w:val="24"/>
          <w:szCs w:val="24"/>
        </w:rPr>
        <w:t xml:space="preserve"> </w:t>
      </w:r>
      <w:r w:rsidRPr="00B36EC3">
        <w:rPr>
          <w:rFonts w:ascii="Times New Roman" w:eastAsia="Times New Roman" w:hAnsi="Times New Roman" w:cs="Times New Roman"/>
          <w:b/>
          <w:bCs/>
          <w:sz w:val="24"/>
          <w:szCs w:val="24"/>
        </w:rPr>
        <w:t>16</w:t>
      </w:r>
      <w:r w:rsidRPr="008E003C">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223–237.</w:t>
      </w:r>
    </w:p>
    <w:p w14:paraId="3C166978" w14:textId="42D8F5B6" w:rsidR="00931DB8" w:rsidRPr="00931DB8" w:rsidRDefault="00931DB8"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Campbell, N. R., Lackland, D. T.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Niebylski, M. L. (2022). Dietary sodium and health: How much is too much for those with salt sensitivity? </w:t>
      </w:r>
      <w:r w:rsidRPr="008E003C">
        <w:rPr>
          <w:rFonts w:ascii="Times New Roman" w:eastAsia="Times New Roman" w:hAnsi="Times New Roman" w:cs="Times New Roman"/>
          <w:i/>
          <w:sz w:val="24"/>
          <w:szCs w:val="24"/>
        </w:rPr>
        <w:t>Journal of Clinical Hypertension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24</w:t>
      </w:r>
      <w:r w:rsidRPr="008E003C">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567–574.</w:t>
      </w:r>
    </w:p>
    <w:p w14:paraId="3BF697FE" w14:textId="0042B346" w:rsidR="00931DB8" w:rsidRPr="00931DB8" w:rsidRDefault="00931DB8"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Giorgadze, T., Maisuradze, I.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t>
      </w:r>
      <w:proofErr w:type="spellStart"/>
      <w:r w:rsidRPr="008E003C">
        <w:rPr>
          <w:rFonts w:ascii="Times New Roman" w:eastAsia="Times New Roman" w:hAnsi="Times New Roman" w:cs="Times New Roman"/>
          <w:sz w:val="24"/>
          <w:szCs w:val="24"/>
        </w:rPr>
        <w:t>Uchava</w:t>
      </w:r>
      <w:proofErr w:type="spellEnd"/>
      <w:r w:rsidRPr="008E003C">
        <w:rPr>
          <w:rFonts w:ascii="Times New Roman" w:eastAsia="Times New Roman" w:hAnsi="Times New Roman" w:cs="Times New Roman"/>
          <w:sz w:val="24"/>
          <w:szCs w:val="24"/>
        </w:rPr>
        <w:t>, L. (2021). The role of chronic stress in the pathogenesis of essential hypertension.</w:t>
      </w:r>
      <w:r w:rsidRPr="008E003C">
        <w:rPr>
          <w:rFonts w:ascii="Times New Roman" w:eastAsia="Times New Roman" w:hAnsi="Times New Roman" w:cs="Times New Roman"/>
          <w:i/>
          <w:sz w:val="24"/>
          <w:szCs w:val="24"/>
        </w:rPr>
        <w:t xml:space="preserve"> Journal of Clinical Hypertension</w:t>
      </w:r>
      <w:r w:rsidRPr="008E003C">
        <w:rPr>
          <w:rFonts w:ascii="Times New Roman" w:eastAsia="Times New Roman" w:hAnsi="Times New Roman" w:cs="Times New Roman"/>
          <w:b/>
          <w:sz w:val="24"/>
          <w:szCs w:val="24"/>
        </w:rPr>
        <w:t xml:space="preserve"> 23</w:t>
      </w:r>
      <w:r w:rsidRPr="008E003C">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967-974.</w:t>
      </w:r>
    </w:p>
    <w:p w14:paraId="3C70F8FD" w14:textId="137E7F57" w:rsidR="00931DB8" w:rsidRPr="00931DB8" w:rsidRDefault="00931DB8"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Hargens, T. A., Kaleth, A. S., Edwards, E. S.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Butner, K. L. (2020). Association between sleep disorders, obesity, and exercise: A review. </w:t>
      </w:r>
      <w:r w:rsidRPr="008E003C">
        <w:rPr>
          <w:rFonts w:ascii="Times New Roman" w:eastAsia="Times New Roman" w:hAnsi="Times New Roman" w:cs="Times New Roman"/>
          <w:i/>
          <w:sz w:val="24"/>
          <w:szCs w:val="24"/>
        </w:rPr>
        <w:t xml:space="preserve">Nature and Science of Sleep </w:t>
      </w:r>
      <w:r w:rsidRPr="008E003C">
        <w:rPr>
          <w:rFonts w:ascii="Times New Roman" w:eastAsia="Times New Roman" w:hAnsi="Times New Roman" w:cs="Times New Roman"/>
          <w:sz w:val="24"/>
          <w:szCs w:val="24"/>
        </w:rPr>
        <w:t>12</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27-35.</w:t>
      </w:r>
    </w:p>
    <w:p w14:paraId="5DDDCB39" w14:textId="7B50A39A" w:rsidR="00931DB8" w:rsidRPr="00827B16" w:rsidRDefault="00931DB8"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Chen, H., Wang, Y.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Sun, L. (2023). Sympathetic nervous system activation in pre-hypertension: The role of physical inactivity. </w:t>
      </w:r>
      <w:r w:rsidRPr="008E003C">
        <w:rPr>
          <w:rFonts w:ascii="Times New Roman" w:eastAsia="Times New Roman" w:hAnsi="Times New Roman" w:cs="Times New Roman"/>
          <w:i/>
          <w:sz w:val="24"/>
          <w:szCs w:val="24"/>
        </w:rPr>
        <w:t>Journal of Hypertension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41</w:t>
      </w:r>
      <w:r w:rsidRPr="008E003C">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789-795.</w:t>
      </w:r>
    </w:p>
    <w:p w14:paraId="3F0BD80C" w14:textId="4FCFF52B" w:rsidR="00827B16" w:rsidRPr="00827B16" w:rsidRDefault="00827B16"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Liu, H., Wu, S., Li, Y.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Sun, J. (2020). Effects of weight loss on blood pressure control in pre-hypertensive adults: A randomized controlled trial. </w:t>
      </w:r>
      <w:r w:rsidRPr="008E003C">
        <w:rPr>
          <w:rFonts w:ascii="Times New Roman" w:eastAsia="Times New Roman" w:hAnsi="Times New Roman" w:cs="Times New Roman"/>
          <w:i/>
          <w:sz w:val="24"/>
          <w:szCs w:val="24"/>
        </w:rPr>
        <w:t xml:space="preserve">American Journal of Preventive Medicine </w:t>
      </w:r>
      <w:r w:rsidRPr="008E003C">
        <w:rPr>
          <w:rFonts w:ascii="Times New Roman" w:eastAsia="Times New Roman" w:hAnsi="Times New Roman" w:cs="Times New Roman"/>
          <w:b/>
          <w:sz w:val="24"/>
          <w:szCs w:val="24"/>
        </w:rPr>
        <w:t>59</w:t>
      </w:r>
      <w:r w:rsidRPr="008E003C">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678–685.</w:t>
      </w:r>
    </w:p>
    <w:p w14:paraId="1EB5FF4B" w14:textId="0C342B7E" w:rsidR="00827B16" w:rsidRPr="00827B16" w:rsidRDefault="00827B16" w:rsidP="00827B16">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Gao, S., Huang, Q.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Zhou, T. (2021). Inflammation and sympathetic activation in pre-hypertension linked to dietary patterns. </w:t>
      </w:r>
      <w:r w:rsidRPr="008E003C">
        <w:rPr>
          <w:rFonts w:ascii="Times New Roman" w:eastAsia="Times New Roman" w:hAnsi="Times New Roman" w:cs="Times New Roman"/>
          <w:i/>
          <w:sz w:val="24"/>
          <w:szCs w:val="24"/>
        </w:rPr>
        <w:t>American Journal of Clinical Nutrition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113</w:t>
      </w:r>
      <w:r w:rsidRPr="008E003C">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920-927.</w:t>
      </w:r>
    </w:p>
    <w:p w14:paraId="26E556FE" w14:textId="165DD22D" w:rsidR="00B36EC3" w:rsidRDefault="00B36EC3" w:rsidP="00404601">
      <w:pPr>
        <w:pStyle w:val="ListParagraph"/>
        <w:numPr>
          <w:ilvl w:val="6"/>
          <w:numId w:val="2"/>
        </w:numPr>
        <w:spacing w:line="240" w:lineRule="auto"/>
        <w:ind w:left="426"/>
        <w:jc w:val="both"/>
        <w:rPr>
          <w:rFonts w:ascii="Times New Roman" w:hAnsi="Times New Roman" w:cs="Times New Roman"/>
        </w:rPr>
      </w:pPr>
      <w:r w:rsidRPr="00B36EC3">
        <w:rPr>
          <w:rFonts w:ascii="Times New Roman" w:hAnsi="Times New Roman" w:cs="Times New Roman"/>
        </w:rPr>
        <w:t xml:space="preserve">Ungar, T., Borghi, C., </w:t>
      </w:r>
      <w:proofErr w:type="spellStart"/>
      <w:r w:rsidRPr="00B36EC3">
        <w:rPr>
          <w:rFonts w:ascii="Times New Roman" w:hAnsi="Times New Roman" w:cs="Times New Roman"/>
        </w:rPr>
        <w:t>Charchar</w:t>
      </w:r>
      <w:proofErr w:type="spellEnd"/>
      <w:r w:rsidRPr="00B36EC3">
        <w:rPr>
          <w:rFonts w:ascii="Times New Roman" w:hAnsi="Times New Roman" w:cs="Times New Roman"/>
        </w:rPr>
        <w:t>, F., Khan, N. A., Poulter, N. R., Prabhakaran, D., Ramirez, A., Schlaich, M., Stergiou, G. S.</w:t>
      </w:r>
      <w:r>
        <w:rPr>
          <w:rFonts w:ascii="Times New Roman" w:hAnsi="Times New Roman" w:cs="Times New Roman"/>
        </w:rPr>
        <w:t xml:space="preserve"> and</w:t>
      </w:r>
      <w:r w:rsidRPr="00B36EC3">
        <w:rPr>
          <w:rFonts w:ascii="Times New Roman" w:hAnsi="Times New Roman" w:cs="Times New Roman"/>
        </w:rPr>
        <w:t xml:space="preserve"> Tomaszewski, M.</w:t>
      </w:r>
      <w:r>
        <w:rPr>
          <w:rFonts w:ascii="Times New Roman" w:hAnsi="Times New Roman" w:cs="Times New Roman"/>
        </w:rPr>
        <w:t xml:space="preserve"> </w:t>
      </w:r>
      <w:r w:rsidRPr="00B36EC3">
        <w:rPr>
          <w:rFonts w:ascii="Times New Roman" w:hAnsi="Times New Roman" w:cs="Times New Roman"/>
        </w:rPr>
        <w:t xml:space="preserve">(2020). International Society of Hypertension Global Hypertension Practice Guidelines. </w:t>
      </w:r>
      <w:r w:rsidRPr="00B36EC3">
        <w:rPr>
          <w:rFonts w:ascii="Times New Roman" w:hAnsi="Times New Roman" w:cs="Times New Roman"/>
          <w:i/>
          <w:iCs/>
        </w:rPr>
        <w:t>Hypertension</w:t>
      </w:r>
      <w:r w:rsidRPr="00B36EC3">
        <w:rPr>
          <w:rFonts w:ascii="Times New Roman" w:hAnsi="Times New Roman" w:cs="Times New Roman"/>
        </w:rPr>
        <w:t xml:space="preserve"> </w:t>
      </w:r>
      <w:r w:rsidRPr="00B36EC3">
        <w:rPr>
          <w:rFonts w:ascii="Times New Roman" w:hAnsi="Times New Roman" w:cs="Times New Roman"/>
          <w:b/>
          <w:bCs/>
        </w:rPr>
        <w:t>75</w:t>
      </w:r>
      <w:r w:rsidRPr="00B36EC3">
        <w:rPr>
          <w:rFonts w:ascii="Times New Roman" w:hAnsi="Times New Roman" w:cs="Times New Roman"/>
        </w:rPr>
        <w:t>(6)</w:t>
      </w:r>
      <w:r>
        <w:rPr>
          <w:rFonts w:ascii="Times New Roman" w:hAnsi="Times New Roman" w:cs="Times New Roman"/>
        </w:rPr>
        <w:t>:</w:t>
      </w:r>
      <w:r w:rsidRPr="00B36EC3">
        <w:rPr>
          <w:rFonts w:ascii="Times New Roman" w:hAnsi="Times New Roman" w:cs="Times New Roman"/>
        </w:rPr>
        <w:t xml:space="preserve"> 1334–1357.</w:t>
      </w:r>
    </w:p>
    <w:p w14:paraId="5134A603" w14:textId="4BCDF0E8" w:rsidR="00827B16" w:rsidRPr="00827B16" w:rsidRDefault="00827B16"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Chiu, S., Bergeron, N., Williams, P. T., Bray, G. A., Sutherland, B.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Krauss, R. M. (2021). Comparison of the DASH diet and a higher-fat DASH diet on blood pressure and lipids in overweight and obese adults: A randomized controlled trial. </w:t>
      </w:r>
      <w:r w:rsidRPr="008E003C">
        <w:rPr>
          <w:rFonts w:ascii="Times New Roman" w:eastAsia="Times New Roman" w:hAnsi="Times New Roman" w:cs="Times New Roman"/>
          <w:i/>
          <w:sz w:val="24"/>
          <w:szCs w:val="24"/>
        </w:rPr>
        <w:t xml:space="preserve">American Journal of Clinical Nutrition </w:t>
      </w:r>
      <w:r w:rsidRPr="008E003C">
        <w:rPr>
          <w:rFonts w:ascii="Times New Roman" w:eastAsia="Times New Roman" w:hAnsi="Times New Roman" w:cs="Times New Roman"/>
          <w:b/>
          <w:sz w:val="24"/>
          <w:szCs w:val="24"/>
        </w:rPr>
        <w:t>113</w:t>
      </w:r>
      <w:r w:rsidRPr="008E003C">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946–955.</w:t>
      </w:r>
    </w:p>
    <w:p w14:paraId="451BADCA" w14:textId="23F8679C" w:rsidR="00827B16" w:rsidRDefault="00827B16" w:rsidP="00404601">
      <w:pPr>
        <w:pStyle w:val="ListParagraph"/>
        <w:numPr>
          <w:ilvl w:val="6"/>
          <w:numId w:val="2"/>
        </w:numPr>
        <w:spacing w:line="240" w:lineRule="auto"/>
        <w:ind w:left="426"/>
        <w:jc w:val="both"/>
        <w:rPr>
          <w:rFonts w:ascii="Times New Roman" w:hAnsi="Times New Roman" w:cs="Times New Roman"/>
        </w:rPr>
      </w:pPr>
      <w:proofErr w:type="spellStart"/>
      <w:r w:rsidRPr="00943134">
        <w:rPr>
          <w:rFonts w:ascii="Times New Roman" w:eastAsia="Times New Roman" w:hAnsi="Times New Roman" w:cs="Times New Roman"/>
          <w:sz w:val="24"/>
          <w:szCs w:val="24"/>
          <w:lang w:val="fr-FR"/>
        </w:rPr>
        <w:t>Martínez</w:t>
      </w:r>
      <w:proofErr w:type="spellEnd"/>
      <w:r w:rsidRPr="00943134">
        <w:rPr>
          <w:rFonts w:ascii="Times New Roman" w:eastAsia="Times New Roman" w:hAnsi="Times New Roman" w:cs="Times New Roman"/>
          <w:sz w:val="24"/>
          <w:szCs w:val="24"/>
          <w:lang w:val="fr-FR"/>
        </w:rPr>
        <w:t xml:space="preserve">-González, M. A., </w:t>
      </w:r>
      <w:proofErr w:type="spellStart"/>
      <w:r w:rsidRPr="00943134">
        <w:rPr>
          <w:rFonts w:ascii="Times New Roman" w:eastAsia="Times New Roman" w:hAnsi="Times New Roman" w:cs="Times New Roman"/>
          <w:sz w:val="24"/>
          <w:szCs w:val="24"/>
          <w:lang w:val="fr-FR"/>
        </w:rPr>
        <w:t>Gea</w:t>
      </w:r>
      <w:proofErr w:type="spellEnd"/>
      <w:r w:rsidRPr="00943134">
        <w:rPr>
          <w:rFonts w:ascii="Times New Roman" w:eastAsia="Times New Roman" w:hAnsi="Times New Roman" w:cs="Times New Roman"/>
          <w:sz w:val="24"/>
          <w:szCs w:val="24"/>
          <w:lang w:val="fr-FR"/>
        </w:rPr>
        <w:t xml:space="preserve">, A. </w:t>
      </w:r>
      <w:r w:rsidRPr="00164410">
        <w:rPr>
          <w:rFonts w:ascii="Times New Roman" w:eastAsia="Times New Roman" w:hAnsi="Times New Roman" w:cs="Times New Roman"/>
          <w:sz w:val="24"/>
          <w:szCs w:val="24"/>
          <w:lang w:val="fr-FR"/>
        </w:rPr>
        <w:t>and</w:t>
      </w:r>
      <w:r w:rsidRPr="00943134">
        <w:rPr>
          <w:rFonts w:ascii="Times New Roman" w:eastAsia="Times New Roman" w:hAnsi="Times New Roman" w:cs="Times New Roman"/>
          <w:sz w:val="24"/>
          <w:szCs w:val="24"/>
          <w:lang w:val="fr-FR"/>
        </w:rPr>
        <w:t xml:space="preserve"> Ruiz-</w:t>
      </w:r>
      <w:proofErr w:type="spellStart"/>
      <w:r w:rsidRPr="00943134">
        <w:rPr>
          <w:rFonts w:ascii="Times New Roman" w:eastAsia="Times New Roman" w:hAnsi="Times New Roman" w:cs="Times New Roman"/>
          <w:sz w:val="24"/>
          <w:szCs w:val="24"/>
          <w:lang w:val="fr-FR"/>
        </w:rPr>
        <w:t>Canela</w:t>
      </w:r>
      <w:proofErr w:type="spellEnd"/>
      <w:r w:rsidRPr="00943134">
        <w:rPr>
          <w:rFonts w:ascii="Times New Roman" w:eastAsia="Times New Roman" w:hAnsi="Times New Roman" w:cs="Times New Roman"/>
          <w:sz w:val="24"/>
          <w:szCs w:val="24"/>
          <w:lang w:val="fr-FR"/>
        </w:rPr>
        <w:t xml:space="preserve">, M. (2021). </w:t>
      </w:r>
      <w:r w:rsidRPr="008E003C">
        <w:rPr>
          <w:rFonts w:ascii="Times New Roman" w:eastAsia="Times New Roman" w:hAnsi="Times New Roman" w:cs="Times New Roman"/>
          <w:sz w:val="24"/>
          <w:szCs w:val="24"/>
        </w:rPr>
        <w:t xml:space="preserve">The Mediterranean diet and cardiovascular health: A randomized trial follow-up. </w:t>
      </w:r>
      <w:r w:rsidRPr="008E003C">
        <w:rPr>
          <w:rFonts w:ascii="Times New Roman" w:eastAsia="Times New Roman" w:hAnsi="Times New Roman" w:cs="Times New Roman"/>
          <w:i/>
          <w:sz w:val="24"/>
          <w:szCs w:val="24"/>
        </w:rPr>
        <w:t>Circulation Research</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128</w:t>
      </w:r>
      <w:r w:rsidRPr="008E003C">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851–863.</w:t>
      </w:r>
    </w:p>
    <w:p w14:paraId="61B0110E" w14:textId="4B4B210C" w:rsidR="00F81923" w:rsidRDefault="00F81923" w:rsidP="00404601">
      <w:pPr>
        <w:pStyle w:val="ListParagraph"/>
        <w:numPr>
          <w:ilvl w:val="6"/>
          <w:numId w:val="2"/>
        </w:numPr>
        <w:spacing w:line="240" w:lineRule="auto"/>
        <w:ind w:left="426"/>
        <w:jc w:val="both"/>
        <w:rPr>
          <w:rFonts w:ascii="Times New Roman" w:hAnsi="Times New Roman" w:cs="Times New Roman"/>
        </w:rPr>
      </w:pPr>
      <w:r w:rsidRPr="00F81923">
        <w:rPr>
          <w:rFonts w:ascii="Times New Roman" w:hAnsi="Times New Roman" w:cs="Times New Roman"/>
        </w:rPr>
        <w:t>Rimoldi, S., Scherrer, U.</w:t>
      </w:r>
      <w:r>
        <w:rPr>
          <w:rFonts w:ascii="Times New Roman" w:hAnsi="Times New Roman" w:cs="Times New Roman"/>
        </w:rPr>
        <w:t xml:space="preserve"> and</w:t>
      </w:r>
      <w:r w:rsidRPr="00F81923">
        <w:rPr>
          <w:rFonts w:ascii="Times New Roman" w:hAnsi="Times New Roman" w:cs="Times New Roman"/>
        </w:rPr>
        <w:t xml:space="preserve"> Messerli, F. H. (2013). Secondary arterial hypertension: When, who, and how to screen? </w:t>
      </w:r>
      <w:r w:rsidRPr="00F81923">
        <w:rPr>
          <w:rFonts w:ascii="Times New Roman" w:hAnsi="Times New Roman" w:cs="Times New Roman"/>
          <w:i/>
          <w:iCs/>
        </w:rPr>
        <w:t xml:space="preserve">European Heart Journal </w:t>
      </w:r>
      <w:r w:rsidRPr="00F81923">
        <w:rPr>
          <w:rFonts w:ascii="Times New Roman" w:hAnsi="Times New Roman" w:cs="Times New Roman"/>
          <w:b/>
          <w:bCs/>
        </w:rPr>
        <w:t>35</w:t>
      </w:r>
      <w:r w:rsidRPr="00F81923">
        <w:rPr>
          <w:rFonts w:ascii="Times New Roman" w:hAnsi="Times New Roman" w:cs="Times New Roman"/>
        </w:rPr>
        <w:t>(19)</w:t>
      </w:r>
      <w:r>
        <w:rPr>
          <w:rFonts w:ascii="Times New Roman" w:hAnsi="Times New Roman" w:cs="Times New Roman"/>
        </w:rPr>
        <w:t>:</w:t>
      </w:r>
      <w:r w:rsidRPr="00F81923">
        <w:rPr>
          <w:rFonts w:ascii="Times New Roman" w:hAnsi="Times New Roman" w:cs="Times New Roman"/>
        </w:rPr>
        <w:t xml:space="preserve"> 1245–1254.</w:t>
      </w:r>
    </w:p>
    <w:p w14:paraId="3B05D1E4" w14:textId="5215FB49" w:rsidR="00827B16" w:rsidRDefault="00827B16"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lastRenderedPageBreak/>
        <w:t xml:space="preserve">Khera, R., Lu, Y., Saxena, A., Nasir, K.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Krumholz, H. M. (2021). Pre-hypertension and cardiovascular risk: A nationwide cohort study. J</w:t>
      </w:r>
      <w:r w:rsidRPr="008E003C">
        <w:rPr>
          <w:rFonts w:ascii="Times New Roman" w:eastAsia="Times New Roman" w:hAnsi="Times New Roman" w:cs="Times New Roman"/>
          <w:i/>
          <w:sz w:val="24"/>
          <w:szCs w:val="24"/>
        </w:rPr>
        <w:t xml:space="preserve">ournal of the American College of Cardiology </w:t>
      </w:r>
      <w:r w:rsidRPr="008E003C">
        <w:rPr>
          <w:rFonts w:ascii="Times New Roman" w:eastAsia="Times New Roman" w:hAnsi="Times New Roman" w:cs="Times New Roman"/>
          <w:b/>
          <w:sz w:val="24"/>
          <w:szCs w:val="24"/>
        </w:rPr>
        <w:t>77</w:t>
      </w:r>
      <w:r w:rsidRPr="008E003C">
        <w:rPr>
          <w:rFonts w:ascii="Times New Roman" w:eastAsia="Times New Roman" w:hAnsi="Times New Roman" w:cs="Times New Roman"/>
          <w:sz w:val="24"/>
          <w:szCs w:val="24"/>
        </w:rPr>
        <w:t>(18)</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2301–2310.</w:t>
      </w:r>
    </w:p>
    <w:p w14:paraId="4F5F18F8" w14:textId="1250C82B" w:rsidR="00F81923" w:rsidRDefault="00F81923" w:rsidP="00404601">
      <w:pPr>
        <w:pStyle w:val="ListParagraph"/>
        <w:numPr>
          <w:ilvl w:val="6"/>
          <w:numId w:val="2"/>
        </w:numPr>
        <w:spacing w:line="240" w:lineRule="auto"/>
        <w:ind w:left="426"/>
        <w:jc w:val="both"/>
        <w:rPr>
          <w:rFonts w:ascii="Times New Roman" w:hAnsi="Times New Roman" w:cs="Times New Roman"/>
        </w:rPr>
      </w:pPr>
      <w:r w:rsidRPr="00F81923">
        <w:rPr>
          <w:rFonts w:ascii="Times New Roman" w:hAnsi="Times New Roman" w:cs="Times New Roman"/>
        </w:rPr>
        <w:t xml:space="preserve">Funder, J. W., Carey, R. M., </w:t>
      </w:r>
      <w:proofErr w:type="spellStart"/>
      <w:r w:rsidRPr="00F81923">
        <w:rPr>
          <w:rFonts w:ascii="Times New Roman" w:hAnsi="Times New Roman" w:cs="Times New Roman"/>
        </w:rPr>
        <w:t>Mantero</w:t>
      </w:r>
      <w:proofErr w:type="spellEnd"/>
      <w:r w:rsidRPr="00F81923">
        <w:rPr>
          <w:rFonts w:ascii="Times New Roman" w:hAnsi="Times New Roman" w:cs="Times New Roman"/>
        </w:rPr>
        <w:t xml:space="preserve">, F., Murad, M. H., Reincke, M., Shibata, H. A. </w:t>
      </w:r>
      <w:r>
        <w:rPr>
          <w:rFonts w:ascii="Times New Roman" w:hAnsi="Times New Roman" w:cs="Times New Roman"/>
        </w:rPr>
        <w:t>and</w:t>
      </w:r>
      <w:r w:rsidRPr="00F81923">
        <w:rPr>
          <w:rFonts w:ascii="Times New Roman" w:hAnsi="Times New Roman" w:cs="Times New Roman"/>
        </w:rPr>
        <w:t xml:space="preserve"> Young, W. F. Jr. (2016). The management of primary aldosteronism: Case detection, diagnosis, and treatment: An Endocrine Society clinical practice guideline. </w:t>
      </w:r>
      <w:r w:rsidRPr="00F81923">
        <w:rPr>
          <w:rFonts w:ascii="Times New Roman" w:hAnsi="Times New Roman" w:cs="Times New Roman"/>
          <w:i/>
          <w:iCs/>
        </w:rPr>
        <w:t xml:space="preserve">The Journal of Clinical Endocrinology &amp; Metabolism </w:t>
      </w:r>
      <w:r w:rsidRPr="00F81923">
        <w:rPr>
          <w:rFonts w:ascii="Times New Roman" w:hAnsi="Times New Roman" w:cs="Times New Roman"/>
          <w:b/>
          <w:bCs/>
        </w:rPr>
        <w:t>101</w:t>
      </w:r>
      <w:r w:rsidRPr="00F81923">
        <w:rPr>
          <w:rFonts w:ascii="Times New Roman" w:hAnsi="Times New Roman" w:cs="Times New Roman"/>
        </w:rPr>
        <w:t>(5)</w:t>
      </w:r>
      <w:r>
        <w:rPr>
          <w:rFonts w:ascii="Times New Roman" w:hAnsi="Times New Roman" w:cs="Times New Roman"/>
        </w:rPr>
        <w:t>:</w:t>
      </w:r>
      <w:r w:rsidRPr="00F81923">
        <w:rPr>
          <w:rFonts w:ascii="Times New Roman" w:hAnsi="Times New Roman" w:cs="Times New Roman"/>
        </w:rPr>
        <w:t xml:space="preserve"> 1889–1916.</w:t>
      </w:r>
    </w:p>
    <w:p w14:paraId="53D2BB6B" w14:textId="3DF4CCE9" w:rsidR="00827B16" w:rsidRDefault="00827B16"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Smyth, A., Teo, K. K., Rangarajan, S., O’Donnell, M., Zhang, X.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Yusuf, S. (2024). Alcohol consumption and blood pressure. </w:t>
      </w:r>
      <w:r w:rsidRPr="008E003C">
        <w:rPr>
          <w:rFonts w:ascii="Times New Roman" w:eastAsia="Times New Roman" w:hAnsi="Times New Roman" w:cs="Times New Roman"/>
          <w:i/>
          <w:sz w:val="24"/>
          <w:szCs w:val="24"/>
        </w:rPr>
        <w:t>Journal of Hypertension</w:t>
      </w:r>
      <w:r w:rsidRPr="008E003C">
        <w:rPr>
          <w:rFonts w:ascii="Times New Roman" w:eastAsia="Times New Roman" w:hAnsi="Times New Roman" w:cs="Times New Roman"/>
          <w:b/>
          <w:sz w:val="24"/>
          <w:szCs w:val="24"/>
        </w:rPr>
        <w:t xml:space="preserve"> 42</w:t>
      </w:r>
      <w:r w:rsidRPr="008E003C">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410–418.</w:t>
      </w:r>
    </w:p>
    <w:p w14:paraId="42324A3C" w14:textId="2AB7113E" w:rsidR="00F81923" w:rsidRPr="00F81923" w:rsidRDefault="00F81923"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Holzman, C., Catov, J., Tian, Y., Xu, J., Sergin, S., Bullen, B.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Fenton, J. I. (2024). Diet quality, sedentary time, and blood pressure in the </w:t>
      </w:r>
      <w:proofErr w:type="spellStart"/>
      <w:r w:rsidRPr="008E003C">
        <w:rPr>
          <w:rFonts w:ascii="Times New Roman" w:eastAsia="Times New Roman" w:hAnsi="Times New Roman" w:cs="Times New Roman"/>
          <w:sz w:val="24"/>
          <w:szCs w:val="24"/>
        </w:rPr>
        <w:t>POUCHmoms</w:t>
      </w:r>
      <w:proofErr w:type="spellEnd"/>
      <w:r w:rsidRPr="008E003C">
        <w:rPr>
          <w:rFonts w:ascii="Times New Roman" w:eastAsia="Times New Roman" w:hAnsi="Times New Roman" w:cs="Times New Roman"/>
          <w:sz w:val="24"/>
          <w:szCs w:val="24"/>
        </w:rPr>
        <w:t xml:space="preserve"> study. </w:t>
      </w:r>
      <w:r w:rsidRPr="008E003C">
        <w:rPr>
          <w:rFonts w:ascii="Times New Roman" w:eastAsia="Times New Roman" w:hAnsi="Times New Roman" w:cs="Times New Roman"/>
          <w:i/>
          <w:sz w:val="24"/>
          <w:szCs w:val="24"/>
        </w:rPr>
        <w:t>The Journal of Nutrition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154</w:t>
      </w:r>
      <w:r w:rsidRPr="008E003C">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706–713.</w:t>
      </w:r>
    </w:p>
    <w:p w14:paraId="424374BE" w14:textId="77777777" w:rsidR="00F81923" w:rsidRPr="009F1B10" w:rsidRDefault="00F81923" w:rsidP="00F8192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Jensen, M. D., Ryan, D. H., Donato, K. A., Apovian, C. M., Ard, J. D.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t>
      </w:r>
      <w:proofErr w:type="spellStart"/>
      <w:r w:rsidRPr="008E003C">
        <w:rPr>
          <w:rFonts w:ascii="Times New Roman" w:eastAsia="Times New Roman" w:hAnsi="Times New Roman" w:cs="Times New Roman"/>
          <w:sz w:val="24"/>
          <w:szCs w:val="24"/>
        </w:rPr>
        <w:t>Comuzzie</w:t>
      </w:r>
      <w:proofErr w:type="spellEnd"/>
      <w:r w:rsidRPr="008E003C">
        <w:rPr>
          <w:rFonts w:ascii="Times New Roman" w:eastAsia="Times New Roman" w:hAnsi="Times New Roman" w:cs="Times New Roman"/>
          <w:sz w:val="24"/>
          <w:szCs w:val="24"/>
        </w:rPr>
        <w:t xml:space="preserve">, A. G. (2022). Lifestyle intervention strategies for the prevention and management of hypertension: A review. </w:t>
      </w:r>
      <w:r w:rsidRPr="008E003C">
        <w:rPr>
          <w:rFonts w:ascii="Times New Roman" w:eastAsia="Times New Roman" w:hAnsi="Times New Roman" w:cs="Times New Roman"/>
          <w:i/>
          <w:sz w:val="24"/>
          <w:szCs w:val="24"/>
        </w:rPr>
        <w:t>Current Hypertension Reports</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24</w:t>
      </w:r>
      <w:r w:rsidRPr="008E003C">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123–134.</w:t>
      </w:r>
    </w:p>
    <w:p w14:paraId="15B7EB3F" w14:textId="71B875DD" w:rsidR="009F1B10" w:rsidRPr="00F81923" w:rsidRDefault="009F1B10" w:rsidP="00F8192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Weaver, C. M., Gordon, C. M., Janz, K. F., Kalkwarf, H. J., Lappe, J. M., Lewis, R.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Zemel, B. S. (2023). The DASH diet and sodium reduction improve blood pressure and bone health in prehypertensive adults. </w:t>
      </w:r>
      <w:r w:rsidRPr="008E003C">
        <w:rPr>
          <w:rFonts w:ascii="Times New Roman" w:eastAsia="Times New Roman" w:hAnsi="Times New Roman" w:cs="Times New Roman"/>
          <w:i/>
          <w:sz w:val="24"/>
          <w:szCs w:val="24"/>
        </w:rPr>
        <w:t>Hypertension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80</w:t>
      </w:r>
      <w:r w:rsidRPr="008E003C">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312–320.</w:t>
      </w:r>
    </w:p>
    <w:p w14:paraId="5542BDEA" w14:textId="798D72BA" w:rsidR="00F81923" w:rsidRPr="009F1B10" w:rsidRDefault="00F81923" w:rsidP="00F81923">
      <w:pPr>
        <w:pStyle w:val="ListParagraph"/>
        <w:numPr>
          <w:ilvl w:val="6"/>
          <w:numId w:val="2"/>
        </w:numPr>
        <w:spacing w:line="240" w:lineRule="auto"/>
        <w:ind w:left="426"/>
        <w:jc w:val="both"/>
        <w:rPr>
          <w:rFonts w:ascii="Times New Roman" w:hAnsi="Times New Roman" w:cs="Times New Roman"/>
        </w:rPr>
      </w:pPr>
      <w:r w:rsidRPr="00F81923">
        <w:rPr>
          <w:rFonts w:ascii="Times New Roman" w:eastAsia="Times New Roman" w:hAnsi="Times New Roman" w:cs="Times New Roman"/>
          <w:sz w:val="24"/>
          <w:szCs w:val="24"/>
        </w:rPr>
        <w:t xml:space="preserve">Levine, G. N., Cohen, B. E., Commodore-Mensah, Y., Fleury, J., Huffman, J. C. and Khalid, U. (2021). Psychological health, well-being, and the mind-heart-body connection: A scientific statement from the American Heart Association. </w:t>
      </w:r>
      <w:r w:rsidRPr="00F81923">
        <w:rPr>
          <w:rFonts w:ascii="Times New Roman" w:eastAsia="Times New Roman" w:hAnsi="Times New Roman" w:cs="Times New Roman"/>
          <w:i/>
          <w:sz w:val="24"/>
          <w:szCs w:val="24"/>
          <w:lang w:val="fr-FR"/>
        </w:rPr>
        <w:t>Circulation</w:t>
      </w:r>
      <w:r w:rsidRPr="00F81923">
        <w:rPr>
          <w:rFonts w:ascii="Times New Roman" w:eastAsia="Times New Roman" w:hAnsi="Times New Roman" w:cs="Times New Roman"/>
          <w:sz w:val="24"/>
          <w:szCs w:val="24"/>
          <w:lang w:val="fr-FR"/>
        </w:rPr>
        <w:t xml:space="preserve"> </w:t>
      </w:r>
      <w:r w:rsidRPr="00F81923">
        <w:rPr>
          <w:rFonts w:ascii="Times New Roman" w:eastAsia="Times New Roman" w:hAnsi="Times New Roman" w:cs="Times New Roman"/>
          <w:b/>
          <w:sz w:val="24"/>
          <w:szCs w:val="24"/>
          <w:lang w:val="fr-FR"/>
        </w:rPr>
        <w:t>143</w:t>
      </w:r>
      <w:r w:rsidRPr="00F81923">
        <w:rPr>
          <w:rFonts w:ascii="Times New Roman" w:eastAsia="Times New Roman" w:hAnsi="Times New Roman" w:cs="Times New Roman"/>
          <w:sz w:val="24"/>
          <w:szCs w:val="24"/>
          <w:lang w:val="fr-FR"/>
        </w:rPr>
        <w:t>(10)</w:t>
      </w:r>
      <w:r>
        <w:rPr>
          <w:rFonts w:ascii="Times New Roman" w:eastAsia="Times New Roman" w:hAnsi="Times New Roman" w:cs="Times New Roman"/>
          <w:sz w:val="24"/>
          <w:szCs w:val="24"/>
          <w:lang w:val="fr-FR"/>
        </w:rPr>
        <w:t> :</w:t>
      </w:r>
      <w:r w:rsidRPr="00F81923">
        <w:rPr>
          <w:rFonts w:ascii="Times New Roman" w:eastAsia="Times New Roman" w:hAnsi="Times New Roman" w:cs="Times New Roman"/>
          <w:sz w:val="24"/>
          <w:szCs w:val="24"/>
          <w:lang w:val="fr-FR"/>
        </w:rPr>
        <w:t xml:space="preserve"> 763–783. </w:t>
      </w:r>
    </w:p>
    <w:p w14:paraId="687B0E53" w14:textId="5B17C104" w:rsidR="009F1B10" w:rsidRPr="009F1B10" w:rsidRDefault="009F1B10" w:rsidP="00F8192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Tyagi, A., Cohen, M., Reece, J., Telles, S.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Jones, L. (2020). A systematic review of yoga interventions for blood pressure reduction. </w:t>
      </w:r>
      <w:r w:rsidRPr="008E003C">
        <w:rPr>
          <w:rFonts w:ascii="Times New Roman" w:eastAsia="Times New Roman" w:hAnsi="Times New Roman" w:cs="Times New Roman"/>
          <w:i/>
          <w:sz w:val="24"/>
          <w:szCs w:val="24"/>
        </w:rPr>
        <w:t>Journal of Clinical Medicine</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9</w:t>
      </w:r>
      <w:r w:rsidRPr="008E003C">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1412.</w:t>
      </w:r>
    </w:p>
    <w:p w14:paraId="147D02A3" w14:textId="214F4C87" w:rsidR="009F1B10" w:rsidRPr="009F1B10" w:rsidRDefault="009F1B10" w:rsidP="00F8192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Palta, P., Page, G., </w:t>
      </w:r>
      <w:proofErr w:type="spellStart"/>
      <w:r w:rsidRPr="008E003C">
        <w:rPr>
          <w:rFonts w:ascii="Times New Roman" w:eastAsia="Times New Roman" w:hAnsi="Times New Roman" w:cs="Times New Roman"/>
          <w:sz w:val="24"/>
          <w:szCs w:val="24"/>
        </w:rPr>
        <w:t>Piferi</w:t>
      </w:r>
      <w:proofErr w:type="spellEnd"/>
      <w:r w:rsidRPr="008E003C">
        <w:rPr>
          <w:rFonts w:ascii="Times New Roman" w:eastAsia="Times New Roman" w:hAnsi="Times New Roman" w:cs="Times New Roman"/>
          <w:sz w:val="24"/>
          <w:szCs w:val="24"/>
        </w:rPr>
        <w:t xml:space="preserve">, R. L., Gill, J. M., Hayat, M. J., Connolly, A. B.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t>
      </w:r>
      <w:proofErr w:type="spellStart"/>
      <w:r w:rsidRPr="008E003C">
        <w:rPr>
          <w:rFonts w:ascii="Times New Roman" w:eastAsia="Times New Roman" w:hAnsi="Times New Roman" w:cs="Times New Roman"/>
          <w:sz w:val="24"/>
          <w:szCs w:val="24"/>
        </w:rPr>
        <w:t>Szanton</w:t>
      </w:r>
      <w:proofErr w:type="spellEnd"/>
      <w:r w:rsidRPr="008E003C">
        <w:rPr>
          <w:rFonts w:ascii="Times New Roman" w:eastAsia="Times New Roman" w:hAnsi="Times New Roman" w:cs="Times New Roman"/>
          <w:sz w:val="24"/>
          <w:szCs w:val="24"/>
        </w:rPr>
        <w:t xml:space="preserve">, S. L. (2022). Evaluation of a mindfulness-based intervention for hypertension management in older adults. </w:t>
      </w:r>
      <w:r w:rsidRPr="008E003C">
        <w:rPr>
          <w:rFonts w:ascii="Times New Roman" w:eastAsia="Times New Roman" w:hAnsi="Times New Roman" w:cs="Times New Roman"/>
          <w:i/>
          <w:sz w:val="24"/>
          <w:szCs w:val="24"/>
        </w:rPr>
        <w:t>American Journal of Hypertension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35</w:t>
      </w:r>
      <w:r w:rsidRPr="008E003C">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243-251.</w:t>
      </w:r>
    </w:p>
    <w:p w14:paraId="1ECE655F" w14:textId="29769A26" w:rsidR="009F1B10" w:rsidRPr="009F1B10" w:rsidRDefault="009F1B10" w:rsidP="00F8192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Scott, A. J., Webb, T. L.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Rowse, G. (2021). Does improving sleep lead to better mental health? A meta-analysis of randomized controlled trials.</w:t>
      </w:r>
      <w:r w:rsidRPr="008E003C">
        <w:rPr>
          <w:rFonts w:ascii="Times New Roman" w:eastAsia="Times New Roman" w:hAnsi="Times New Roman" w:cs="Times New Roman"/>
          <w:i/>
          <w:sz w:val="24"/>
          <w:szCs w:val="24"/>
        </w:rPr>
        <w:t xml:space="preserve"> Sleep Medicine Reviews</w:t>
      </w:r>
      <w:r w:rsidRPr="008E003C">
        <w:rPr>
          <w:rFonts w:ascii="Times New Roman" w:eastAsia="Times New Roman" w:hAnsi="Times New Roman" w:cs="Times New Roman"/>
          <w:sz w:val="24"/>
          <w:szCs w:val="24"/>
        </w:rPr>
        <w:t xml:space="preserve"> 60</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101556.</w:t>
      </w:r>
    </w:p>
    <w:p w14:paraId="370B2D8C" w14:textId="099DDFD7" w:rsidR="009F1B10" w:rsidRPr="009F1B10" w:rsidRDefault="009F1B10" w:rsidP="00F81923">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Xu, M., Gao, Y.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Chen, L. (2024). Sympathetic overactivity and cardiac changes in pre-hypertension: A longitudinal study. </w:t>
      </w:r>
      <w:r w:rsidRPr="008E003C">
        <w:rPr>
          <w:rFonts w:ascii="Times New Roman" w:eastAsia="Times New Roman" w:hAnsi="Times New Roman" w:cs="Times New Roman"/>
          <w:i/>
          <w:sz w:val="24"/>
          <w:szCs w:val="24"/>
        </w:rPr>
        <w:t>Cardiovascular Research</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120</w:t>
      </w:r>
      <w:r w:rsidRPr="008E003C">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178-185.</w:t>
      </w:r>
    </w:p>
    <w:p w14:paraId="296D4C93" w14:textId="0F4E36C1" w:rsidR="009F1B10" w:rsidRPr="00F81923" w:rsidRDefault="009F1B10" w:rsidP="00F81923">
      <w:pPr>
        <w:pStyle w:val="ListParagraph"/>
        <w:numPr>
          <w:ilvl w:val="6"/>
          <w:numId w:val="2"/>
        </w:numPr>
        <w:spacing w:line="240" w:lineRule="auto"/>
        <w:ind w:left="426"/>
        <w:jc w:val="both"/>
        <w:rPr>
          <w:rFonts w:ascii="Times New Roman" w:hAnsi="Times New Roman" w:cs="Times New Roman"/>
        </w:rPr>
      </w:pPr>
      <w:proofErr w:type="spellStart"/>
      <w:r w:rsidRPr="008E003C">
        <w:rPr>
          <w:rFonts w:ascii="Times New Roman" w:eastAsia="Times New Roman" w:hAnsi="Times New Roman" w:cs="Times New Roman"/>
          <w:sz w:val="24"/>
          <w:szCs w:val="24"/>
        </w:rPr>
        <w:t>Ojangba</w:t>
      </w:r>
      <w:proofErr w:type="spellEnd"/>
      <w:r w:rsidRPr="008E003C">
        <w:rPr>
          <w:rFonts w:ascii="Times New Roman" w:eastAsia="Times New Roman" w:hAnsi="Times New Roman" w:cs="Times New Roman"/>
          <w:sz w:val="24"/>
          <w:szCs w:val="24"/>
        </w:rPr>
        <w:t xml:space="preserve">, T., Boamah, S., Miao, Y., Guo, X., Fen, Y., </w:t>
      </w:r>
      <w:proofErr w:type="spellStart"/>
      <w:r w:rsidRPr="008E003C">
        <w:rPr>
          <w:rFonts w:ascii="Times New Roman" w:eastAsia="Times New Roman" w:hAnsi="Times New Roman" w:cs="Times New Roman"/>
          <w:sz w:val="24"/>
          <w:szCs w:val="24"/>
        </w:rPr>
        <w:t>Agboyibor</w:t>
      </w:r>
      <w:proofErr w:type="spellEnd"/>
      <w:r w:rsidRPr="008E003C">
        <w:rPr>
          <w:rFonts w:ascii="Times New Roman" w:eastAsia="Times New Roman" w:hAnsi="Times New Roman" w:cs="Times New Roman"/>
          <w:sz w:val="24"/>
          <w:szCs w:val="24"/>
        </w:rPr>
        <w:t xml:space="preserve">, C., Yuan, J.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Dong, W. (2023). Comprehensive effects of lifestyle reform, adherence, and related factors on hypertension control: A review. </w:t>
      </w:r>
      <w:r w:rsidRPr="008E003C">
        <w:rPr>
          <w:rFonts w:ascii="Times New Roman" w:eastAsia="Times New Roman" w:hAnsi="Times New Roman" w:cs="Times New Roman"/>
          <w:i/>
          <w:sz w:val="24"/>
          <w:szCs w:val="24"/>
        </w:rPr>
        <w:t>Journal of Clinical Hypertension</w:t>
      </w:r>
      <w:r w:rsidRPr="008E003C">
        <w:rPr>
          <w:rFonts w:ascii="Times New Roman" w:eastAsia="Times New Roman" w:hAnsi="Times New Roman" w:cs="Times New Roman"/>
          <w:b/>
          <w:sz w:val="24"/>
          <w:szCs w:val="24"/>
        </w:rPr>
        <w:t xml:space="preserve"> 25</w:t>
      </w:r>
      <w:r w:rsidRPr="008E003C">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509–520.</w:t>
      </w:r>
    </w:p>
    <w:p w14:paraId="0E68604A" w14:textId="212E9D4A" w:rsidR="00F81923" w:rsidRPr="00A903D4" w:rsidRDefault="001C4C64" w:rsidP="00404601">
      <w:pPr>
        <w:pStyle w:val="ListParagraph"/>
        <w:numPr>
          <w:ilvl w:val="6"/>
          <w:numId w:val="2"/>
        </w:numPr>
        <w:spacing w:line="240" w:lineRule="auto"/>
        <w:ind w:left="426"/>
        <w:jc w:val="both"/>
        <w:rPr>
          <w:rFonts w:ascii="Times New Roman" w:hAnsi="Times New Roman" w:cs="Times New Roman"/>
        </w:rPr>
      </w:pPr>
      <w:proofErr w:type="spellStart"/>
      <w:r w:rsidRPr="008E003C">
        <w:rPr>
          <w:rFonts w:ascii="Times New Roman" w:eastAsia="Times New Roman" w:hAnsi="Times New Roman" w:cs="Times New Roman"/>
          <w:sz w:val="24"/>
          <w:szCs w:val="24"/>
        </w:rPr>
        <w:t>Ogbutor</w:t>
      </w:r>
      <w:proofErr w:type="spellEnd"/>
      <w:r w:rsidRPr="008E003C">
        <w:rPr>
          <w:rFonts w:ascii="Times New Roman" w:eastAsia="Times New Roman" w:hAnsi="Times New Roman" w:cs="Times New Roman"/>
          <w:sz w:val="24"/>
          <w:szCs w:val="24"/>
        </w:rPr>
        <w:t xml:space="preserve">, U. G., </w:t>
      </w:r>
      <w:proofErr w:type="spellStart"/>
      <w:r w:rsidRPr="008E003C">
        <w:rPr>
          <w:rFonts w:ascii="Times New Roman" w:eastAsia="Times New Roman" w:hAnsi="Times New Roman" w:cs="Times New Roman"/>
          <w:sz w:val="24"/>
          <w:szCs w:val="24"/>
        </w:rPr>
        <w:t>Uduji</w:t>
      </w:r>
      <w:proofErr w:type="spellEnd"/>
      <w:r w:rsidRPr="008E003C">
        <w:rPr>
          <w:rFonts w:ascii="Times New Roman" w:eastAsia="Times New Roman" w:hAnsi="Times New Roman" w:cs="Times New Roman"/>
          <w:sz w:val="24"/>
          <w:szCs w:val="24"/>
        </w:rPr>
        <w:t xml:space="preserve">, A. I.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Udegbunam, N. E. (2022). Acute effect of isometric handgrip exercise at 30% maximum voluntary contraction on blood pressure and pulse rate among pre-hypertensive adults in Nnewi, Nigeria. </w:t>
      </w:r>
      <w:r w:rsidRPr="008E003C">
        <w:rPr>
          <w:rFonts w:ascii="Times New Roman" w:eastAsia="Times New Roman" w:hAnsi="Times New Roman" w:cs="Times New Roman"/>
          <w:i/>
          <w:sz w:val="24"/>
          <w:szCs w:val="24"/>
        </w:rPr>
        <w:t>American Journal of Sports Science</w:t>
      </w:r>
      <w:r w:rsidRPr="008E003C">
        <w:rPr>
          <w:rFonts w:ascii="Times New Roman" w:eastAsia="Times New Roman" w:hAnsi="Times New Roman" w:cs="Times New Roman"/>
          <w:sz w:val="24"/>
          <w:szCs w:val="24"/>
        </w:rPr>
        <w:t xml:space="preserve"> </w:t>
      </w:r>
      <w:r w:rsidRPr="001C4C64">
        <w:rPr>
          <w:rFonts w:ascii="Times New Roman" w:eastAsia="Times New Roman" w:hAnsi="Times New Roman" w:cs="Times New Roman"/>
          <w:b/>
          <w:iCs/>
          <w:sz w:val="24"/>
          <w:szCs w:val="24"/>
        </w:rPr>
        <w:t>10</w:t>
      </w:r>
      <w:r w:rsidRPr="008E003C">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70–75.</w:t>
      </w:r>
    </w:p>
    <w:p w14:paraId="7B07A49C" w14:textId="50532565" w:rsidR="00A903D4" w:rsidRPr="00A903D4" w:rsidRDefault="00A903D4"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Wiles, J. D., Taylor, K., Coleman, D.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Sharma, R. (2022). The efficacy of isometric resistance training on resting blood pressure: A meta-analysis of randomized controlled trials. </w:t>
      </w:r>
      <w:r w:rsidRPr="008E003C">
        <w:rPr>
          <w:rFonts w:ascii="Times New Roman" w:eastAsia="Times New Roman" w:hAnsi="Times New Roman" w:cs="Times New Roman"/>
          <w:i/>
          <w:sz w:val="24"/>
          <w:szCs w:val="24"/>
        </w:rPr>
        <w:t xml:space="preserve">Journal of Hypertension </w:t>
      </w:r>
      <w:r w:rsidRPr="008E003C">
        <w:rPr>
          <w:rFonts w:ascii="Times New Roman" w:eastAsia="Times New Roman" w:hAnsi="Times New Roman" w:cs="Times New Roman"/>
          <w:b/>
          <w:sz w:val="24"/>
          <w:szCs w:val="24"/>
        </w:rPr>
        <w:t>40</w:t>
      </w:r>
      <w:r w:rsidRPr="008E003C">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1297–1305.</w:t>
      </w:r>
    </w:p>
    <w:p w14:paraId="6779595C" w14:textId="714226D5" w:rsidR="00A903D4" w:rsidRPr="004261C9" w:rsidRDefault="00A903D4"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MacDonald, H. V., Johnson, B. T., </w:t>
      </w:r>
      <w:proofErr w:type="spellStart"/>
      <w:r w:rsidRPr="008E003C">
        <w:rPr>
          <w:rFonts w:ascii="Times New Roman" w:eastAsia="Times New Roman" w:hAnsi="Times New Roman" w:cs="Times New Roman"/>
          <w:sz w:val="24"/>
          <w:szCs w:val="24"/>
        </w:rPr>
        <w:t>Huedo</w:t>
      </w:r>
      <w:proofErr w:type="spellEnd"/>
      <w:r w:rsidRPr="008E003C">
        <w:rPr>
          <w:rFonts w:ascii="Times New Roman" w:eastAsia="Times New Roman" w:hAnsi="Times New Roman" w:cs="Times New Roman"/>
          <w:sz w:val="24"/>
          <w:szCs w:val="24"/>
        </w:rPr>
        <w:t xml:space="preserve">-Medina, T. B.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Pescatello, L. S. (2021). Dynamic resistance training as a stand-alone antihypertensive lifestyle therapy: A meta-analysis. </w:t>
      </w:r>
      <w:r w:rsidRPr="00943134">
        <w:rPr>
          <w:rFonts w:ascii="Times New Roman" w:eastAsia="Times New Roman" w:hAnsi="Times New Roman" w:cs="Times New Roman"/>
          <w:i/>
          <w:sz w:val="24"/>
          <w:szCs w:val="24"/>
          <w:lang w:val="fr-FR"/>
        </w:rPr>
        <w:t>Hypertension</w:t>
      </w:r>
      <w:r w:rsidRPr="00943134">
        <w:rPr>
          <w:rFonts w:ascii="Times New Roman" w:eastAsia="Times New Roman" w:hAnsi="Times New Roman" w:cs="Times New Roman"/>
          <w:sz w:val="24"/>
          <w:szCs w:val="24"/>
          <w:lang w:val="fr-FR"/>
        </w:rPr>
        <w:t xml:space="preserve"> </w:t>
      </w:r>
      <w:r w:rsidRPr="00943134">
        <w:rPr>
          <w:rFonts w:ascii="Times New Roman" w:eastAsia="Times New Roman" w:hAnsi="Times New Roman" w:cs="Times New Roman"/>
          <w:b/>
          <w:sz w:val="24"/>
          <w:szCs w:val="24"/>
          <w:lang w:val="fr-FR"/>
        </w:rPr>
        <w:t>78</w:t>
      </w:r>
      <w:r w:rsidRPr="00943134">
        <w:rPr>
          <w:rFonts w:ascii="Times New Roman" w:eastAsia="Times New Roman" w:hAnsi="Times New Roman" w:cs="Times New Roman"/>
          <w:sz w:val="24"/>
          <w:szCs w:val="24"/>
          <w:lang w:val="fr-FR"/>
        </w:rPr>
        <w:t>(4</w:t>
      </w:r>
      <w:proofErr w:type="gramStart"/>
      <w:r w:rsidRPr="00943134">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w:t>
      </w:r>
      <w:proofErr w:type="gramEnd"/>
      <w:r w:rsidRPr="00943134">
        <w:rPr>
          <w:rFonts w:ascii="Times New Roman" w:eastAsia="Times New Roman" w:hAnsi="Times New Roman" w:cs="Times New Roman"/>
          <w:sz w:val="24"/>
          <w:szCs w:val="24"/>
          <w:lang w:val="fr-FR"/>
        </w:rPr>
        <w:t xml:space="preserve"> 854–862.</w:t>
      </w:r>
    </w:p>
    <w:p w14:paraId="588CCA5D" w14:textId="4A839FE0" w:rsidR="004261C9" w:rsidRPr="004261C9" w:rsidRDefault="004261C9" w:rsidP="00404601">
      <w:pPr>
        <w:pStyle w:val="ListParagraph"/>
        <w:numPr>
          <w:ilvl w:val="6"/>
          <w:numId w:val="2"/>
        </w:numPr>
        <w:spacing w:line="240" w:lineRule="auto"/>
        <w:ind w:left="426"/>
        <w:jc w:val="both"/>
        <w:rPr>
          <w:rFonts w:ascii="Times New Roman" w:hAnsi="Times New Roman" w:cs="Times New Roman"/>
        </w:rPr>
      </w:pPr>
      <w:proofErr w:type="spellStart"/>
      <w:r w:rsidRPr="008E003C">
        <w:rPr>
          <w:rFonts w:ascii="Times New Roman" w:eastAsia="Times New Roman" w:hAnsi="Times New Roman" w:cs="Times New Roman"/>
          <w:sz w:val="24"/>
          <w:szCs w:val="24"/>
        </w:rPr>
        <w:t>Guthold</w:t>
      </w:r>
      <w:proofErr w:type="spellEnd"/>
      <w:r w:rsidRPr="008E003C">
        <w:rPr>
          <w:rFonts w:ascii="Times New Roman" w:eastAsia="Times New Roman" w:hAnsi="Times New Roman" w:cs="Times New Roman"/>
          <w:sz w:val="24"/>
          <w:szCs w:val="24"/>
        </w:rPr>
        <w:t xml:space="preserve">, R., Stevens, G. A., Riley, L. M.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Bull, F. C. (2020). Global trends in insufficient physical activity among adults: A pooled analysis of population-based surveys. </w:t>
      </w:r>
      <w:r w:rsidRPr="008E003C">
        <w:rPr>
          <w:rFonts w:ascii="Times New Roman" w:eastAsia="Times New Roman" w:hAnsi="Times New Roman" w:cs="Times New Roman"/>
          <w:i/>
          <w:sz w:val="24"/>
          <w:szCs w:val="24"/>
        </w:rPr>
        <w:t>The Lancet Global Health</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8</w:t>
      </w:r>
      <w:r w:rsidRPr="008E003C">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765–775.</w:t>
      </w:r>
    </w:p>
    <w:p w14:paraId="69733FAE" w14:textId="2AD13976" w:rsidR="004261C9" w:rsidRPr="001C4C64" w:rsidRDefault="004261C9"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Filippini, T., </w:t>
      </w:r>
      <w:proofErr w:type="spellStart"/>
      <w:r w:rsidRPr="008E003C">
        <w:rPr>
          <w:rFonts w:ascii="Times New Roman" w:eastAsia="Times New Roman" w:hAnsi="Times New Roman" w:cs="Times New Roman"/>
          <w:sz w:val="24"/>
          <w:szCs w:val="24"/>
        </w:rPr>
        <w:t>Malavolti</w:t>
      </w:r>
      <w:proofErr w:type="spellEnd"/>
      <w:r w:rsidRPr="008E003C">
        <w:rPr>
          <w:rFonts w:ascii="Times New Roman" w:eastAsia="Times New Roman" w:hAnsi="Times New Roman" w:cs="Times New Roman"/>
          <w:sz w:val="24"/>
          <w:szCs w:val="24"/>
        </w:rPr>
        <w:t xml:space="preserve">, M., Whelton, P. K., Naska, A., Orsini, N.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t>
      </w:r>
      <w:proofErr w:type="spellStart"/>
      <w:r w:rsidRPr="008E003C">
        <w:rPr>
          <w:rFonts w:ascii="Times New Roman" w:eastAsia="Times New Roman" w:hAnsi="Times New Roman" w:cs="Times New Roman"/>
          <w:sz w:val="24"/>
          <w:szCs w:val="24"/>
        </w:rPr>
        <w:t>Vinceti</w:t>
      </w:r>
      <w:proofErr w:type="spellEnd"/>
      <w:r w:rsidRPr="008E003C">
        <w:rPr>
          <w:rFonts w:ascii="Times New Roman" w:eastAsia="Times New Roman" w:hAnsi="Times New Roman" w:cs="Times New Roman"/>
          <w:sz w:val="24"/>
          <w:szCs w:val="24"/>
        </w:rPr>
        <w:t xml:space="preserve">, M. (2021). Blood pressure effects of sodium reduction. </w:t>
      </w:r>
      <w:r w:rsidRPr="008E003C">
        <w:rPr>
          <w:rFonts w:ascii="Times New Roman" w:eastAsia="Times New Roman" w:hAnsi="Times New Roman" w:cs="Times New Roman"/>
          <w:i/>
          <w:sz w:val="24"/>
          <w:szCs w:val="24"/>
        </w:rPr>
        <w:t>Circulation</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143</w:t>
      </w:r>
      <w:r w:rsidRPr="008E003C">
        <w:rPr>
          <w:rFonts w:ascii="Times New Roman" w:eastAsia="Times New Roman" w:hAnsi="Times New Roman" w:cs="Times New Roman"/>
          <w:sz w:val="24"/>
          <w:szCs w:val="24"/>
        </w:rPr>
        <w:t>(16)</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1542–1567.</w:t>
      </w:r>
    </w:p>
    <w:p w14:paraId="612829D8" w14:textId="6BCFB39C" w:rsidR="001C4C64" w:rsidRPr="004261C9" w:rsidRDefault="001C4C64"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lastRenderedPageBreak/>
        <w:t xml:space="preserve">Wang, J., Zhang, L., Wang, F., Liu, L.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Wang, H. (2023). Prevalence and risk factors of pre-hypertension and hypertension in an urban population: A cross-sectional study. </w:t>
      </w:r>
      <w:r w:rsidRPr="008E003C">
        <w:rPr>
          <w:rFonts w:ascii="Times New Roman" w:eastAsia="Times New Roman" w:hAnsi="Times New Roman" w:cs="Times New Roman"/>
          <w:i/>
          <w:sz w:val="24"/>
          <w:szCs w:val="24"/>
        </w:rPr>
        <w:t>BMC Public Health</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23</w:t>
      </w:r>
      <w:r w:rsidRPr="008E003C">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145.</w:t>
      </w:r>
    </w:p>
    <w:p w14:paraId="33F50837" w14:textId="4A51F4D2" w:rsidR="004261C9" w:rsidRPr="004261C9" w:rsidRDefault="004261C9"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Chen, Y., Zhang, X., Liu, Q.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Yu, Y. (2021). Association between body mass index and incident hypertension in Chinese adults: A prospective cohort study. </w:t>
      </w:r>
      <w:r w:rsidRPr="008E003C">
        <w:rPr>
          <w:rFonts w:ascii="Times New Roman" w:eastAsia="Times New Roman" w:hAnsi="Times New Roman" w:cs="Times New Roman"/>
          <w:i/>
          <w:sz w:val="24"/>
          <w:szCs w:val="24"/>
        </w:rPr>
        <w:t xml:space="preserve">Journal of Hypertension </w:t>
      </w:r>
      <w:r w:rsidRPr="008E003C">
        <w:rPr>
          <w:rFonts w:ascii="Times New Roman" w:eastAsia="Times New Roman" w:hAnsi="Times New Roman" w:cs="Times New Roman"/>
          <w:b/>
          <w:sz w:val="24"/>
          <w:szCs w:val="24"/>
        </w:rPr>
        <w:t>39</w:t>
      </w:r>
      <w:r w:rsidRPr="008E003C">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1123–1130.</w:t>
      </w:r>
    </w:p>
    <w:p w14:paraId="1B9FC2E6" w14:textId="00808146" w:rsidR="004261C9" w:rsidRPr="004261C9" w:rsidRDefault="004261C9"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Gao, X., Wang, H., Zhang, J.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Liu, Z. (2023). Visceral adipose tissue and blood pressure: A 5-year longitudinal study in middle-aged adults. </w:t>
      </w:r>
      <w:r w:rsidRPr="008E003C">
        <w:rPr>
          <w:rFonts w:ascii="Times New Roman" w:eastAsia="Times New Roman" w:hAnsi="Times New Roman" w:cs="Times New Roman"/>
          <w:i/>
          <w:sz w:val="24"/>
          <w:szCs w:val="24"/>
        </w:rPr>
        <w:t xml:space="preserve">Obesity Research &amp; Clinical Practice </w:t>
      </w:r>
      <w:r w:rsidRPr="008E003C">
        <w:rPr>
          <w:rFonts w:ascii="Times New Roman" w:eastAsia="Times New Roman" w:hAnsi="Times New Roman" w:cs="Times New Roman"/>
          <w:b/>
          <w:sz w:val="24"/>
          <w:szCs w:val="24"/>
        </w:rPr>
        <w:t>17</w:t>
      </w:r>
      <w:r w:rsidRPr="008E003C">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123–130.</w:t>
      </w:r>
    </w:p>
    <w:p w14:paraId="7603AF58" w14:textId="190EB419" w:rsidR="004261C9" w:rsidRPr="003844AA" w:rsidRDefault="004261C9"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Liu, T., Wang, Q.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Han, Z. (2021). Endothelial dysfunction in pre-hypertension: Effects of sedentary lifestyle on nitric oxide production. </w:t>
      </w:r>
      <w:r w:rsidRPr="008E003C">
        <w:rPr>
          <w:rFonts w:ascii="Times New Roman" w:eastAsia="Times New Roman" w:hAnsi="Times New Roman" w:cs="Times New Roman"/>
          <w:i/>
          <w:sz w:val="24"/>
          <w:szCs w:val="24"/>
        </w:rPr>
        <w:t>Vascular Medicine</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26</w:t>
      </w:r>
      <w:r w:rsidRPr="008E003C">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589-596.</w:t>
      </w:r>
    </w:p>
    <w:p w14:paraId="0A6233DB" w14:textId="449187C9" w:rsidR="003844AA" w:rsidRPr="003844AA" w:rsidRDefault="003844AA"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Wu, J., Zhao, H.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Yang, Q. (2023). Angiotensin II levels and pre-hypertension: A dietary perspective. </w:t>
      </w:r>
      <w:r w:rsidRPr="008E003C">
        <w:rPr>
          <w:rFonts w:ascii="Times New Roman" w:eastAsia="Times New Roman" w:hAnsi="Times New Roman" w:cs="Times New Roman"/>
          <w:i/>
          <w:sz w:val="24"/>
          <w:szCs w:val="24"/>
        </w:rPr>
        <w:t>Clinical and Experimental Hypertension</w:t>
      </w:r>
      <w:r>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45</w:t>
      </w:r>
      <w:r w:rsidRPr="008E003C">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45-52.</w:t>
      </w:r>
    </w:p>
    <w:p w14:paraId="5EA61272" w14:textId="720BD1FE" w:rsidR="003844AA" w:rsidRPr="003844AA" w:rsidRDefault="003844AA"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Grillo, A., Salvi, P.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t>
      </w:r>
      <w:proofErr w:type="spellStart"/>
      <w:r w:rsidRPr="008E003C">
        <w:rPr>
          <w:rFonts w:ascii="Times New Roman" w:eastAsia="Times New Roman" w:hAnsi="Times New Roman" w:cs="Times New Roman"/>
          <w:sz w:val="24"/>
          <w:szCs w:val="24"/>
        </w:rPr>
        <w:t>Parati</w:t>
      </w:r>
      <w:proofErr w:type="spellEnd"/>
      <w:r w:rsidRPr="008E003C">
        <w:rPr>
          <w:rFonts w:ascii="Times New Roman" w:eastAsia="Times New Roman" w:hAnsi="Times New Roman" w:cs="Times New Roman"/>
          <w:sz w:val="24"/>
          <w:szCs w:val="24"/>
        </w:rPr>
        <w:t xml:space="preserve">, G. (2020). Sodium intake and blood pressure regulation: Early mechanisms in pre-hypertension. </w:t>
      </w:r>
      <w:r w:rsidRPr="008E003C">
        <w:rPr>
          <w:rFonts w:ascii="Times New Roman" w:eastAsia="Times New Roman" w:hAnsi="Times New Roman" w:cs="Times New Roman"/>
          <w:i/>
          <w:sz w:val="24"/>
          <w:szCs w:val="24"/>
        </w:rPr>
        <w:t>Hypertension Research</w:t>
      </w:r>
      <w:r w:rsidRPr="008E003C">
        <w:rPr>
          <w:rFonts w:ascii="Times New Roman" w:eastAsia="Times New Roman" w:hAnsi="Times New Roman" w:cs="Times New Roman"/>
          <w:sz w:val="24"/>
          <w:szCs w:val="24"/>
        </w:rPr>
        <w:t xml:space="preserve"> </w:t>
      </w:r>
      <w:r w:rsidRPr="008E003C">
        <w:rPr>
          <w:rFonts w:ascii="Times New Roman" w:eastAsia="Times New Roman" w:hAnsi="Times New Roman" w:cs="Times New Roman"/>
          <w:b/>
          <w:sz w:val="24"/>
          <w:szCs w:val="24"/>
        </w:rPr>
        <w:t>43</w:t>
      </w:r>
      <w:r w:rsidRPr="008E003C">
        <w:rPr>
          <w:rFonts w:ascii="Times New Roman" w:eastAsia="Times New Roman" w:hAnsi="Times New Roman" w:cs="Times New Roman"/>
          <w:sz w:val="24"/>
          <w:szCs w:val="24"/>
        </w:rPr>
        <w:t>(11)</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1123-1130.</w:t>
      </w:r>
    </w:p>
    <w:p w14:paraId="4E147F4D" w14:textId="5BA8A4D9" w:rsidR="003844AA" w:rsidRPr="003844AA" w:rsidRDefault="003844AA"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Park, S., Rink, L. D.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Wallace, J. P. (2023). Long-term effects of exercise on blood pressure: A systematic review. </w:t>
      </w:r>
      <w:r w:rsidRPr="003844AA">
        <w:rPr>
          <w:rFonts w:ascii="Times New Roman" w:eastAsia="Times New Roman" w:hAnsi="Times New Roman" w:cs="Times New Roman"/>
          <w:i/>
          <w:iCs/>
          <w:sz w:val="24"/>
          <w:szCs w:val="24"/>
        </w:rPr>
        <w:t>Sports Medicine</w:t>
      </w:r>
      <w:r w:rsidRPr="008E003C">
        <w:rPr>
          <w:rFonts w:ascii="Times New Roman" w:eastAsia="Times New Roman" w:hAnsi="Times New Roman" w:cs="Times New Roman"/>
          <w:sz w:val="24"/>
          <w:szCs w:val="24"/>
        </w:rPr>
        <w:t xml:space="preserve"> </w:t>
      </w:r>
      <w:r w:rsidRPr="003844AA">
        <w:rPr>
          <w:rFonts w:ascii="Times New Roman" w:eastAsia="Times New Roman" w:hAnsi="Times New Roman" w:cs="Times New Roman"/>
          <w:b/>
          <w:bCs/>
          <w:sz w:val="24"/>
          <w:szCs w:val="24"/>
        </w:rPr>
        <w:t>53</w:t>
      </w:r>
      <w:r w:rsidRPr="008E003C">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345–358.</w:t>
      </w:r>
    </w:p>
    <w:p w14:paraId="53B015BC" w14:textId="3FFF1344" w:rsidR="003844AA" w:rsidRPr="00B36EC3" w:rsidRDefault="003844AA" w:rsidP="00404601">
      <w:pPr>
        <w:pStyle w:val="ListParagraph"/>
        <w:numPr>
          <w:ilvl w:val="6"/>
          <w:numId w:val="2"/>
        </w:numPr>
        <w:spacing w:line="240" w:lineRule="auto"/>
        <w:ind w:left="426"/>
        <w:jc w:val="both"/>
        <w:rPr>
          <w:rFonts w:ascii="Times New Roman" w:hAnsi="Times New Roman" w:cs="Times New Roman"/>
        </w:rPr>
      </w:pPr>
      <w:r w:rsidRPr="008E003C">
        <w:rPr>
          <w:rFonts w:ascii="Times New Roman" w:eastAsia="Times New Roman" w:hAnsi="Times New Roman" w:cs="Times New Roman"/>
          <w:sz w:val="24"/>
          <w:szCs w:val="24"/>
        </w:rPr>
        <w:t xml:space="preserve">Martinez-Gonzalez, M. A., Gea, A. </w:t>
      </w:r>
      <w:r w:rsidRPr="00164410">
        <w:rPr>
          <w:rFonts w:ascii="Times New Roman" w:eastAsia="Times New Roman" w:hAnsi="Times New Roman" w:cs="Times New Roman"/>
          <w:sz w:val="24"/>
          <w:szCs w:val="24"/>
        </w:rPr>
        <w:t>and</w:t>
      </w:r>
      <w:r w:rsidRPr="008E003C">
        <w:rPr>
          <w:rFonts w:ascii="Times New Roman" w:eastAsia="Times New Roman" w:hAnsi="Times New Roman" w:cs="Times New Roman"/>
          <w:sz w:val="24"/>
          <w:szCs w:val="24"/>
        </w:rPr>
        <w:t xml:space="preserve"> Ruiz-Canela, M. (2024). Lifestyle interventions for pre-hypertension: A systematic review and meta-analysis. </w:t>
      </w:r>
      <w:r w:rsidRPr="008E003C">
        <w:rPr>
          <w:rFonts w:ascii="Times New Roman" w:eastAsia="Times New Roman" w:hAnsi="Times New Roman" w:cs="Times New Roman"/>
          <w:i/>
          <w:sz w:val="24"/>
          <w:szCs w:val="24"/>
        </w:rPr>
        <w:t xml:space="preserve">European Journal of Preventive Cardiology </w:t>
      </w:r>
      <w:r w:rsidRPr="008E003C">
        <w:rPr>
          <w:rFonts w:ascii="Times New Roman" w:eastAsia="Times New Roman" w:hAnsi="Times New Roman" w:cs="Times New Roman"/>
          <w:b/>
          <w:sz w:val="24"/>
          <w:szCs w:val="24"/>
        </w:rPr>
        <w:t>31</w:t>
      </w:r>
      <w:r w:rsidRPr="008E003C">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Pr="008E003C">
        <w:rPr>
          <w:rFonts w:ascii="Times New Roman" w:eastAsia="Times New Roman" w:hAnsi="Times New Roman" w:cs="Times New Roman"/>
          <w:sz w:val="24"/>
          <w:szCs w:val="24"/>
        </w:rPr>
        <w:t xml:space="preserve"> 345–356.</w:t>
      </w:r>
    </w:p>
    <w:sectPr w:rsidR="003844AA" w:rsidRPr="00B36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823"/>
    <w:multiLevelType w:val="multilevel"/>
    <w:tmpl w:val="BCA6B5B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0AE5830"/>
    <w:multiLevelType w:val="hybridMultilevel"/>
    <w:tmpl w:val="CFB606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094EC6"/>
    <w:multiLevelType w:val="hybridMultilevel"/>
    <w:tmpl w:val="A4BEB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B103AE"/>
    <w:multiLevelType w:val="multilevel"/>
    <w:tmpl w:val="8FB49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921C0B"/>
    <w:multiLevelType w:val="multilevel"/>
    <w:tmpl w:val="2000001F"/>
    <w:styleLink w:val="Style2"/>
    <w:lvl w:ilvl="0">
      <w:start w:val="4"/>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7A660C"/>
    <w:multiLevelType w:val="multilevel"/>
    <w:tmpl w:val="2000001F"/>
    <w:numStyleLink w:val="Style2"/>
  </w:abstractNum>
  <w:abstractNum w:abstractNumId="6" w15:restartNumberingAfterBreak="0">
    <w:nsid w:val="2E693820"/>
    <w:multiLevelType w:val="multilevel"/>
    <w:tmpl w:val="34B8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Times New Roman" w:hAnsi="Times New Roman" w:cs="Times New Roman" w:hint="default"/>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1C655E3"/>
    <w:multiLevelType w:val="hybridMultilevel"/>
    <w:tmpl w:val="3C700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B7186A"/>
    <w:multiLevelType w:val="hybridMultilevel"/>
    <w:tmpl w:val="A1664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D9A74AF"/>
    <w:multiLevelType w:val="hybridMultilevel"/>
    <w:tmpl w:val="534E5B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260416"/>
    <w:multiLevelType w:val="hybridMultilevel"/>
    <w:tmpl w:val="D0B2E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5455346">
    <w:abstractNumId w:val="3"/>
  </w:num>
  <w:num w:numId="2" w16cid:durableId="820848431">
    <w:abstractNumId w:val="6"/>
  </w:num>
  <w:num w:numId="3" w16cid:durableId="1429764994">
    <w:abstractNumId w:val="9"/>
  </w:num>
  <w:num w:numId="4" w16cid:durableId="1499686836">
    <w:abstractNumId w:val="1"/>
  </w:num>
  <w:num w:numId="5" w16cid:durableId="2031293445">
    <w:abstractNumId w:val="2"/>
  </w:num>
  <w:num w:numId="6" w16cid:durableId="1138037459">
    <w:abstractNumId w:val="8"/>
  </w:num>
  <w:num w:numId="7" w16cid:durableId="825390925">
    <w:abstractNumId w:val="0"/>
  </w:num>
  <w:num w:numId="8" w16cid:durableId="241762985">
    <w:abstractNumId w:val="5"/>
  </w:num>
  <w:num w:numId="9" w16cid:durableId="400442280">
    <w:abstractNumId w:val="4"/>
  </w:num>
  <w:num w:numId="10" w16cid:durableId="1949267841">
    <w:abstractNumId w:val="10"/>
  </w:num>
  <w:num w:numId="11" w16cid:durableId="6626655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FF"/>
    <w:rsid w:val="000579FF"/>
    <w:rsid w:val="0016315B"/>
    <w:rsid w:val="001C4C64"/>
    <w:rsid w:val="002975DD"/>
    <w:rsid w:val="003844AA"/>
    <w:rsid w:val="00404601"/>
    <w:rsid w:val="004261C9"/>
    <w:rsid w:val="00604327"/>
    <w:rsid w:val="007E43E3"/>
    <w:rsid w:val="00827B16"/>
    <w:rsid w:val="0093004A"/>
    <w:rsid w:val="00931DB8"/>
    <w:rsid w:val="00934C3D"/>
    <w:rsid w:val="009F1B10"/>
    <w:rsid w:val="00A903D4"/>
    <w:rsid w:val="00AB1A0A"/>
    <w:rsid w:val="00AC05AC"/>
    <w:rsid w:val="00AD4023"/>
    <w:rsid w:val="00AD7E5F"/>
    <w:rsid w:val="00B36EC3"/>
    <w:rsid w:val="00B658C0"/>
    <w:rsid w:val="00C55553"/>
    <w:rsid w:val="00CF0F35"/>
    <w:rsid w:val="00D21613"/>
    <w:rsid w:val="00E601A1"/>
    <w:rsid w:val="00F81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4D1A"/>
  <w15:chartTrackingRefBased/>
  <w15:docId w15:val="{EAEC146E-55AE-46D7-ABCC-C7577F62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9FF"/>
    <w:rPr>
      <w:kern w:val="0"/>
      <w:lang w:val="en-US"/>
      <w14:ligatures w14:val="none"/>
    </w:rPr>
  </w:style>
  <w:style w:type="paragraph" w:styleId="Heading1">
    <w:name w:val="heading 1"/>
    <w:basedOn w:val="Normal"/>
    <w:next w:val="Normal"/>
    <w:link w:val="Heading1Char"/>
    <w:uiPriority w:val="9"/>
    <w:qFormat/>
    <w:rsid w:val="00057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9FF"/>
    <w:rPr>
      <w:rFonts w:eastAsiaTheme="majorEastAsia" w:cstheme="majorBidi"/>
      <w:color w:val="272727" w:themeColor="text1" w:themeTint="D8"/>
    </w:rPr>
  </w:style>
  <w:style w:type="paragraph" w:styleId="Title">
    <w:name w:val="Title"/>
    <w:basedOn w:val="Normal"/>
    <w:next w:val="Normal"/>
    <w:link w:val="TitleChar"/>
    <w:uiPriority w:val="10"/>
    <w:qFormat/>
    <w:rsid w:val="00057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9FF"/>
    <w:pPr>
      <w:spacing w:before="160"/>
      <w:jc w:val="center"/>
    </w:pPr>
    <w:rPr>
      <w:i/>
      <w:iCs/>
      <w:color w:val="404040" w:themeColor="text1" w:themeTint="BF"/>
    </w:rPr>
  </w:style>
  <w:style w:type="character" w:customStyle="1" w:styleId="QuoteChar">
    <w:name w:val="Quote Char"/>
    <w:basedOn w:val="DefaultParagraphFont"/>
    <w:link w:val="Quote"/>
    <w:uiPriority w:val="29"/>
    <w:rsid w:val="000579FF"/>
    <w:rPr>
      <w:i/>
      <w:iCs/>
      <w:color w:val="404040" w:themeColor="text1" w:themeTint="BF"/>
    </w:rPr>
  </w:style>
  <w:style w:type="paragraph" w:styleId="ListParagraph">
    <w:name w:val="List Paragraph"/>
    <w:basedOn w:val="Normal"/>
    <w:uiPriority w:val="34"/>
    <w:qFormat/>
    <w:rsid w:val="000579FF"/>
    <w:pPr>
      <w:ind w:left="720"/>
      <w:contextualSpacing/>
    </w:pPr>
  </w:style>
  <w:style w:type="character" w:styleId="IntenseEmphasis">
    <w:name w:val="Intense Emphasis"/>
    <w:basedOn w:val="DefaultParagraphFont"/>
    <w:uiPriority w:val="21"/>
    <w:qFormat/>
    <w:rsid w:val="000579FF"/>
    <w:rPr>
      <w:i/>
      <w:iCs/>
      <w:color w:val="2F5496" w:themeColor="accent1" w:themeShade="BF"/>
    </w:rPr>
  </w:style>
  <w:style w:type="paragraph" w:styleId="IntenseQuote">
    <w:name w:val="Intense Quote"/>
    <w:basedOn w:val="Normal"/>
    <w:next w:val="Normal"/>
    <w:link w:val="IntenseQuoteChar"/>
    <w:uiPriority w:val="30"/>
    <w:qFormat/>
    <w:rsid w:val="00057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9FF"/>
    <w:rPr>
      <w:i/>
      <w:iCs/>
      <w:color w:val="2F5496" w:themeColor="accent1" w:themeShade="BF"/>
    </w:rPr>
  </w:style>
  <w:style w:type="character" w:styleId="IntenseReference">
    <w:name w:val="Intense Reference"/>
    <w:basedOn w:val="DefaultParagraphFont"/>
    <w:uiPriority w:val="32"/>
    <w:qFormat/>
    <w:rsid w:val="000579FF"/>
    <w:rPr>
      <w:b/>
      <w:bCs/>
      <w:smallCaps/>
      <w:color w:val="2F5496" w:themeColor="accent1" w:themeShade="BF"/>
      <w:spacing w:val="5"/>
    </w:rPr>
  </w:style>
  <w:style w:type="paragraph" w:styleId="NormalWeb">
    <w:name w:val="Normal (Web)"/>
    <w:basedOn w:val="Normal"/>
    <w:uiPriority w:val="99"/>
    <w:unhideWhenUsed/>
    <w:qFormat/>
    <w:rsid w:val="000579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0579FF"/>
    <w:pPr>
      <w:spacing w:after="0" w:line="276" w:lineRule="auto"/>
    </w:pPr>
    <w:rPr>
      <w:rFonts w:ascii="Arial" w:eastAsia="Arial" w:hAnsi="Arial" w:cs="Arial"/>
      <w:kern w:val="0"/>
      <w:lang w:val="en-US"/>
      <w14:ligatures w14:val="none"/>
    </w:rPr>
  </w:style>
  <w:style w:type="numbering" w:customStyle="1" w:styleId="Style2">
    <w:name w:val="Style2"/>
    <w:uiPriority w:val="99"/>
    <w:rsid w:val="00D21613"/>
    <w:pPr>
      <w:numPr>
        <w:numId w:val="9"/>
      </w:numPr>
    </w:pPr>
  </w:style>
  <w:style w:type="table" w:styleId="TableGrid">
    <w:name w:val="Table Grid"/>
    <w:basedOn w:val="TableNormal"/>
    <w:uiPriority w:val="39"/>
    <w:rsid w:val="00D2161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1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gcclinics@yahoo.com" TargetMode="External"/><Relationship Id="rId11" Type="http://schemas.openxmlformats.org/officeDocument/2006/relationships/image" Target="media/image2.emf"/><Relationship Id="rId5" Type="http://schemas.openxmlformats.org/officeDocument/2006/relationships/hyperlink" Target="mailto:udojiogbutor@delsu.edu.ng" TargetMode="Externa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oleObject" Target="embeddings/oleObject3.bin"/></Relationships>
</file>

<file path=word/charts/_rels/chart2.xml.rels><?xml version="1.0" encoding="UTF-8" standalone="yes"?>
<Relationships xmlns="http://schemas.openxmlformats.org/package/2006/relationships"><Relationship Id="rId1" Type="http://schemas.openxmlformats.org/officeDocument/2006/relationships/oleObject" Target="file:///C:\Users\FAVOUR\Downloads\DATA%20FOR%20BLOOD%20PRESSURE%20EXPERIMEN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US"/>
              <a:t>AGE AND SEX DEMOGRAPHIC </a:t>
            </a:r>
          </a:p>
        </c:rich>
      </c:tx>
      <c:overlay val="0"/>
      <c:spPr>
        <a:noFill/>
        <a:ln>
          <a:noFill/>
        </a:ln>
        <a:effectLst/>
      </c:spPr>
    </c:title>
    <c:autoTitleDeleted val="0"/>
    <c:plotArea>
      <c:layout/>
      <c:barChart>
        <c:barDir val="col"/>
        <c:grouping val="clustered"/>
        <c:varyColors val="0"/>
        <c:ser>
          <c:idx val="1"/>
          <c:order val="1"/>
          <c:tx>
            <c:strRef>
              <c:f>Sheet1!$D$1</c:f>
              <c:strCache>
                <c:ptCount val="1"/>
                <c:pt idx="0">
                  <c:v>Percentage </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multiLvlStrRef>
              <c:f>Sheet1!$A$2:$B$6</c:f>
              <c:multiLvlStrCache>
                <c:ptCount val="5"/>
                <c:lvl>
                  <c:pt idx="0">
                    <c:v>Male </c:v>
                  </c:pt>
                  <c:pt idx="1">
                    <c:v>Female </c:v>
                  </c:pt>
                  <c:pt idx="2">
                    <c:v>30-39</c:v>
                  </c:pt>
                  <c:pt idx="3">
                    <c:v>40-49</c:v>
                  </c:pt>
                  <c:pt idx="4">
                    <c:v>50-59</c:v>
                  </c:pt>
                </c:lvl>
                <c:lvl>
                  <c:pt idx="0">
                    <c:v>Sex</c:v>
                  </c:pt>
                  <c:pt idx="2">
                    <c:v>Age (Years)</c:v>
                  </c:pt>
                </c:lvl>
              </c:multiLvlStrCache>
              <c:extLst/>
            </c:multiLvlStrRef>
          </c:cat>
          <c:val>
            <c:numRef>
              <c:f>Sheet1!$D$2:$D$6</c:f>
              <c:numCache>
                <c:formatCode>0.00%</c:formatCode>
                <c:ptCount val="5"/>
                <c:pt idx="0">
                  <c:v>0.53</c:v>
                </c:pt>
                <c:pt idx="1">
                  <c:v>0.47500000000000031</c:v>
                </c:pt>
                <c:pt idx="2">
                  <c:v>0.29000000000000031</c:v>
                </c:pt>
                <c:pt idx="3">
                  <c:v>0.37700000000000033</c:v>
                </c:pt>
                <c:pt idx="4">
                  <c:v>0.33300000000000046</c:v>
                </c:pt>
              </c:numCache>
              <c:extLst/>
            </c:numRef>
          </c:val>
          <c:extLst>
            <c:ext xmlns:c16="http://schemas.microsoft.com/office/drawing/2014/chart" uri="{C3380CC4-5D6E-409C-BE32-E72D297353CC}">
              <c16:uniqueId val="{00000000-55B5-4BA6-961E-56533861C96E}"/>
            </c:ext>
          </c:extLst>
        </c:ser>
        <c:dLbls>
          <c:showLegendKey val="0"/>
          <c:showVal val="0"/>
          <c:showCatName val="0"/>
          <c:showSerName val="0"/>
          <c:showPercent val="0"/>
          <c:showBubbleSize val="0"/>
        </c:dLbls>
        <c:gapWidth val="219"/>
        <c:overlap val="-27"/>
        <c:axId val="119055488"/>
        <c:axId val="119057408"/>
        <c:extLst>
          <c:ext xmlns:c15="http://schemas.microsoft.com/office/drawing/2012/chart" uri="{02D57815-91ED-43cb-92C2-25804820EDAC}">
            <c15:filteredBarSeries>
              <c15:ser>
                <c:idx val="0"/>
                <c:order val="0"/>
                <c:tx>
                  <c:strRef>
                    <c:extLst>
                      <c:ext uri="{02D57815-91ED-43cb-92C2-25804820EDAC}">
                        <c15:formulaRef>
                          <c15:sqref>Sheet1!$C$1</c15:sqref>
                        </c15:formulaRef>
                      </c:ext>
                    </c:extLst>
                    <c:strCache>
                      <c:ptCount val="1"/>
                      <c:pt idx="0">
                        <c:v>Frequency </c:v>
                      </c:pt>
                    </c:strCache>
                  </c:strRef>
                </c:tx>
                <c:spPr>
                  <a:solidFill>
                    <a:schemeClr val="accent1"/>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multiLvlStrRef>
                    <c:extLst>
                      <c:ext uri="{02D57815-91ED-43cb-92C2-25804820EDAC}">
                        <c15:formulaRef>
                          <c15:sqref>Sheet1!$A$2:$B$6</c15:sqref>
                        </c15:formulaRef>
                      </c:ext>
                    </c:extLst>
                    <c:multiLvlStrCache>
                      <c:ptCount val="5"/>
                      <c:lvl>
                        <c:pt idx="0">
                          <c:v>Male </c:v>
                        </c:pt>
                        <c:pt idx="1">
                          <c:v>Female </c:v>
                        </c:pt>
                        <c:pt idx="2">
                          <c:v>30-39</c:v>
                        </c:pt>
                        <c:pt idx="3">
                          <c:v>40-49</c:v>
                        </c:pt>
                        <c:pt idx="4">
                          <c:v>50-59</c:v>
                        </c:pt>
                      </c:lvl>
                      <c:lvl>
                        <c:pt idx="0">
                          <c:v>Sex</c:v>
                        </c:pt>
                        <c:pt idx="2">
                          <c:v>Age (Years)</c:v>
                        </c:pt>
                      </c:lvl>
                    </c:multiLvlStrCache>
                  </c:multiLvlStrRef>
                </c:cat>
                <c:val>
                  <c:numRef>
                    <c:extLst>
                      <c:ext uri="{02D57815-91ED-43cb-92C2-25804820EDAC}">
                        <c15:formulaRef>
                          <c15:sqref>Sheet1!$C$2:$C$6</c15:sqref>
                        </c15:formulaRef>
                      </c:ext>
                    </c:extLst>
                    <c:numCache>
                      <c:formatCode>General</c:formatCode>
                      <c:ptCount val="5"/>
                      <c:pt idx="0">
                        <c:v>159</c:v>
                      </c:pt>
                      <c:pt idx="1">
                        <c:v>141</c:v>
                      </c:pt>
                      <c:pt idx="2">
                        <c:v>87</c:v>
                      </c:pt>
                      <c:pt idx="3">
                        <c:v>113</c:v>
                      </c:pt>
                      <c:pt idx="4">
                        <c:v>100</c:v>
                      </c:pt>
                    </c:numCache>
                  </c:numRef>
                </c:val>
                <c:extLst>
                  <c:ext xmlns:c16="http://schemas.microsoft.com/office/drawing/2014/chart" uri="{C3380CC4-5D6E-409C-BE32-E72D297353CC}">
                    <c16:uniqueId val="{00000001-55B5-4BA6-961E-56533861C96E}"/>
                  </c:ext>
                </c:extLst>
              </c15:ser>
            </c15:filteredBarSeries>
          </c:ext>
        </c:extLst>
      </c:barChart>
      <c:catAx>
        <c:axId val="119055488"/>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Variables</a:t>
                </a:r>
              </a:p>
            </c:rich>
          </c:tx>
          <c:layout>
            <c:manualLayout>
              <c:xMode val="edge"/>
              <c:yMode val="edge"/>
              <c:x val="0.45457235948954688"/>
              <c:y val="0.9138171858952398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19057408"/>
        <c:crosses val="autoZero"/>
        <c:auto val="1"/>
        <c:lblAlgn val="ctr"/>
        <c:lblOffset val="100"/>
        <c:noMultiLvlLbl val="0"/>
      </c:catAx>
      <c:valAx>
        <c:axId val="119057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Percentage (%)</a:t>
                </a: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190554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r>
              <a:rPr lang="en-US"/>
              <a:t>BMI DEMOGRAPHIC </a:t>
            </a:r>
          </a:p>
        </c:rich>
      </c:tx>
      <c:overlay val="0"/>
      <c:spPr>
        <a:noFill/>
        <a:ln>
          <a:noFill/>
        </a:ln>
        <a:effectLst/>
      </c:spPr>
    </c:title>
    <c:autoTitleDeleted val="0"/>
    <c:plotArea>
      <c:layout/>
      <c:barChart>
        <c:barDir val="col"/>
        <c:grouping val="clustered"/>
        <c:varyColors val="0"/>
        <c:ser>
          <c:idx val="1"/>
          <c:order val="1"/>
          <c:tx>
            <c:strRef>
              <c:f>Sheet3!$D$1</c:f>
              <c:strCache>
                <c:ptCount val="1"/>
                <c:pt idx="0">
                  <c:v>Percentage </c:v>
                </c:pt>
              </c:strCache>
            </c:strRef>
          </c:tx>
          <c:spPr>
            <a:solidFill>
              <a:schemeClr val="accent2"/>
            </a:solid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cat>
            <c:multiLvlStrRef>
              <c:f>Sheet3!$A$2:$B$23</c:f>
              <c:multiLvlStrCache>
                <c:ptCount val="22"/>
                <c:lvl>
                  <c:pt idx="0">
                    <c:v>&lt;160</c:v>
                  </c:pt>
                  <c:pt idx="1">
                    <c:v>160 – 169 </c:v>
                  </c:pt>
                  <c:pt idx="2">
                    <c:v>170 – 179  </c:v>
                  </c:pt>
                  <c:pt idx="3">
                    <c:v>≥180</c:v>
                  </c:pt>
                  <c:pt idx="4">
                    <c:v>&lt;60</c:v>
                  </c:pt>
                  <c:pt idx="5">
                    <c:v>60 – 69 </c:v>
                  </c:pt>
                  <c:pt idx="6">
                    <c:v>70 – 79 </c:v>
                  </c:pt>
                  <c:pt idx="7">
                    <c:v>80 – 89 </c:v>
                  </c:pt>
                  <c:pt idx="8">
                    <c:v>≥90</c:v>
                  </c:pt>
                  <c:pt idx="9">
                    <c:v>&lt;18.5</c:v>
                  </c:pt>
                  <c:pt idx="10">
                    <c:v>18.5 – 24.9 </c:v>
                  </c:pt>
                  <c:pt idx="11">
                    <c:v>25 – 29.9 </c:v>
                  </c:pt>
                  <c:pt idx="12">
                    <c:v>≥30</c:v>
                  </c:pt>
                  <c:pt idx="13">
                    <c:v>&lt;60</c:v>
                  </c:pt>
                  <c:pt idx="14">
                    <c:v>60 – 69 </c:v>
                  </c:pt>
                  <c:pt idx="15">
                    <c:v>70 – 79 </c:v>
                  </c:pt>
                  <c:pt idx="16">
                    <c:v>80 – 89 </c:v>
                  </c:pt>
                  <c:pt idx="17">
                    <c:v>≥90</c:v>
                  </c:pt>
                  <c:pt idx="18">
                    <c:v>&lt;18.5</c:v>
                  </c:pt>
                  <c:pt idx="19">
                    <c:v>18.5 – 24.9 </c:v>
                  </c:pt>
                  <c:pt idx="20">
                    <c:v>25 – 29.9 </c:v>
                  </c:pt>
                  <c:pt idx="21">
                    <c:v>≥30</c:v>
                  </c:pt>
                </c:lvl>
                <c:lvl>
                  <c:pt idx="0">
                    <c:v>Height</c:v>
                  </c:pt>
                  <c:pt idx="4">
                    <c:v>Initial Weight </c:v>
                  </c:pt>
                  <c:pt idx="9">
                    <c:v>BMI</c:v>
                  </c:pt>
                  <c:pt idx="13">
                    <c:v>Final Weight </c:v>
                  </c:pt>
                  <c:pt idx="18">
                    <c:v>Final BMI</c:v>
                  </c:pt>
                </c:lvl>
              </c:multiLvlStrCache>
            </c:multiLvlStrRef>
          </c:cat>
          <c:val>
            <c:numRef>
              <c:f>Sheet3!$D$2:$D$23</c:f>
              <c:numCache>
                <c:formatCode>0.00%</c:formatCode>
                <c:ptCount val="22"/>
                <c:pt idx="0">
                  <c:v>8.0000000000000043E-2</c:v>
                </c:pt>
                <c:pt idx="1">
                  <c:v>0.37300000000000033</c:v>
                </c:pt>
                <c:pt idx="2">
                  <c:v>0.39300000000000046</c:v>
                </c:pt>
                <c:pt idx="3">
                  <c:v>0.15300000000000016</c:v>
                </c:pt>
                <c:pt idx="4">
                  <c:v>2.0000000000000011E-2</c:v>
                </c:pt>
                <c:pt idx="5">
                  <c:v>0.31300000000000033</c:v>
                </c:pt>
                <c:pt idx="6">
                  <c:v>0.33300000000000046</c:v>
                </c:pt>
                <c:pt idx="7">
                  <c:v>0.23700000000000004</c:v>
                </c:pt>
                <c:pt idx="8">
                  <c:v>9.7000000000000003E-2</c:v>
                </c:pt>
                <c:pt idx="9">
                  <c:v>0</c:v>
                </c:pt>
                <c:pt idx="10">
                  <c:v>0.41000000000000031</c:v>
                </c:pt>
                <c:pt idx="11">
                  <c:v>0.55000000000000004</c:v>
                </c:pt>
                <c:pt idx="12">
                  <c:v>4.0000000000000022E-2</c:v>
                </c:pt>
                <c:pt idx="13">
                  <c:v>0.33300000000000046</c:v>
                </c:pt>
                <c:pt idx="14">
                  <c:v>0.41300000000000031</c:v>
                </c:pt>
                <c:pt idx="15">
                  <c:v>0.21300000000000016</c:v>
                </c:pt>
                <c:pt idx="16">
                  <c:v>2.0000000000000011E-2</c:v>
                </c:pt>
                <c:pt idx="17">
                  <c:v>2.0000000000000011E-2</c:v>
                </c:pt>
                <c:pt idx="18">
                  <c:v>9.3000000000000138E-2</c:v>
                </c:pt>
                <c:pt idx="19">
                  <c:v>0.30700000000000033</c:v>
                </c:pt>
                <c:pt idx="20">
                  <c:v>0.22</c:v>
                </c:pt>
                <c:pt idx="21">
                  <c:v>0.113</c:v>
                </c:pt>
              </c:numCache>
            </c:numRef>
          </c:val>
          <c:extLst>
            <c:ext xmlns:c16="http://schemas.microsoft.com/office/drawing/2014/chart" uri="{C3380CC4-5D6E-409C-BE32-E72D297353CC}">
              <c16:uniqueId val="{00000000-C913-4636-BA9B-9936B66A8E46}"/>
            </c:ext>
          </c:extLst>
        </c:ser>
        <c:dLbls>
          <c:showLegendKey val="0"/>
          <c:showVal val="0"/>
          <c:showCatName val="0"/>
          <c:showSerName val="0"/>
          <c:showPercent val="0"/>
          <c:showBubbleSize val="0"/>
        </c:dLbls>
        <c:gapWidth val="219"/>
        <c:overlap val="-27"/>
        <c:axId val="133809664"/>
        <c:axId val="164648832"/>
        <c:extLst>
          <c:ext xmlns:c15="http://schemas.microsoft.com/office/drawing/2012/chart" uri="{02D57815-91ED-43cb-92C2-25804820EDAC}">
            <c15:filteredBarSeries>
              <c15:ser>
                <c:idx val="0"/>
                <c:order val="0"/>
                <c:tx>
                  <c:strRef>
                    <c:extLst>
                      <c:ext uri="{02D57815-91ED-43cb-92C2-25804820EDAC}">
                        <c15:formulaRef>
                          <c15:sqref>Sheet3!$C$1</c15:sqref>
                        </c15:formulaRef>
                      </c:ext>
                    </c:extLst>
                    <c:strCache>
                      <c:ptCount val="1"/>
                      <c:pt idx="0">
                        <c:v>Frequency </c:v>
                      </c:pt>
                    </c:strCache>
                  </c:strRef>
                </c:tx>
                <c:spPr>
                  <a:solidFill>
                    <a:schemeClr val="accent1"/>
                  </a:solidFill>
                  <a:ln>
                    <a:noFill/>
                  </a:ln>
                  <a:effectLst/>
                </c:spPr>
                <c:invertIfNegative val="0"/>
                <c:cat>
                  <c:multiLvlStrRef>
                    <c:extLst>
                      <c:ext uri="{02D57815-91ED-43cb-92C2-25804820EDAC}">
                        <c15:formulaRef>
                          <c15:sqref>Sheet3!$A$2:$B$23</c15:sqref>
                        </c15:formulaRef>
                      </c:ext>
                    </c:extLst>
                    <c:multiLvlStrCache>
                      <c:ptCount val="22"/>
                      <c:lvl>
                        <c:pt idx="0">
                          <c:v>&lt;160</c:v>
                        </c:pt>
                        <c:pt idx="1">
                          <c:v>160 – 169 </c:v>
                        </c:pt>
                        <c:pt idx="2">
                          <c:v>170 – 179  </c:v>
                        </c:pt>
                        <c:pt idx="3">
                          <c:v>≥180</c:v>
                        </c:pt>
                        <c:pt idx="4">
                          <c:v>&lt;60</c:v>
                        </c:pt>
                        <c:pt idx="5">
                          <c:v>60 – 69 </c:v>
                        </c:pt>
                        <c:pt idx="6">
                          <c:v>70 – 79 </c:v>
                        </c:pt>
                        <c:pt idx="7">
                          <c:v>80 – 89 </c:v>
                        </c:pt>
                        <c:pt idx="8">
                          <c:v>≥90</c:v>
                        </c:pt>
                        <c:pt idx="9">
                          <c:v>&lt;18.5</c:v>
                        </c:pt>
                        <c:pt idx="10">
                          <c:v>18.5 – 24.9 </c:v>
                        </c:pt>
                        <c:pt idx="11">
                          <c:v>25 – 29.9 </c:v>
                        </c:pt>
                        <c:pt idx="12">
                          <c:v>≥30</c:v>
                        </c:pt>
                        <c:pt idx="13">
                          <c:v>&lt;60</c:v>
                        </c:pt>
                        <c:pt idx="14">
                          <c:v>60 – 69 </c:v>
                        </c:pt>
                        <c:pt idx="15">
                          <c:v>70 – 79 </c:v>
                        </c:pt>
                        <c:pt idx="16">
                          <c:v>80 – 89 </c:v>
                        </c:pt>
                        <c:pt idx="17">
                          <c:v>≥90</c:v>
                        </c:pt>
                        <c:pt idx="18">
                          <c:v>&lt;18.5</c:v>
                        </c:pt>
                        <c:pt idx="19">
                          <c:v>18.5 – 24.9 </c:v>
                        </c:pt>
                        <c:pt idx="20">
                          <c:v>25 – 29.9 </c:v>
                        </c:pt>
                        <c:pt idx="21">
                          <c:v>≥30</c:v>
                        </c:pt>
                      </c:lvl>
                      <c:lvl>
                        <c:pt idx="0">
                          <c:v>Height</c:v>
                        </c:pt>
                        <c:pt idx="4">
                          <c:v>Initial Weight </c:v>
                        </c:pt>
                        <c:pt idx="9">
                          <c:v>BMI</c:v>
                        </c:pt>
                        <c:pt idx="13">
                          <c:v>Final Weight </c:v>
                        </c:pt>
                        <c:pt idx="18">
                          <c:v>Final BMI</c:v>
                        </c:pt>
                      </c:lvl>
                    </c:multiLvlStrCache>
                  </c:multiLvlStrRef>
                </c:cat>
                <c:val>
                  <c:numRef>
                    <c:extLst>
                      <c:ext uri="{02D57815-91ED-43cb-92C2-25804820EDAC}">
                        <c15:formulaRef>
                          <c15:sqref>Sheet3!$C$2:$C$23</c15:sqref>
                        </c15:formulaRef>
                      </c:ext>
                    </c:extLst>
                    <c:numCache>
                      <c:formatCode>General</c:formatCode>
                      <c:ptCount val="22"/>
                      <c:pt idx="0">
                        <c:v>24</c:v>
                      </c:pt>
                      <c:pt idx="1">
                        <c:v>112</c:v>
                      </c:pt>
                      <c:pt idx="2">
                        <c:v>118</c:v>
                      </c:pt>
                      <c:pt idx="3">
                        <c:v>46</c:v>
                      </c:pt>
                      <c:pt idx="4">
                        <c:v>6</c:v>
                      </c:pt>
                      <c:pt idx="5">
                        <c:v>94</c:v>
                      </c:pt>
                      <c:pt idx="6">
                        <c:v>100</c:v>
                      </c:pt>
                      <c:pt idx="7">
                        <c:v>71</c:v>
                      </c:pt>
                      <c:pt idx="8">
                        <c:v>29</c:v>
                      </c:pt>
                      <c:pt idx="9">
                        <c:v>0</c:v>
                      </c:pt>
                      <c:pt idx="10">
                        <c:v>123</c:v>
                      </c:pt>
                      <c:pt idx="11">
                        <c:v>165</c:v>
                      </c:pt>
                      <c:pt idx="12">
                        <c:v>12</c:v>
                      </c:pt>
                      <c:pt idx="13">
                        <c:v>100</c:v>
                      </c:pt>
                      <c:pt idx="14">
                        <c:v>124</c:v>
                      </c:pt>
                      <c:pt idx="15">
                        <c:v>64</c:v>
                      </c:pt>
                      <c:pt idx="16">
                        <c:v>6</c:v>
                      </c:pt>
                      <c:pt idx="17">
                        <c:v>6</c:v>
                      </c:pt>
                      <c:pt idx="18">
                        <c:v>28</c:v>
                      </c:pt>
                      <c:pt idx="19">
                        <c:v>92</c:v>
                      </c:pt>
                      <c:pt idx="20">
                        <c:v>66</c:v>
                      </c:pt>
                      <c:pt idx="21">
                        <c:v>34</c:v>
                      </c:pt>
                    </c:numCache>
                  </c:numRef>
                </c:val>
                <c:extLst>
                  <c:ext xmlns:c16="http://schemas.microsoft.com/office/drawing/2014/chart" uri="{C3380CC4-5D6E-409C-BE32-E72D297353CC}">
                    <c16:uniqueId val="{00000001-C913-4636-BA9B-9936B66A8E46}"/>
                  </c:ext>
                </c:extLst>
              </c15:ser>
            </c15:filteredBarSeries>
          </c:ext>
        </c:extLst>
      </c:barChart>
      <c:catAx>
        <c:axId val="133809664"/>
        <c:scaling>
          <c:orientation val="minMax"/>
        </c:scaling>
        <c:delete val="0"/>
        <c:axPos val="b"/>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a:t>Variables</a:t>
                </a:r>
              </a:p>
            </c:rich>
          </c:tx>
          <c:layout>
            <c:manualLayout>
              <c:xMode val="edge"/>
              <c:yMode val="edge"/>
              <c:x val="0.51566785316219099"/>
              <c:y val="0.9173173173173173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64648832"/>
        <c:crosses val="autoZero"/>
        <c:auto val="1"/>
        <c:lblAlgn val="ctr"/>
        <c:lblOffset val="100"/>
        <c:noMultiLvlLbl val="0"/>
      </c:catAx>
      <c:valAx>
        <c:axId val="1646488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a:t>Percentage (%)</a:t>
                </a: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338096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2008</TotalTime>
  <Pages>20</Pages>
  <Words>6505</Words>
  <Characters>37081</Characters>
  <Application>Microsoft Office Word</Application>
  <DocSecurity>0</DocSecurity>
  <Lines>309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ISAAC</dc:creator>
  <cp:keywords/>
  <dc:description/>
  <cp:lastModifiedBy>PRECIOUS ISAAC</cp:lastModifiedBy>
  <cp:revision>3</cp:revision>
  <dcterms:created xsi:type="dcterms:W3CDTF">2026-01-01T19:46:00Z</dcterms:created>
  <dcterms:modified xsi:type="dcterms:W3CDTF">2026-01-03T18:26:00Z</dcterms:modified>
</cp:coreProperties>
</file>