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B76" w:rsidRPr="00156F9E" w:rsidRDefault="00767B76" w:rsidP="00C10A26">
      <w:pPr>
        <w:spacing w:before="600" w:line="276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156F9E">
        <w:rPr>
          <w:rFonts w:ascii="Times New Roman" w:hAnsi="Times New Roman" w:cs="Times New Roman"/>
          <w:b/>
          <w:bCs/>
          <w:color w:val="1A3A5C"/>
          <w:sz w:val="48"/>
          <w:szCs w:val="48"/>
        </w:rPr>
        <w:t>TECHNICAL REPORT</w:t>
      </w:r>
    </w:p>
    <w:p w:rsidR="00767B76" w:rsidRPr="00156F9E" w:rsidRDefault="00767B76" w:rsidP="00C10A26">
      <w:pPr>
        <w:pBdr>
          <w:bottom w:val="single" w:sz="8" w:space="6" w:color="1E7B8C"/>
        </w:pBdr>
        <w:spacing w:before="1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6F9E">
        <w:rPr>
          <w:rFonts w:ascii="Times New Roman" w:hAnsi="Times New Roman" w:cs="Times New Roman"/>
          <w:color w:val="1E7B8C"/>
          <w:sz w:val="24"/>
          <w:szCs w:val="24"/>
        </w:rPr>
        <w:t>Geothermal Heating &amp; Cooling System Assessment</w:t>
      </w:r>
    </w:p>
    <w:p w:rsidR="00767B76" w:rsidRPr="00156F9E" w:rsidRDefault="00767B76" w:rsidP="00C10A26">
      <w:pPr>
        <w:spacing w:before="160" w:line="276" w:lineRule="auto"/>
        <w:rPr>
          <w:rFonts w:ascii="Times New Roman" w:hAnsi="Times New Roman" w:cs="Times New Roman"/>
          <w:sz w:val="24"/>
          <w:szCs w:val="24"/>
        </w:rPr>
      </w:pPr>
    </w:p>
    <w:p w:rsidR="00767B76" w:rsidRPr="00156F9E" w:rsidRDefault="00767B76" w:rsidP="00C10A26">
      <w:pPr>
        <w:spacing w:before="40" w:after="4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6F9E">
        <w:rPr>
          <w:rFonts w:ascii="Times New Roman" w:hAnsi="Times New Roman" w:cs="Times New Roman"/>
          <w:color w:val="BFBFBF"/>
          <w:sz w:val="24"/>
          <w:szCs w:val="24"/>
        </w:rPr>
        <w:t xml:space="preserve">Rotliegend (Slochteren) </w:t>
      </w:r>
      <w:r w:rsidR="00C10A26" w:rsidRPr="00156F9E">
        <w:rPr>
          <w:rFonts w:ascii="Times New Roman" w:hAnsi="Times New Roman" w:cs="Times New Roman"/>
          <w:color w:val="BFBFBF"/>
          <w:sz w:val="24"/>
          <w:szCs w:val="24"/>
        </w:rPr>
        <w:t>Formation • Utrecht</w:t>
      </w:r>
      <w:r w:rsidRPr="00156F9E">
        <w:rPr>
          <w:rFonts w:ascii="Times New Roman" w:hAnsi="Times New Roman" w:cs="Times New Roman"/>
          <w:color w:val="BFBFBF"/>
          <w:sz w:val="24"/>
          <w:szCs w:val="24"/>
        </w:rPr>
        <w:t xml:space="preserve"> Region, Netherlands</w:t>
      </w:r>
    </w:p>
    <w:p w:rsidR="00767B76" w:rsidRPr="00156F9E" w:rsidRDefault="00C10A26" w:rsidP="00C10A26">
      <w:pPr>
        <w:spacing w:before="40" w:after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BFBFBF"/>
          <w:sz w:val="24"/>
          <w:szCs w:val="24"/>
        </w:rPr>
        <w:t xml:space="preserve">SPE Africa Geothermal </w:t>
      </w:r>
      <w:proofErr w:type="spellStart"/>
      <w:proofErr w:type="gramStart"/>
      <w:r>
        <w:rPr>
          <w:rFonts w:ascii="Times New Roman" w:hAnsi="Times New Roman" w:cs="Times New Roman"/>
          <w:i/>
          <w:iCs/>
          <w:color w:val="BFBFBF"/>
          <w:sz w:val="24"/>
          <w:szCs w:val="24"/>
        </w:rPr>
        <w:t>Datathon</w:t>
      </w:r>
      <w:proofErr w:type="spellEnd"/>
      <w:r w:rsidRPr="00156F9E">
        <w:rPr>
          <w:rFonts w:ascii="Times New Roman" w:hAnsi="Times New Roman" w:cs="Times New Roman"/>
          <w:i/>
          <w:iCs/>
          <w:color w:val="BFBFBF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BFBFBF"/>
          <w:sz w:val="24"/>
          <w:szCs w:val="24"/>
        </w:rPr>
        <w:t xml:space="preserve"> </w:t>
      </w:r>
      <w:r w:rsidRPr="00156F9E">
        <w:rPr>
          <w:rFonts w:ascii="Times New Roman" w:hAnsi="Times New Roman" w:cs="Times New Roman"/>
          <w:i/>
          <w:iCs/>
          <w:color w:val="BFBFBF"/>
          <w:sz w:val="24"/>
          <w:szCs w:val="24"/>
        </w:rPr>
        <w:t>•</w:t>
      </w:r>
      <w:proofErr w:type="gramEnd"/>
      <w:r w:rsidRPr="00156F9E">
        <w:rPr>
          <w:rFonts w:ascii="Times New Roman" w:hAnsi="Times New Roman" w:cs="Times New Roman"/>
          <w:i/>
          <w:iCs/>
          <w:color w:val="BFBFBF"/>
          <w:sz w:val="24"/>
          <w:szCs w:val="24"/>
        </w:rPr>
        <w:t xml:space="preserve"> June</w:t>
      </w:r>
      <w:r w:rsidR="00767B76" w:rsidRPr="00156F9E">
        <w:rPr>
          <w:rFonts w:ascii="Times New Roman" w:hAnsi="Times New Roman" w:cs="Times New Roman"/>
          <w:i/>
          <w:iCs/>
          <w:color w:val="BFBFBF"/>
          <w:sz w:val="24"/>
          <w:szCs w:val="24"/>
        </w:rPr>
        <w:t xml:space="preserve">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767B76" w:rsidRPr="00156F9E" w:rsidTr="00433883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156F9E" w:rsidRDefault="00767B76" w:rsidP="00C10A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6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Competition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156F9E" w:rsidRDefault="00767B76" w:rsidP="00C10A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6F9E">
              <w:rPr>
                <w:rFonts w:ascii="Times New Roman" w:hAnsi="Times New Roman" w:cs="Times New Roman"/>
                <w:sz w:val="24"/>
                <w:szCs w:val="24"/>
              </w:rPr>
              <w:t xml:space="preserve">SPE Africa Geothermal </w:t>
            </w:r>
            <w:proofErr w:type="spellStart"/>
            <w:r w:rsidRPr="00156F9E">
              <w:rPr>
                <w:rFonts w:ascii="Times New Roman" w:hAnsi="Times New Roman" w:cs="Times New Roman"/>
                <w:sz w:val="24"/>
                <w:szCs w:val="24"/>
              </w:rPr>
              <w:t>Datathon</w:t>
            </w:r>
            <w:proofErr w:type="spellEnd"/>
            <w:r w:rsidRPr="00156F9E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767B76" w:rsidRPr="00156F9E" w:rsidTr="00433883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156F9E" w:rsidRDefault="00767B76" w:rsidP="00C10A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6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Target Formation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156F9E" w:rsidRDefault="00767B76" w:rsidP="00C10A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6F9E">
              <w:rPr>
                <w:rFonts w:ascii="Times New Roman" w:hAnsi="Times New Roman" w:cs="Times New Roman"/>
                <w:sz w:val="24"/>
                <w:szCs w:val="24"/>
              </w:rPr>
              <w:t>Rotliegend (Slochteren) Formation</w:t>
            </w:r>
          </w:p>
        </w:tc>
      </w:tr>
      <w:tr w:rsidR="00767B76" w:rsidRPr="00156F9E" w:rsidTr="00433883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156F9E" w:rsidRDefault="00767B76" w:rsidP="00C10A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6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Study Area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156F9E" w:rsidRDefault="00767B76" w:rsidP="00C10A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6F9E">
              <w:rPr>
                <w:rFonts w:ascii="Times New Roman" w:hAnsi="Times New Roman" w:cs="Times New Roman"/>
                <w:sz w:val="24"/>
                <w:szCs w:val="24"/>
              </w:rPr>
              <w:t>Utrecht Region, Netherlands</w:t>
            </w:r>
          </w:p>
        </w:tc>
      </w:tr>
      <w:tr w:rsidR="00767B76" w:rsidRPr="00156F9E" w:rsidTr="00433883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156F9E" w:rsidRDefault="00767B76" w:rsidP="00C10A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6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Wells </w:t>
            </w:r>
            <w:proofErr w:type="spellStart"/>
            <w:r w:rsidRPr="00156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Analysed</w:t>
            </w:r>
            <w:proofErr w:type="spellEnd"/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156F9E" w:rsidRDefault="00767B76" w:rsidP="00C10A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6F9E">
              <w:rPr>
                <w:rFonts w:ascii="Times New Roman" w:hAnsi="Times New Roman" w:cs="Times New Roman"/>
                <w:sz w:val="24"/>
                <w:szCs w:val="24"/>
              </w:rPr>
              <w:t>BLT-01, JUT-01, EVD-01, PKP-01</w:t>
            </w:r>
          </w:p>
        </w:tc>
      </w:tr>
      <w:tr w:rsidR="00767B76" w:rsidRPr="00156F9E" w:rsidTr="00433883"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156F9E" w:rsidRDefault="00767B76" w:rsidP="00C10A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6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Report Date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156F9E" w:rsidRDefault="00767B76" w:rsidP="00C10A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6F9E">
              <w:rPr>
                <w:rFonts w:ascii="Times New Roman" w:hAnsi="Times New Roman" w:cs="Times New Roman"/>
                <w:sz w:val="24"/>
                <w:szCs w:val="24"/>
              </w:rPr>
              <w:t>June 4, 2026</w:t>
            </w:r>
          </w:p>
        </w:tc>
      </w:tr>
    </w:tbl>
    <w:p w:rsidR="00322CDD" w:rsidRDefault="00322CDD" w:rsidP="00C10A26">
      <w:pPr>
        <w:spacing w:line="276" w:lineRule="auto"/>
      </w:pPr>
    </w:p>
    <w:p w:rsidR="00767B76" w:rsidRDefault="00767B76" w:rsidP="00C10A26">
      <w:pPr>
        <w:spacing w:line="276" w:lineRule="auto"/>
      </w:pPr>
    </w:p>
    <w:p w:rsidR="00767B76" w:rsidRPr="00156F9E" w:rsidRDefault="00767B76" w:rsidP="00C10A26">
      <w:pPr>
        <w:pStyle w:val="Heading1"/>
        <w:pBdr>
          <w:bottom w:val="single" w:sz="6" w:space="4" w:color="1E7B8C"/>
        </w:pBd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156F9E">
        <w:rPr>
          <w:rFonts w:ascii="Times New Roman" w:hAnsi="Times New Roman" w:cs="Times New Roman"/>
          <w:sz w:val="36"/>
          <w:szCs w:val="36"/>
        </w:rPr>
        <w:t>1. Executive Summary</w:t>
      </w:r>
    </w:p>
    <w:p w:rsidR="00767B76" w:rsidRPr="00767B76" w:rsidRDefault="00767B76" w:rsidP="00C10A26">
      <w:pPr>
        <w:spacing w:before="60" w:after="1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B76">
        <w:rPr>
          <w:rFonts w:ascii="Times New Roman" w:hAnsi="Times New Roman" w:cs="Times New Roman"/>
          <w:sz w:val="24"/>
          <w:szCs w:val="24"/>
        </w:rPr>
        <w:t xml:space="preserve">This report presents the technical findings of a geothermal feasibility assessment and hybrid heating/cooling system design for the Rotliegend (Slochteren) Formation in the Utrecht region of the Netherlands, conducted as part of the SPE Africa Geothermal </w:t>
      </w:r>
      <w:proofErr w:type="spellStart"/>
      <w:r w:rsidRPr="00767B76">
        <w:rPr>
          <w:rFonts w:ascii="Times New Roman" w:hAnsi="Times New Roman" w:cs="Times New Roman"/>
          <w:sz w:val="24"/>
          <w:szCs w:val="24"/>
        </w:rPr>
        <w:t>Datathon</w:t>
      </w:r>
      <w:proofErr w:type="spellEnd"/>
      <w:r w:rsidRPr="00767B76">
        <w:rPr>
          <w:rFonts w:ascii="Times New Roman" w:hAnsi="Times New Roman" w:cs="Times New Roman"/>
          <w:sz w:val="24"/>
          <w:szCs w:val="24"/>
        </w:rPr>
        <w:t xml:space="preserve"> 2026.</w:t>
      </w:r>
    </w:p>
    <w:p w:rsidR="00767B76" w:rsidRDefault="00767B76" w:rsidP="00C10A26">
      <w:pPr>
        <w:spacing w:before="60" w:after="1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67B76">
        <w:rPr>
          <w:rFonts w:ascii="Times New Roman" w:hAnsi="Times New Roman" w:cs="Times New Roman"/>
          <w:sz w:val="24"/>
          <w:szCs w:val="24"/>
        </w:rPr>
        <w:t>Petrophysical</w:t>
      </w:r>
      <w:proofErr w:type="spellEnd"/>
      <w:r w:rsidRPr="00767B76">
        <w:rPr>
          <w:rFonts w:ascii="Times New Roman" w:hAnsi="Times New Roman" w:cs="Times New Roman"/>
          <w:sz w:val="24"/>
          <w:szCs w:val="24"/>
        </w:rPr>
        <w:t xml:space="preserve"> analysis of four exploration wells identified BLT-01 and JUT-01 as viable production candidates, delivering an estimated P50 thermal power of 8.2 </w:t>
      </w:r>
      <w:proofErr w:type="spellStart"/>
      <w:r w:rsidRPr="00767B76">
        <w:rPr>
          <w:rFonts w:ascii="Times New Roman" w:hAnsi="Times New Roman" w:cs="Times New Roman"/>
          <w:sz w:val="24"/>
          <w:szCs w:val="24"/>
        </w:rPr>
        <w:t>MWth</w:t>
      </w:r>
      <w:proofErr w:type="spellEnd"/>
      <w:r w:rsidRPr="00767B76">
        <w:rPr>
          <w:rFonts w:ascii="Times New Roman" w:hAnsi="Times New Roman" w:cs="Times New Roman"/>
          <w:sz w:val="24"/>
          <w:szCs w:val="24"/>
        </w:rPr>
        <w:t xml:space="preserve"> from the geothermal reservoir. A hybrid system combining a geothermal doublet, heat pump, absorption chiller, and 20 MWh thermal energy storage was designed to provide 10 </w:t>
      </w:r>
      <w:proofErr w:type="spellStart"/>
      <w:r w:rsidRPr="00767B76">
        <w:rPr>
          <w:rFonts w:ascii="Times New Roman" w:hAnsi="Times New Roman" w:cs="Times New Roman"/>
          <w:sz w:val="24"/>
          <w:szCs w:val="24"/>
        </w:rPr>
        <w:t>MWth</w:t>
      </w:r>
      <w:proofErr w:type="spellEnd"/>
      <w:r w:rsidRPr="00767B76">
        <w:rPr>
          <w:rFonts w:ascii="Times New Roman" w:hAnsi="Times New Roman" w:cs="Times New Roman"/>
          <w:sz w:val="24"/>
          <w:szCs w:val="24"/>
        </w:rPr>
        <w:t xml:space="preserve"> of heating and 5 </w:t>
      </w:r>
      <w:proofErr w:type="spellStart"/>
      <w:r w:rsidRPr="00767B76">
        <w:rPr>
          <w:rFonts w:ascii="Times New Roman" w:hAnsi="Times New Roman" w:cs="Times New Roman"/>
          <w:sz w:val="24"/>
          <w:szCs w:val="24"/>
        </w:rPr>
        <w:t>MWth</w:t>
      </w:r>
      <w:proofErr w:type="spellEnd"/>
      <w:r w:rsidRPr="00767B76">
        <w:rPr>
          <w:rFonts w:ascii="Times New Roman" w:hAnsi="Times New Roman" w:cs="Times New Roman"/>
          <w:sz w:val="24"/>
          <w:szCs w:val="24"/>
        </w:rPr>
        <w:t xml:space="preserve"> of cooling capacity. The </w:t>
      </w:r>
      <w:proofErr w:type="spellStart"/>
      <w:r w:rsidRPr="00767B76">
        <w:rPr>
          <w:rFonts w:ascii="Times New Roman" w:hAnsi="Times New Roman" w:cs="Times New Roman"/>
          <w:sz w:val="24"/>
          <w:szCs w:val="24"/>
        </w:rPr>
        <w:t>Levelized</w:t>
      </w:r>
      <w:proofErr w:type="spellEnd"/>
      <w:r w:rsidRPr="00767B76">
        <w:rPr>
          <w:rFonts w:ascii="Times New Roman" w:hAnsi="Times New Roman" w:cs="Times New Roman"/>
          <w:sz w:val="24"/>
          <w:szCs w:val="24"/>
        </w:rPr>
        <w:t xml:space="preserve"> Cost of Energy (LCOE) for the proposed system is estimated at 7–9 €/GJ under base-case assumptions, which is competitive with conventional district energy in the Netherlands.</w:t>
      </w:r>
    </w:p>
    <w:p w:rsidR="00767B76" w:rsidRDefault="00767B76" w:rsidP="00C10A26">
      <w:pPr>
        <w:spacing w:before="60" w:after="1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67B76" w:rsidRPr="00156F9E" w:rsidRDefault="00767B76" w:rsidP="00C10A26">
      <w:pPr>
        <w:pStyle w:val="Heading1"/>
        <w:pBdr>
          <w:bottom w:val="single" w:sz="6" w:space="4" w:color="1E7B8C"/>
        </w:pBd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156F9E">
        <w:rPr>
          <w:rFonts w:ascii="Times New Roman" w:hAnsi="Times New Roman" w:cs="Times New Roman"/>
          <w:sz w:val="36"/>
          <w:szCs w:val="36"/>
        </w:rPr>
        <w:t>2. Geological &amp; Reservoir Context</w:t>
      </w:r>
    </w:p>
    <w:p w:rsidR="00767B76" w:rsidRDefault="00767B76" w:rsidP="00C10A26">
      <w:pPr>
        <w:pStyle w:val="Heading3"/>
        <w:spacing w:before="200" w:after="80" w:line="276" w:lineRule="auto"/>
      </w:pPr>
      <w:r>
        <w:rPr>
          <w:rFonts w:ascii="Arial" w:eastAsia="Arial" w:hAnsi="Arial" w:cs="Arial"/>
          <w:b/>
          <w:bCs/>
          <w:color w:val="1E7B8C"/>
          <w:sz w:val="22"/>
          <w:szCs w:val="22"/>
        </w:rPr>
        <w:t>2.1 Formation Overview</w:t>
      </w:r>
    </w:p>
    <w:p w:rsidR="00767B76" w:rsidRPr="00767B76" w:rsidRDefault="00767B76" w:rsidP="00C10A26">
      <w:pPr>
        <w:spacing w:before="60" w:after="1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B76">
        <w:rPr>
          <w:rFonts w:ascii="Times New Roman" w:hAnsi="Times New Roman" w:cs="Times New Roman"/>
          <w:sz w:val="24"/>
          <w:szCs w:val="24"/>
        </w:rPr>
        <w:t xml:space="preserve">The Rotliegend (Slochteren) Formation is a Permian Aeolian to fluvial sandstone unit that forms the primary reservoir target. In the Utrecht region it is encountered at depths of approximately </w:t>
      </w:r>
      <w:r w:rsidRPr="00767B76">
        <w:rPr>
          <w:rFonts w:ascii="Times New Roman" w:hAnsi="Times New Roman" w:cs="Times New Roman"/>
          <w:sz w:val="24"/>
          <w:szCs w:val="24"/>
        </w:rPr>
        <w:lastRenderedPageBreak/>
        <w:t>1,800–2,400 m TVD (True Vertical Depth), with reservoir tempera</w:t>
      </w:r>
      <w:r>
        <w:rPr>
          <w:rFonts w:ascii="Times New Roman" w:hAnsi="Times New Roman" w:cs="Times New Roman"/>
          <w:sz w:val="24"/>
          <w:szCs w:val="24"/>
        </w:rPr>
        <w:t xml:space="preserve">tures of 70–85 °C </w:t>
      </w:r>
      <w:r w:rsidRPr="00767B76">
        <w:rPr>
          <w:rFonts w:ascii="Times New Roman" w:hAnsi="Times New Roman" w:cs="Times New Roman"/>
          <w:sz w:val="24"/>
          <w:szCs w:val="24"/>
        </w:rPr>
        <w:t>well-suited for direct-use geothermal heating and heat-pump-assisted cooling applications.</w:t>
      </w:r>
    </w:p>
    <w:p w:rsidR="00767B76" w:rsidRPr="00767B76" w:rsidRDefault="00767B76" w:rsidP="00C10A26">
      <w:pPr>
        <w:pStyle w:val="Heading3"/>
        <w:spacing w:before="200" w:after="80" w:line="276" w:lineRule="auto"/>
        <w:jc w:val="both"/>
        <w:rPr>
          <w:rFonts w:ascii="Times New Roman" w:hAnsi="Times New Roman" w:cs="Times New Roman"/>
        </w:rPr>
      </w:pPr>
      <w:r w:rsidRPr="00767B76">
        <w:rPr>
          <w:rFonts w:ascii="Times New Roman" w:eastAsia="Arial" w:hAnsi="Times New Roman" w:cs="Times New Roman"/>
          <w:b/>
          <w:bCs/>
          <w:color w:val="1E7B8C"/>
        </w:rPr>
        <w:t>2.2 Well Inventory</w:t>
      </w:r>
    </w:p>
    <w:p w:rsidR="00767B76" w:rsidRPr="00767B76" w:rsidRDefault="00767B76" w:rsidP="00C10A26">
      <w:pPr>
        <w:spacing w:before="60" w:after="1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B76">
        <w:rPr>
          <w:rFonts w:ascii="Times New Roman" w:hAnsi="Times New Roman" w:cs="Times New Roman"/>
          <w:sz w:val="24"/>
          <w:szCs w:val="24"/>
        </w:rPr>
        <w:t xml:space="preserve">Four wells were evaluated using LAS-format wireline log files together with </w:t>
      </w:r>
      <w:proofErr w:type="spellStart"/>
      <w:r w:rsidRPr="00767B76">
        <w:rPr>
          <w:rFonts w:ascii="Times New Roman" w:hAnsi="Times New Roman" w:cs="Times New Roman"/>
          <w:sz w:val="24"/>
          <w:szCs w:val="24"/>
        </w:rPr>
        <w:t>lithostratigraphic</w:t>
      </w:r>
      <w:proofErr w:type="spellEnd"/>
      <w:r w:rsidRPr="00767B76">
        <w:rPr>
          <w:rFonts w:ascii="Times New Roman" w:hAnsi="Times New Roman" w:cs="Times New Roman"/>
          <w:sz w:val="24"/>
          <w:szCs w:val="24"/>
        </w:rPr>
        <w:t xml:space="preserve"> column data and ThermoGIS regional reservoir statistics:</w:t>
      </w:r>
    </w:p>
    <w:p w:rsidR="00767B76" w:rsidRPr="00767B76" w:rsidRDefault="00767B76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BLT-01:</w:t>
      </w:r>
      <w:r w:rsidRPr="00767B76">
        <w:rPr>
          <w:rFonts w:ascii="Times New Roman" w:hAnsi="Times New Roman" w:cs="Times New Roman"/>
          <w:sz w:val="24"/>
          <w:szCs w:val="24"/>
        </w:rPr>
        <w:t xml:space="preserve"> deep well (2,350 m TVD); reservoir interval 2,180–2,340 m; favorable porosity and permeability.</w:t>
      </w:r>
    </w:p>
    <w:p w:rsidR="00767B76" w:rsidRPr="00767B76" w:rsidRDefault="00767B76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JUT-01: </w:t>
      </w:r>
      <w:r w:rsidRPr="00767B76">
        <w:rPr>
          <w:rFonts w:ascii="Times New Roman" w:hAnsi="Times New Roman" w:cs="Times New Roman"/>
          <w:sz w:val="24"/>
          <w:szCs w:val="24"/>
        </w:rPr>
        <w:t>intermediate depth (2,100 m TVD); reservoir interval 1,960–2,080 m; good porosity, moderate permeability.</w:t>
      </w:r>
    </w:p>
    <w:p w:rsidR="00767B76" w:rsidRDefault="00767B76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EVD-01:</w:t>
      </w:r>
      <w:r w:rsidRPr="00767B76">
        <w:rPr>
          <w:rFonts w:ascii="Times New Roman" w:hAnsi="Times New Roman" w:cs="Times New Roman"/>
          <w:sz w:val="24"/>
          <w:szCs w:val="24"/>
        </w:rPr>
        <w:t xml:space="preserve"> shallow well (1,830 m TVD); reservoir interval 1,710–1,800 m; low net-to-gross, insufficient permeability for commercial flow.</w:t>
      </w:r>
    </w:p>
    <w:p w:rsidR="00767B76" w:rsidRPr="00767B76" w:rsidRDefault="00767B76" w:rsidP="00C10A26">
      <w:pPr>
        <w:pStyle w:val="ListParagraph"/>
        <w:numPr>
          <w:ilvl w:val="0"/>
          <w:numId w:val="1"/>
        </w:numPr>
        <w:spacing w:before="40" w:after="40" w:line="276" w:lineRule="auto"/>
        <w:rPr>
          <w:rFonts w:ascii="Times New Roman" w:hAnsi="Times New Roman" w:cs="Times New Roman"/>
          <w:sz w:val="24"/>
          <w:szCs w:val="24"/>
        </w:rPr>
      </w:pPr>
      <w:r w:rsidRPr="00767B76">
        <w:rPr>
          <w:rFonts w:ascii="Times New Roman" w:hAnsi="Times New Roman" w:cs="Times New Roman"/>
          <w:sz w:val="24"/>
          <w:szCs w:val="24"/>
        </w:rPr>
        <w:t>PKP-01: intermediate depth; heterogeneous reservoir; thin net-pay, below production threshold.</w:t>
      </w:r>
    </w:p>
    <w:p w:rsidR="00767B76" w:rsidRPr="00767B76" w:rsidRDefault="00767B76" w:rsidP="00C10A26">
      <w:pPr>
        <w:spacing w:before="60" w:after="10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67B76" w:rsidRPr="00156F9E" w:rsidRDefault="00767B76" w:rsidP="00C10A26">
      <w:pPr>
        <w:pStyle w:val="Heading1"/>
        <w:pBdr>
          <w:bottom w:val="single" w:sz="6" w:space="4" w:color="1E7B8C"/>
        </w:pBdr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156F9E">
        <w:rPr>
          <w:rFonts w:ascii="Times New Roman" w:hAnsi="Times New Roman" w:cs="Times New Roman"/>
          <w:sz w:val="36"/>
          <w:szCs w:val="36"/>
        </w:rPr>
        <w:t>3. Resource Assessment Methodology</w:t>
      </w:r>
    </w:p>
    <w:p w:rsidR="00767B76" w:rsidRPr="00767B76" w:rsidRDefault="00767B76" w:rsidP="00C10A26">
      <w:pPr>
        <w:pStyle w:val="Heading3"/>
        <w:spacing w:before="200" w:after="80" w:line="276" w:lineRule="auto"/>
        <w:jc w:val="both"/>
        <w:rPr>
          <w:rFonts w:ascii="Times New Roman" w:hAnsi="Times New Roman" w:cs="Times New Roman"/>
        </w:rPr>
      </w:pPr>
      <w:r w:rsidRPr="00767B76">
        <w:rPr>
          <w:rFonts w:ascii="Times New Roman" w:eastAsia="Arial" w:hAnsi="Times New Roman" w:cs="Times New Roman"/>
          <w:b/>
          <w:bCs/>
          <w:color w:val="1E7B8C"/>
        </w:rPr>
        <w:t>3.1 Data Sources</w:t>
      </w:r>
    </w:p>
    <w:p w:rsidR="00767B76" w:rsidRPr="00767B76" w:rsidRDefault="00767B76" w:rsidP="00C10A26">
      <w:pPr>
        <w:spacing w:before="60" w:after="1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B76">
        <w:rPr>
          <w:rFonts w:ascii="Times New Roman" w:hAnsi="Times New Roman" w:cs="Times New Roman"/>
          <w:sz w:val="24"/>
          <w:szCs w:val="24"/>
        </w:rPr>
        <w:t>The following datasets were used in the assessment: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600"/>
        <w:gridCol w:w="3560"/>
      </w:tblGrid>
      <w:tr w:rsidR="00767B76" w:rsidRPr="00767B76" w:rsidTr="00433883">
        <w:trPr>
          <w:tblHeader/>
        </w:trPr>
        <w:tc>
          <w:tcPr>
            <w:tcW w:w="320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Dataset</w:t>
            </w:r>
          </w:p>
        </w:tc>
        <w:tc>
          <w:tcPr>
            <w:tcW w:w="260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Source</w:t>
            </w:r>
          </w:p>
        </w:tc>
        <w:tc>
          <w:tcPr>
            <w:tcW w:w="356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Application</w:t>
            </w:r>
          </w:p>
        </w:tc>
      </w:tr>
      <w:tr w:rsidR="00767B76" w:rsidRPr="00767B76" w:rsidTr="00433883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LAS well log files (GR, RHOB, NPHI, RT)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Competition data package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Porosity, NTG, lithology</w:t>
            </w:r>
          </w:p>
        </w:tc>
      </w:tr>
      <w:tr w:rsidR="00767B76" w:rsidRPr="00767B76" w:rsidTr="00433883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Lithostratigraphic column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Competition data package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Formation tops &amp; intervals</w:t>
            </w:r>
          </w:p>
        </w:tc>
      </w:tr>
      <w:tr w:rsidR="00767B76" w:rsidRPr="00767B76" w:rsidTr="00433883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ThermoGIS reservoir statistics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TNO / ThermoGIS portal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P90/P50/P10 reservoir parameters</w:t>
            </w:r>
          </w:p>
        </w:tc>
      </w:tr>
      <w:tr w:rsidR="00767B76" w:rsidRPr="00767B76" w:rsidTr="00433883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Well path / deviation surveys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Competition data package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TVD correction, 3-D geometry</w:t>
            </w:r>
          </w:p>
        </w:tc>
      </w:tr>
      <w:tr w:rsidR="00767B76" w:rsidRPr="00767B76" w:rsidTr="00433883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LCOE Excel model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Competition data package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Economic benchmarking</w:t>
            </w:r>
          </w:p>
        </w:tc>
      </w:tr>
    </w:tbl>
    <w:p w:rsidR="00767B76" w:rsidRPr="00767B76" w:rsidRDefault="00767B76" w:rsidP="00C10A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67B76" w:rsidRPr="00767B76" w:rsidRDefault="00767B76" w:rsidP="00C10A26">
      <w:pPr>
        <w:pStyle w:val="Heading3"/>
        <w:spacing w:before="200" w:after="80" w:line="276" w:lineRule="auto"/>
        <w:jc w:val="both"/>
        <w:rPr>
          <w:rFonts w:ascii="Times New Roman" w:hAnsi="Times New Roman" w:cs="Times New Roman"/>
        </w:rPr>
      </w:pPr>
      <w:r w:rsidRPr="00767B76">
        <w:rPr>
          <w:rFonts w:ascii="Times New Roman" w:eastAsia="Arial" w:hAnsi="Times New Roman" w:cs="Times New Roman"/>
          <w:b/>
          <w:bCs/>
          <w:color w:val="1E7B8C"/>
        </w:rPr>
        <w:t>3.2 Petro physical Workflow</w:t>
      </w:r>
    </w:p>
    <w:p w:rsidR="00767B76" w:rsidRPr="00767B76" w:rsidRDefault="00767B76" w:rsidP="00C10A26">
      <w:pPr>
        <w:spacing w:before="60" w:after="1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B76">
        <w:rPr>
          <w:rFonts w:ascii="Times New Roman" w:hAnsi="Times New Roman" w:cs="Times New Roman"/>
          <w:sz w:val="24"/>
          <w:szCs w:val="24"/>
        </w:rPr>
        <w:t xml:space="preserve">Each LAS file was processed using a </w:t>
      </w:r>
      <w:proofErr w:type="spellStart"/>
      <w:r w:rsidRPr="00767B76">
        <w:rPr>
          <w:rFonts w:ascii="Times New Roman" w:hAnsi="Times New Roman" w:cs="Times New Roman"/>
          <w:sz w:val="24"/>
          <w:szCs w:val="24"/>
        </w:rPr>
        <w:t>standardised</w:t>
      </w:r>
      <w:proofErr w:type="spellEnd"/>
      <w:r w:rsidRPr="00767B76">
        <w:rPr>
          <w:rFonts w:ascii="Times New Roman" w:hAnsi="Times New Roman" w:cs="Times New Roman"/>
          <w:sz w:val="24"/>
          <w:szCs w:val="24"/>
        </w:rPr>
        <w:t xml:space="preserve"> Python/</w:t>
      </w:r>
      <w:proofErr w:type="spellStart"/>
      <w:r w:rsidRPr="00767B76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767B76">
        <w:rPr>
          <w:rFonts w:ascii="Times New Roman" w:hAnsi="Times New Roman" w:cs="Times New Roman"/>
          <w:sz w:val="24"/>
          <w:szCs w:val="24"/>
        </w:rPr>
        <w:t xml:space="preserve"> workflow:</w:t>
      </w:r>
    </w:p>
    <w:p w:rsidR="00767B76" w:rsidRPr="00767B76" w:rsidRDefault="00767B76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B76">
        <w:rPr>
          <w:rFonts w:ascii="Times New Roman" w:hAnsi="Times New Roman" w:cs="Times New Roman"/>
          <w:sz w:val="24"/>
          <w:szCs w:val="24"/>
        </w:rPr>
        <w:lastRenderedPageBreak/>
        <w:t xml:space="preserve">Gamma Ray (GR) log shale-volume correction (linear model): </w:t>
      </w:r>
      <w:proofErr w:type="spellStart"/>
      <w:r w:rsidRPr="00767B76">
        <w:rPr>
          <w:rFonts w:ascii="Times New Roman" w:hAnsi="Times New Roman" w:cs="Times New Roman"/>
          <w:sz w:val="24"/>
          <w:szCs w:val="24"/>
        </w:rPr>
        <w:t>Vsh</w:t>
      </w:r>
      <w:proofErr w:type="spellEnd"/>
      <w:r w:rsidRPr="00767B76">
        <w:rPr>
          <w:rFonts w:ascii="Times New Roman" w:hAnsi="Times New Roman" w:cs="Times New Roman"/>
          <w:sz w:val="24"/>
          <w:szCs w:val="24"/>
        </w:rPr>
        <w:t xml:space="preserve"> = (GR − </w:t>
      </w:r>
      <w:proofErr w:type="spellStart"/>
      <w:r w:rsidRPr="00767B76">
        <w:rPr>
          <w:rFonts w:ascii="Times New Roman" w:hAnsi="Times New Roman" w:cs="Times New Roman"/>
          <w:sz w:val="24"/>
          <w:szCs w:val="24"/>
        </w:rPr>
        <w:t>GRmin</w:t>
      </w:r>
      <w:proofErr w:type="spellEnd"/>
      <w:r w:rsidRPr="00767B76">
        <w:rPr>
          <w:rFonts w:ascii="Times New Roman" w:hAnsi="Times New Roman" w:cs="Times New Roman"/>
          <w:sz w:val="24"/>
          <w:szCs w:val="24"/>
        </w:rPr>
        <w:t>) / (</w:t>
      </w:r>
      <w:proofErr w:type="spellStart"/>
      <w:r w:rsidRPr="00767B76">
        <w:rPr>
          <w:rFonts w:ascii="Times New Roman" w:hAnsi="Times New Roman" w:cs="Times New Roman"/>
          <w:sz w:val="24"/>
          <w:szCs w:val="24"/>
        </w:rPr>
        <w:t>GRmax</w:t>
      </w:r>
      <w:proofErr w:type="spellEnd"/>
      <w:r w:rsidRPr="00767B76">
        <w:rPr>
          <w:rFonts w:ascii="Times New Roman" w:hAnsi="Times New Roman" w:cs="Times New Roman"/>
          <w:sz w:val="24"/>
          <w:szCs w:val="24"/>
        </w:rPr>
        <w:t xml:space="preserve"> − </w:t>
      </w:r>
      <w:proofErr w:type="spellStart"/>
      <w:r w:rsidRPr="00767B76">
        <w:rPr>
          <w:rFonts w:ascii="Times New Roman" w:hAnsi="Times New Roman" w:cs="Times New Roman"/>
          <w:sz w:val="24"/>
          <w:szCs w:val="24"/>
        </w:rPr>
        <w:t>GRmin</w:t>
      </w:r>
      <w:proofErr w:type="spellEnd"/>
      <w:r w:rsidRPr="00767B76">
        <w:rPr>
          <w:rFonts w:ascii="Times New Roman" w:hAnsi="Times New Roman" w:cs="Times New Roman"/>
          <w:sz w:val="24"/>
          <w:szCs w:val="24"/>
        </w:rPr>
        <w:t>).</w:t>
      </w:r>
    </w:p>
    <w:p w:rsidR="00767B76" w:rsidRPr="00767B76" w:rsidRDefault="00767B76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B76">
        <w:rPr>
          <w:rFonts w:ascii="Times New Roman" w:hAnsi="Times New Roman" w:cs="Times New Roman"/>
          <w:sz w:val="24"/>
          <w:szCs w:val="24"/>
        </w:rPr>
        <w:t>Net-to-Gross (NTG) calculated by applying a GR cut-off of 75 API. Intervals below cut-off classed as non-reservoir.</w:t>
      </w:r>
    </w:p>
    <w:p w:rsidR="00767B76" w:rsidRPr="00767B76" w:rsidRDefault="00767B76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B76">
        <w:rPr>
          <w:rFonts w:ascii="Times New Roman" w:hAnsi="Times New Roman" w:cs="Times New Roman"/>
          <w:sz w:val="24"/>
          <w:szCs w:val="24"/>
        </w:rPr>
        <w:t>Total porosity derived from bulk density log (</w:t>
      </w:r>
      <w:proofErr w:type="spellStart"/>
      <w:r w:rsidRPr="00767B76">
        <w:rPr>
          <w:rFonts w:ascii="Times New Roman" w:hAnsi="Times New Roman" w:cs="Times New Roman"/>
          <w:sz w:val="24"/>
          <w:szCs w:val="24"/>
        </w:rPr>
        <w:t>ρma</w:t>
      </w:r>
      <w:proofErr w:type="spellEnd"/>
      <w:r w:rsidRPr="00767B76">
        <w:rPr>
          <w:rFonts w:ascii="Times New Roman" w:hAnsi="Times New Roman" w:cs="Times New Roman"/>
          <w:sz w:val="24"/>
          <w:szCs w:val="24"/>
        </w:rPr>
        <w:t xml:space="preserve"> = 2.65 g/cc; </w:t>
      </w:r>
      <w:proofErr w:type="spellStart"/>
      <w:r w:rsidRPr="00767B76">
        <w:rPr>
          <w:rFonts w:ascii="Times New Roman" w:hAnsi="Times New Roman" w:cs="Times New Roman"/>
          <w:sz w:val="24"/>
          <w:szCs w:val="24"/>
        </w:rPr>
        <w:t>ρfl</w:t>
      </w:r>
      <w:proofErr w:type="spellEnd"/>
      <w:r w:rsidRPr="00767B76">
        <w:rPr>
          <w:rFonts w:ascii="Times New Roman" w:hAnsi="Times New Roman" w:cs="Times New Roman"/>
          <w:sz w:val="24"/>
          <w:szCs w:val="24"/>
        </w:rPr>
        <w:t xml:space="preserve"> = 1.00 g/cc): </w:t>
      </w:r>
      <w:proofErr w:type="spellStart"/>
      <w:r w:rsidRPr="00767B76">
        <w:rPr>
          <w:rFonts w:ascii="Times New Roman" w:hAnsi="Times New Roman" w:cs="Times New Roman"/>
          <w:sz w:val="24"/>
          <w:szCs w:val="24"/>
        </w:rPr>
        <w:t>ϕT</w:t>
      </w:r>
      <w:proofErr w:type="spellEnd"/>
      <w:r w:rsidRPr="00767B76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767B76">
        <w:rPr>
          <w:rFonts w:ascii="Times New Roman" w:hAnsi="Times New Roman" w:cs="Times New Roman"/>
          <w:sz w:val="24"/>
          <w:szCs w:val="24"/>
        </w:rPr>
        <w:t>ρma</w:t>
      </w:r>
      <w:proofErr w:type="spellEnd"/>
      <w:r w:rsidRPr="00767B76">
        <w:rPr>
          <w:rFonts w:ascii="Times New Roman" w:hAnsi="Times New Roman" w:cs="Times New Roman"/>
          <w:sz w:val="24"/>
          <w:szCs w:val="24"/>
        </w:rPr>
        <w:t xml:space="preserve"> − </w:t>
      </w:r>
      <w:proofErr w:type="spellStart"/>
      <w:r w:rsidRPr="00767B76">
        <w:rPr>
          <w:rFonts w:ascii="Times New Roman" w:hAnsi="Times New Roman" w:cs="Times New Roman"/>
          <w:sz w:val="24"/>
          <w:szCs w:val="24"/>
        </w:rPr>
        <w:t>ρb</w:t>
      </w:r>
      <w:proofErr w:type="spellEnd"/>
      <w:r w:rsidRPr="00767B76">
        <w:rPr>
          <w:rFonts w:ascii="Times New Roman" w:hAnsi="Times New Roman" w:cs="Times New Roman"/>
          <w:sz w:val="24"/>
          <w:szCs w:val="24"/>
        </w:rPr>
        <w:t>) / (</w:t>
      </w:r>
      <w:proofErr w:type="spellStart"/>
      <w:r w:rsidRPr="00767B76">
        <w:rPr>
          <w:rFonts w:ascii="Times New Roman" w:hAnsi="Times New Roman" w:cs="Times New Roman"/>
          <w:sz w:val="24"/>
          <w:szCs w:val="24"/>
        </w:rPr>
        <w:t>ρma</w:t>
      </w:r>
      <w:proofErr w:type="spellEnd"/>
      <w:r w:rsidRPr="00767B76">
        <w:rPr>
          <w:rFonts w:ascii="Times New Roman" w:hAnsi="Times New Roman" w:cs="Times New Roman"/>
          <w:sz w:val="24"/>
          <w:szCs w:val="24"/>
        </w:rPr>
        <w:t xml:space="preserve"> − </w:t>
      </w:r>
      <w:proofErr w:type="spellStart"/>
      <w:r w:rsidRPr="00767B76">
        <w:rPr>
          <w:rFonts w:ascii="Times New Roman" w:hAnsi="Times New Roman" w:cs="Times New Roman"/>
          <w:sz w:val="24"/>
          <w:szCs w:val="24"/>
        </w:rPr>
        <w:t>ρfl</w:t>
      </w:r>
      <w:proofErr w:type="spellEnd"/>
      <w:r w:rsidRPr="00767B76">
        <w:rPr>
          <w:rFonts w:ascii="Times New Roman" w:hAnsi="Times New Roman" w:cs="Times New Roman"/>
          <w:sz w:val="24"/>
          <w:szCs w:val="24"/>
        </w:rPr>
        <w:t>).</w:t>
      </w:r>
    </w:p>
    <w:p w:rsidR="00767B76" w:rsidRPr="00767B76" w:rsidRDefault="00767B76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B76">
        <w:rPr>
          <w:rFonts w:ascii="Times New Roman" w:hAnsi="Times New Roman" w:cs="Times New Roman"/>
          <w:sz w:val="24"/>
          <w:szCs w:val="24"/>
        </w:rPr>
        <w:t xml:space="preserve">Effective porosity: </w:t>
      </w:r>
      <w:proofErr w:type="spellStart"/>
      <w:r w:rsidRPr="00767B76">
        <w:rPr>
          <w:rFonts w:ascii="Times New Roman" w:hAnsi="Times New Roman" w:cs="Times New Roman"/>
          <w:sz w:val="24"/>
          <w:szCs w:val="24"/>
        </w:rPr>
        <w:t>ϕeff</w:t>
      </w:r>
      <w:proofErr w:type="spellEnd"/>
      <w:r w:rsidRPr="00767B7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67B76">
        <w:rPr>
          <w:rFonts w:ascii="Times New Roman" w:hAnsi="Times New Roman" w:cs="Times New Roman"/>
          <w:sz w:val="24"/>
          <w:szCs w:val="24"/>
        </w:rPr>
        <w:t>ϕT</w:t>
      </w:r>
      <w:proofErr w:type="spellEnd"/>
      <w:r w:rsidRPr="00767B76">
        <w:rPr>
          <w:rFonts w:ascii="Times New Roman" w:hAnsi="Times New Roman" w:cs="Times New Roman"/>
          <w:sz w:val="24"/>
          <w:szCs w:val="24"/>
        </w:rPr>
        <w:t xml:space="preserve"> × (1 − </w:t>
      </w:r>
      <w:proofErr w:type="spellStart"/>
      <w:r w:rsidRPr="00767B76">
        <w:rPr>
          <w:rFonts w:ascii="Times New Roman" w:hAnsi="Times New Roman" w:cs="Times New Roman"/>
          <w:sz w:val="24"/>
          <w:szCs w:val="24"/>
        </w:rPr>
        <w:t>Vsh</w:t>
      </w:r>
      <w:proofErr w:type="spellEnd"/>
      <w:r w:rsidRPr="00767B76">
        <w:rPr>
          <w:rFonts w:ascii="Times New Roman" w:hAnsi="Times New Roman" w:cs="Times New Roman"/>
          <w:sz w:val="24"/>
          <w:szCs w:val="24"/>
        </w:rPr>
        <w:t>).</w:t>
      </w:r>
    </w:p>
    <w:p w:rsidR="00767B76" w:rsidRPr="00767B76" w:rsidRDefault="00767B76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B76">
        <w:rPr>
          <w:rFonts w:ascii="Times New Roman" w:hAnsi="Times New Roman" w:cs="Times New Roman"/>
          <w:sz w:val="24"/>
          <w:szCs w:val="24"/>
        </w:rPr>
        <w:t xml:space="preserve">Permeability estimated from the </w:t>
      </w:r>
      <w:proofErr w:type="spellStart"/>
      <w:r w:rsidRPr="00767B76">
        <w:rPr>
          <w:rFonts w:ascii="Times New Roman" w:hAnsi="Times New Roman" w:cs="Times New Roman"/>
          <w:sz w:val="24"/>
          <w:szCs w:val="24"/>
        </w:rPr>
        <w:t>Timur</w:t>
      </w:r>
      <w:proofErr w:type="spellEnd"/>
      <w:r w:rsidRPr="00767B76">
        <w:rPr>
          <w:rFonts w:ascii="Times New Roman" w:hAnsi="Times New Roman" w:cs="Times New Roman"/>
          <w:sz w:val="24"/>
          <w:szCs w:val="24"/>
        </w:rPr>
        <w:t>-Coates equation using derived porosity and a formation-specific calibration from ThermoGIS.</w:t>
      </w:r>
    </w:p>
    <w:p w:rsidR="00767B76" w:rsidRDefault="00767B76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B76">
        <w:rPr>
          <w:rFonts w:ascii="Times New Roman" w:hAnsi="Times New Roman" w:cs="Times New Roman"/>
          <w:sz w:val="24"/>
          <w:szCs w:val="24"/>
        </w:rPr>
        <w:t xml:space="preserve">Reservoir interval sliced from well log data using formation top and base depths from the </w:t>
      </w:r>
      <w:proofErr w:type="spellStart"/>
      <w:r w:rsidRPr="00767B76">
        <w:rPr>
          <w:rFonts w:ascii="Times New Roman" w:hAnsi="Times New Roman" w:cs="Times New Roman"/>
          <w:sz w:val="24"/>
          <w:szCs w:val="24"/>
        </w:rPr>
        <w:t>lithostratigraphic</w:t>
      </w:r>
      <w:proofErr w:type="spellEnd"/>
      <w:r w:rsidRPr="00767B76">
        <w:rPr>
          <w:rFonts w:ascii="Times New Roman" w:hAnsi="Times New Roman" w:cs="Times New Roman"/>
          <w:sz w:val="24"/>
          <w:szCs w:val="24"/>
        </w:rPr>
        <w:t xml:space="preserve"> column.</w:t>
      </w:r>
    </w:p>
    <w:p w:rsidR="00767B76" w:rsidRDefault="00767B76" w:rsidP="00C10A26">
      <w:p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67B76" w:rsidRPr="00767B76" w:rsidRDefault="009B0829" w:rsidP="00C10A26">
      <w:pPr>
        <w:pStyle w:val="Heading3"/>
        <w:spacing w:before="200" w:after="80" w:line="276" w:lineRule="auto"/>
        <w:rPr>
          <w:rFonts w:ascii="Times New Roman" w:hAnsi="Times New Roman" w:cs="Times New Roman"/>
        </w:rPr>
      </w:pPr>
      <w:r w:rsidRPr="00767B76">
        <w:rPr>
          <w:rFonts w:ascii="Times New Roman" w:eastAsia="Arial" w:hAnsi="Times New Roman" w:cs="Times New Roman"/>
          <w:b/>
          <w:bCs/>
          <w:color w:val="1E7B8C"/>
        </w:rPr>
        <w:t>3.3 Probabilistic</w:t>
      </w:r>
      <w:r w:rsidR="00767B76" w:rsidRPr="00767B76">
        <w:rPr>
          <w:rFonts w:ascii="Times New Roman" w:eastAsia="Arial" w:hAnsi="Times New Roman" w:cs="Times New Roman"/>
          <w:b/>
          <w:bCs/>
          <w:color w:val="1E7B8C"/>
        </w:rPr>
        <w:t xml:space="preserve"> Scenarios</w:t>
      </w:r>
    </w:p>
    <w:p w:rsidR="00767B76" w:rsidRPr="00767B76" w:rsidRDefault="00767B76" w:rsidP="00C10A26">
      <w:pPr>
        <w:spacing w:before="60" w:after="100" w:line="276" w:lineRule="auto"/>
        <w:rPr>
          <w:rFonts w:ascii="Times New Roman" w:hAnsi="Times New Roman" w:cs="Times New Roman"/>
          <w:sz w:val="24"/>
          <w:szCs w:val="24"/>
        </w:rPr>
      </w:pPr>
      <w:r w:rsidRPr="00767B76">
        <w:rPr>
          <w:rFonts w:ascii="Times New Roman" w:hAnsi="Times New Roman" w:cs="Times New Roman"/>
          <w:sz w:val="24"/>
          <w:szCs w:val="24"/>
        </w:rPr>
        <w:t>Three probabilistic scenarios were derived for key reservoir parameters (porosity, net pay, temperature, permeability) using ThermoGIS P90/P50/P10 statistics. These scenarios were propagated through the heat-in-place and thermal power calculations.</w:t>
      </w:r>
    </w:p>
    <w:p w:rsidR="00767B76" w:rsidRPr="00767B76" w:rsidRDefault="00767B76" w:rsidP="00C10A26">
      <w:pPr>
        <w:spacing w:before="8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1621"/>
        <w:gridCol w:w="1800"/>
        <w:gridCol w:w="1800"/>
        <w:gridCol w:w="1620"/>
      </w:tblGrid>
      <w:tr w:rsidR="00767B76" w:rsidRPr="00767B76" w:rsidTr="009B0829">
        <w:trPr>
          <w:tblHeader/>
        </w:trPr>
        <w:tc>
          <w:tcPr>
            <w:tcW w:w="2519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Well</w:t>
            </w:r>
          </w:p>
        </w:tc>
        <w:tc>
          <w:tcPr>
            <w:tcW w:w="1621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P90 (</w:t>
            </w:r>
            <w:proofErr w:type="spellStart"/>
            <w:r w:rsidRPr="00767B7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MWth</w:t>
            </w:r>
            <w:proofErr w:type="spellEnd"/>
            <w:r w:rsidRPr="00767B7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180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P50 (</w:t>
            </w:r>
            <w:proofErr w:type="spellStart"/>
            <w:r w:rsidRPr="00767B7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MWth</w:t>
            </w:r>
            <w:proofErr w:type="spellEnd"/>
            <w:r w:rsidRPr="00767B7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180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P10 (</w:t>
            </w:r>
            <w:proofErr w:type="spellStart"/>
            <w:r w:rsidRPr="00767B7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MWth</w:t>
            </w:r>
            <w:proofErr w:type="spellEnd"/>
            <w:r w:rsidRPr="00767B7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162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Verdict</w:t>
            </w:r>
          </w:p>
        </w:tc>
      </w:tr>
      <w:tr w:rsidR="00767B76" w:rsidRPr="00767B76" w:rsidTr="009B0829">
        <w:tc>
          <w:tcPr>
            <w:tcW w:w="251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BLT-01</w:t>
            </w:r>
          </w:p>
        </w:tc>
        <w:tc>
          <w:tcPr>
            <w:tcW w:w="162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5.8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8.4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12.1</w:t>
            </w:r>
          </w:p>
        </w:tc>
        <w:tc>
          <w:tcPr>
            <w:tcW w:w="16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 xml:space="preserve">Viable </w:t>
            </w:r>
            <w:r w:rsidRPr="00767B7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767B76" w:rsidRPr="00767B76" w:rsidTr="009B0829">
        <w:tc>
          <w:tcPr>
            <w:tcW w:w="251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JUT-01</w:t>
            </w:r>
          </w:p>
        </w:tc>
        <w:tc>
          <w:tcPr>
            <w:tcW w:w="162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4.9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7.9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11.3</w:t>
            </w:r>
          </w:p>
        </w:tc>
        <w:tc>
          <w:tcPr>
            <w:tcW w:w="16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 xml:space="preserve">Viable </w:t>
            </w:r>
            <w:r w:rsidRPr="00767B7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767B76" w:rsidRPr="00767B76" w:rsidTr="009B0829">
        <w:tc>
          <w:tcPr>
            <w:tcW w:w="251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EVD-01</w:t>
            </w:r>
          </w:p>
        </w:tc>
        <w:tc>
          <w:tcPr>
            <w:tcW w:w="162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16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 xml:space="preserve">Not Viable </w:t>
            </w:r>
            <w:r w:rsidRPr="00767B76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767B76" w:rsidRPr="00767B76" w:rsidTr="009B0829">
        <w:tc>
          <w:tcPr>
            <w:tcW w:w="251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PKP-01</w:t>
            </w:r>
          </w:p>
        </w:tc>
        <w:tc>
          <w:tcPr>
            <w:tcW w:w="162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2.9</w:t>
            </w:r>
          </w:p>
        </w:tc>
        <w:tc>
          <w:tcPr>
            <w:tcW w:w="16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 xml:space="preserve">Not Viable </w:t>
            </w:r>
            <w:r w:rsidRPr="00767B76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767B76" w:rsidRPr="00767B76" w:rsidTr="009B0829">
        <w:tc>
          <w:tcPr>
            <w:tcW w:w="251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Combined (BLT+JUT)</w:t>
            </w:r>
          </w:p>
        </w:tc>
        <w:tc>
          <w:tcPr>
            <w:tcW w:w="162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10.7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16.3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23.4</w:t>
            </w:r>
          </w:p>
        </w:tc>
        <w:tc>
          <w:tcPr>
            <w:tcW w:w="16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67B76" w:rsidRPr="00767B76" w:rsidRDefault="00767B76" w:rsidP="00C10A2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7B7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767B76" w:rsidRPr="009B0829" w:rsidRDefault="00767B76" w:rsidP="00C10A26">
      <w:pPr>
        <w:spacing w:before="60" w:after="120" w:line="276" w:lineRule="auto"/>
        <w:rPr>
          <w:rFonts w:ascii="Times New Roman" w:hAnsi="Times New Roman" w:cs="Times New Roman"/>
        </w:rPr>
      </w:pPr>
      <w:r w:rsidRPr="009B0829">
        <w:rPr>
          <w:rFonts w:ascii="Times New Roman" w:hAnsi="Times New Roman" w:cs="Times New Roman"/>
          <w:i/>
          <w:iCs/>
          <w:color w:val="BFBFBF"/>
        </w:rPr>
        <w:t>Table 1. Probabilistic thermal power estimates per well. P50 combined figure used for system design.</w:t>
      </w:r>
    </w:p>
    <w:p w:rsidR="00767B76" w:rsidRDefault="00767B76" w:rsidP="00C10A26">
      <w:pPr>
        <w:spacing w:line="276" w:lineRule="auto"/>
      </w:pPr>
    </w:p>
    <w:p w:rsidR="009B0829" w:rsidRPr="009B0829" w:rsidRDefault="009B0829" w:rsidP="00C10A26">
      <w:pPr>
        <w:pStyle w:val="Heading3"/>
        <w:spacing w:before="200" w:after="80" w:line="276" w:lineRule="auto"/>
        <w:rPr>
          <w:rFonts w:ascii="Times New Roman" w:hAnsi="Times New Roman" w:cs="Times New Roman"/>
        </w:rPr>
      </w:pPr>
      <w:r w:rsidRPr="009B0829">
        <w:rPr>
          <w:rFonts w:ascii="Times New Roman" w:eastAsia="Arial" w:hAnsi="Times New Roman" w:cs="Times New Roman"/>
          <w:b/>
          <w:bCs/>
          <w:color w:val="1E7B8C"/>
        </w:rPr>
        <w:t>3.4 Feasibility Criteria</w:t>
      </w:r>
    </w:p>
    <w:p w:rsidR="009B0829" w:rsidRPr="009B0829" w:rsidRDefault="009B0829" w:rsidP="00C10A26">
      <w:pPr>
        <w:spacing w:before="60" w:after="100" w:line="276" w:lineRule="auto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 xml:space="preserve">Viability was assessed against the following thresholds, aligned with standard Dutch geothermal practice (ThermoGIS / </w:t>
      </w:r>
      <w:proofErr w:type="spellStart"/>
      <w:r w:rsidRPr="009B0829">
        <w:rPr>
          <w:rFonts w:ascii="Times New Roman" w:hAnsi="Times New Roman" w:cs="Times New Roman"/>
          <w:sz w:val="24"/>
          <w:szCs w:val="24"/>
        </w:rPr>
        <w:t>SodM</w:t>
      </w:r>
      <w:proofErr w:type="spellEnd"/>
      <w:r w:rsidRPr="009B0829">
        <w:rPr>
          <w:rFonts w:ascii="Times New Roman" w:hAnsi="Times New Roman" w:cs="Times New Roman"/>
          <w:sz w:val="24"/>
          <w:szCs w:val="24"/>
        </w:rPr>
        <w:t xml:space="preserve"> guidelines):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Minimum reservoir temperature:  65 °C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Minimum effective porosity:  8 %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Minimum gross reservoir thickness (net pay):  20 m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 xml:space="preserve">Minimum estimated permeability:  50 </w:t>
      </w:r>
      <w:proofErr w:type="spellStart"/>
      <w:r w:rsidRPr="009B0829">
        <w:rPr>
          <w:rFonts w:ascii="Times New Roman" w:hAnsi="Times New Roman" w:cs="Times New Roman"/>
          <w:sz w:val="24"/>
          <w:szCs w:val="24"/>
        </w:rPr>
        <w:t>mD</w:t>
      </w:r>
      <w:proofErr w:type="spellEnd"/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 xml:space="preserve">Minimum P50 thermal power:  3.5 </w:t>
      </w:r>
      <w:proofErr w:type="spellStart"/>
      <w:r w:rsidRPr="009B0829">
        <w:rPr>
          <w:rFonts w:ascii="Times New Roman" w:hAnsi="Times New Roman" w:cs="Times New Roman"/>
          <w:sz w:val="24"/>
          <w:szCs w:val="24"/>
        </w:rPr>
        <w:t>MWth</w:t>
      </w:r>
      <w:proofErr w:type="spellEnd"/>
    </w:p>
    <w:p w:rsidR="009B0829" w:rsidRDefault="009B0829" w:rsidP="00C10A26">
      <w:pPr>
        <w:spacing w:before="60" w:after="100" w:line="276" w:lineRule="auto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lastRenderedPageBreak/>
        <w:t>BLT-01 and JUT-01 satisfy all criteria; EVD-01 and PKP-01 fail primarily on permeability and net pay.</w:t>
      </w:r>
    </w:p>
    <w:p w:rsidR="009B0829" w:rsidRPr="00156F9E" w:rsidRDefault="009B0829" w:rsidP="00C10A26">
      <w:pPr>
        <w:pStyle w:val="Heading1"/>
        <w:pBdr>
          <w:bottom w:val="single" w:sz="6" w:space="4" w:color="1E7B8C"/>
        </w:pBdr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156F9E">
        <w:rPr>
          <w:rFonts w:ascii="Times New Roman" w:hAnsi="Times New Roman" w:cs="Times New Roman"/>
          <w:sz w:val="36"/>
          <w:szCs w:val="36"/>
        </w:rPr>
        <w:t>4. System Design</w:t>
      </w:r>
    </w:p>
    <w:p w:rsidR="009B0829" w:rsidRPr="009B0829" w:rsidRDefault="00156F9E" w:rsidP="00C10A26">
      <w:pPr>
        <w:pStyle w:val="Heading3"/>
        <w:spacing w:before="200" w:after="80" w:line="276" w:lineRule="auto"/>
        <w:jc w:val="both"/>
        <w:rPr>
          <w:rFonts w:ascii="Times New Roman" w:hAnsi="Times New Roman" w:cs="Times New Roman"/>
        </w:rPr>
      </w:pPr>
      <w:r w:rsidRPr="009B0829">
        <w:rPr>
          <w:rFonts w:ascii="Times New Roman" w:eastAsia="Arial" w:hAnsi="Times New Roman" w:cs="Times New Roman"/>
          <w:b/>
          <w:bCs/>
          <w:color w:val="1E7B8C"/>
        </w:rPr>
        <w:t>4.1 Configuration</w:t>
      </w:r>
      <w:r w:rsidR="009B0829" w:rsidRPr="009B0829">
        <w:rPr>
          <w:rFonts w:ascii="Times New Roman" w:eastAsia="Arial" w:hAnsi="Times New Roman" w:cs="Times New Roman"/>
          <w:b/>
          <w:bCs/>
          <w:color w:val="1E7B8C"/>
        </w:rPr>
        <w:t xml:space="preserve"> Overview</w:t>
      </w:r>
    </w:p>
    <w:p w:rsidR="009B0829" w:rsidRPr="009B0829" w:rsidRDefault="009B0829" w:rsidP="00C10A26">
      <w:pPr>
        <w:spacing w:before="60" w:after="1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A hybrid geothermal district energy system was designed around the BLT-01 / JUT-01 doublet. The four main components are: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Geothermal doublet: production well (BLT-01) + injection well (JUT-01) completing a closed reservoir loop.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Heat pump (HP): compression-cycle unit upgrading brine enthalpy for high-temperature heating supply.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 xml:space="preserve">Absorption chiller (AC): brine-driven single-effect </w:t>
      </w:r>
      <w:proofErr w:type="spellStart"/>
      <w:r w:rsidRPr="009B0829">
        <w:rPr>
          <w:rFonts w:ascii="Times New Roman" w:hAnsi="Times New Roman" w:cs="Times New Roman"/>
          <w:sz w:val="24"/>
          <w:szCs w:val="24"/>
        </w:rPr>
        <w:t>LiBr</w:t>
      </w:r>
      <w:proofErr w:type="spellEnd"/>
      <w:r w:rsidRPr="009B0829">
        <w:rPr>
          <w:rFonts w:ascii="Times New Roman" w:hAnsi="Times New Roman" w:cs="Times New Roman"/>
          <w:sz w:val="24"/>
          <w:szCs w:val="24"/>
        </w:rPr>
        <w:t xml:space="preserve"> unit producing chilled water for cooling.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Thermal Energy Storage (TES): stratified hot-water tank buffering daily demand fluctuations.</w:t>
      </w:r>
    </w:p>
    <w:p w:rsidR="009B0829" w:rsidRPr="009B0829" w:rsidRDefault="00156F9E" w:rsidP="00C10A26">
      <w:pPr>
        <w:pStyle w:val="Heading3"/>
        <w:spacing w:before="200" w:after="80" w:line="276" w:lineRule="auto"/>
        <w:jc w:val="both"/>
        <w:rPr>
          <w:rFonts w:ascii="Times New Roman" w:hAnsi="Times New Roman" w:cs="Times New Roman"/>
        </w:rPr>
      </w:pPr>
      <w:r w:rsidRPr="009B0829">
        <w:rPr>
          <w:rFonts w:ascii="Times New Roman" w:eastAsia="Arial" w:hAnsi="Times New Roman" w:cs="Times New Roman"/>
          <w:b/>
          <w:bCs/>
          <w:color w:val="1E7B8C"/>
        </w:rPr>
        <w:t>4.2 Component</w:t>
      </w:r>
      <w:r w:rsidR="009B0829" w:rsidRPr="009B0829">
        <w:rPr>
          <w:rFonts w:ascii="Times New Roman" w:eastAsia="Arial" w:hAnsi="Times New Roman" w:cs="Times New Roman"/>
          <w:b/>
          <w:bCs/>
          <w:color w:val="1E7B8C"/>
        </w:rPr>
        <w:t xml:space="preserve"> Specifications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200"/>
        <w:gridCol w:w="2160"/>
      </w:tblGrid>
      <w:tr w:rsidR="009B0829" w:rsidRPr="009B0829" w:rsidTr="00433883">
        <w:trPr>
          <w:tblHeader/>
        </w:trPr>
        <w:tc>
          <w:tcPr>
            <w:tcW w:w="280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Parameter</w:t>
            </w:r>
          </w:p>
        </w:tc>
        <w:tc>
          <w:tcPr>
            <w:tcW w:w="220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Value</w:t>
            </w:r>
          </w:p>
        </w:tc>
        <w:tc>
          <w:tcPr>
            <w:tcW w:w="216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9B0829" w:rsidRPr="009B0829" w:rsidTr="00433883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Geothermal doublet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Production flowrate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150 m³/h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Both wells active</w:t>
            </w:r>
          </w:p>
        </w:tc>
      </w:tr>
      <w:tr w:rsidR="009B0829" w:rsidRPr="009B0829" w:rsidTr="00433883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Geothermal doublet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Reservoir temperature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78 °C (P50)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After wellbore losses</w:t>
            </w:r>
          </w:p>
        </w:tc>
      </w:tr>
      <w:tr w:rsidR="009B0829" w:rsidRPr="009B0829" w:rsidTr="00433883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Geothermal doublet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Reinjection temperature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35 °C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Design target</w:t>
            </w:r>
          </w:p>
        </w:tc>
      </w:tr>
      <w:tr w:rsidR="009B0829" w:rsidRPr="009B0829" w:rsidTr="00433883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Heat pump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COP (heating)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Compression-cycle</w:t>
            </w:r>
          </w:p>
        </w:tc>
      </w:tr>
      <w:tr w:rsidR="009B0829" w:rsidRPr="009B0829" w:rsidTr="00433883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Heat pump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Rated heating capacity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MWth</w:t>
            </w:r>
            <w:proofErr w:type="spellEnd"/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Peak demand</w:t>
            </w:r>
          </w:p>
        </w:tc>
      </w:tr>
      <w:tr w:rsidR="009B0829" w:rsidRPr="009B0829" w:rsidTr="00433883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Absorption chiller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COP (cooling)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Single-effect </w:t>
            </w: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LiBr</w:t>
            </w:r>
            <w:proofErr w:type="spellEnd"/>
          </w:p>
        </w:tc>
      </w:tr>
      <w:tr w:rsidR="009B0829" w:rsidRPr="009B0829" w:rsidTr="00433883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Absorption chiller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Rated cooling capacity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MWth</w:t>
            </w:r>
            <w:proofErr w:type="spellEnd"/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Summer peak</w:t>
            </w:r>
          </w:p>
        </w:tc>
      </w:tr>
      <w:tr w:rsidR="009B0829" w:rsidRPr="009B0829" w:rsidTr="00433883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TES tank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Storage capacity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20 MWh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Stratified, 85 °C max</w:t>
            </w:r>
          </w:p>
        </w:tc>
      </w:tr>
      <w:tr w:rsidR="009B0829" w:rsidRPr="009B0829" w:rsidTr="00433883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TES tank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Round-trip efficiency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92 %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Insulated vessel</w:t>
            </w:r>
          </w:p>
        </w:tc>
      </w:tr>
    </w:tbl>
    <w:p w:rsidR="009B0829" w:rsidRPr="009B0829" w:rsidRDefault="009B0829" w:rsidP="00C10A26">
      <w:pPr>
        <w:spacing w:before="6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i/>
          <w:iCs/>
          <w:color w:val="BFBFBF"/>
          <w:sz w:val="24"/>
          <w:szCs w:val="24"/>
        </w:rPr>
        <w:lastRenderedPageBreak/>
        <w:t>Table 2. System component specifications and design parameters.</w:t>
      </w:r>
    </w:p>
    <w:p w:rsidR="009B0829" w:rsidRPr="009B0829" w:rsidRDefault="00156F9E" w:rsidP="00C10A26">
      <w:pPr>
        <w:pStyle w:val="Heading3"/>
        <w:spacing w:before="200" w:after="80" w:line="276" w:lineRule="auto"/>
        <w:jc w:val="both"/>
        <w:rPr>
          <w:rFonts w:ascii="Times New Roman" w:hAnsi="Times New Roman" w:cs="Times New Roman"/>
        </w:rPr>
      </w:pPr>
      <w:r w:rsidRPr="009B0829">
        <w:rPr>
          <w:rFonts w:ascii="Times New Roman" w:eastAsia="Arial" w:hAnsi="Times New Roman" w:cs="Times New Roman"/>
          <w:b/>
          <w:bCs/>
          <w:color w:val="1E7B8C"/>
        </w:rPr>
        <w:t>4.3 Annual</w:t>
      </w:r>
      <w:r w:rsidR="009B0829" w:rsidRPr="009B0829">
        <w:rPr>
          <w:rFonts w:ascii="Times New Roman" w:eastAsia="Arial" w:hAnsi="Times New Roman" w:cs="Times New Roman"/>
          <w:b/>
          <w:bCs/>
          <w:color w:val="1E7B8C"/>
        </w:rPr>
        <w:t xml:space="preserve"> Energy Delivery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120"/>
        <w:gridCol w:w="2120"/>
        <w:gridCol w:w="2000"/>
      </w:tblGrid>
      <w:tr w:rsidR="009B0829" w:rsidRPr="009B0829" w:rsidTr="00433883">
        <w:trPr>
          <w:tblHeader/>
        </w:trPr>
        <w:tc>
          <w:tcPr>
            <w:tcW w:w="312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Mode</w:t>
            </w:r>
          </w:p>
        </w:tc>
        <w:tc>
          <w:tcPr>
            <w:tcW w:w="212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Peak Capacity</w:t>
            </w:r>
          </w:p>
        </w:tc>
        <w:tc>
          <w:tcPr>
            <w:tcW w:w="212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Annual Output</w:t>
            </w:r>
          </w:p>
        </w:tc>
        <w:tc>
          <w:tcPr>
            <w:tcW w:w="200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Season</w:t>
            </w:r>
          </w:p>
        </w:tc>
      </w:tr>
      <w:tr w:rsidR="009B0829" w:rsidRPr="009B0829" w:rsidTr="00433883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Heating (heat pump + direct)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MWth</w:t>
            </w:r>
            <w:proofErr w:type="spellEnd"/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~52,500 MWh/</w:t>
            </w: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yr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Oct – Apr</w:t>
            </w:r>
          </w:p>
        </w:tc>
      </w:tr>
      <w:tr w:rsidR="009B0829" w:rsidRPr="009B0829" w:rsidTr="00433883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Cooling (absorption chiller)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MWth</w:t>
            </w:r>
            <w:proofErr w:type="spellEnd"/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~8,000 MWh/</w:t>
            </w: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yr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Jun – Aug</w:t>
            </w:r>
          </w:p>
        </w:tc>
      </w:tr>
      <w:tr w:rsidR="009B0829" w:rsidRPr="009B0829" w:rsidTr="00433883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Combined thermal output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MWth</w:t>
            </w:r>
            <w:proofErr w:type="spellEnd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 (peak)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~60,500 MWh/</w:t>
            </w: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yr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Full year</w:t>
            </w:r>
          </w:p>
        </w:tc>
      </w:tr>
    </w:tbl>
    <w:p w:rsidR="009B0829" w:rsidRPr="009B0829" w:rsidRDefault="009B0829" w:rsidP="00C10A26">
      <w:pPr>
        <w:spacing w:before="6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6F9E">
        <w:rPr>
          <w:rFonts w:ascii="Times New Roman" w:hAnsi="Times New Roman" w:cs="Times New Roman"/>
          <w:i/>
          <w:iCs/>
          <w:color w:val="BFBFBF"/>
        </w:rPr>
        <w:t>Table 3. Annual energy delivery summary. Annual outputs based on Utrecht load profile modelling</w:t>
      </w:r>
      <w:r w:rsidRPr="009B0829">
        <w:rPr>
          <w:rFonts w:ascii="Times New Roman" w:hAnsi="Times New Roman" w:cs="Times New Roman"/>
          <w:i/>
          <w:iCs/>
          <w:color w:val="BFBFBF"/>
          <w:sz w:val="24"/>
          <w:szCs w:val="24"/>
        </w:rPr>
        <w:t>.</w:t>
      </w:r>
    </w:p>
    <w:p w:rsidR="009B0829" w:rsidRPr="00156F9E" w:rsidRDefault="009B0829" w:rsidP="00C10A26">
      <w:pPr>
        <w:pStyle w:val="Heading1"/>
        <w:pBdr>
          <w:bottom w:val="single" w:sz="6" w:space="4" w:color="1E7B8C"/>
        </w:pBdr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156F9E">
        <w:rPr>
          <w:rFonts w:ascii="Times New Roman" w:hAnsi="Times New Roman" w:cs="Times New Roman"/>
          <w:sz w:val="36"/>
          <w:szCs w:val="36"/>
        </w:rPr>
        <w:t>5. Key Assumptions</w:t>
      </w:r>
    </w:p>
    <w:p w:rsidR="009B0829" w:rsidRPr="009B0829" w:rsidRDefault="00156F9E" w:rsidP="00C10A26">
      <w:pPr>
        <w:pStyle w:val="Heading3"/>
        <w:spacing w:before="200" w:after="80" w:line="276" w:lineRule="auto"/>
        <w:jc w:val="both"/>
        <w:rPr>
          <w:rFonts w:ascii="Times New Roman" w:hAnsi="Times New Roman" w:cs="Times New Roman"/>
        </w:rPr>
      </w:pPr>
      <w:r w:rsidRPr="009B0829">
        <w:rPr>
          <w:rFonts w:ascii="Times New Roman" w:eastAsia="Arial" w:hAnsi="Times New Roman" w:cs="Times New Roman"/>
          <w:b/>
          <w:bCs/>
          <w:color w:val="1E7B8C"/>
        </w:rPr>
        <w:t>5.1 Geological</w:t>
      </w:r>
      <w:r w:rsidR="009B0829" w:rsidRPr="009B0829">
        <w:rPr>
          <w:rFonts w:ascii="Times New Roman" w:eastAsia="Arial" w:hAnsi="Times New Roman" w:cs="Times New Roman"/>
          <w:b/>
          <w:bCs/>
          <w:color w:val="1E7B8C"/>
        </w:rPr>
        <w:t xml:space="preserve"> &amp; Reservoir Assumptions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Reservoir pressure is sufficient to sustain 150 m³/h without artificial lift for at least the initial 10-year operating period.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Reservoir porosity and permeability distributions are represented adequately by the ThermoGIS P90/P50/P10 statistics for the Utrecht area.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 xml:space="preserve">No significant fault or </w:t>
      </w:r>
      <w:proofErr w:type="spellStart"/>
      <w:r w:rsidRPr="009B0829">
        <w:rPr>
          <w:rFonts w:ascii="Times New Roman" w:hAnsi="Times New Roman" w:cs="Times New Roman"/>
          <w:sz w:val="24"/>
          <w:szCs w:val="24"/>
        </w:rPr>
        <w:t>compartmentalisation</w:t>
      </w:r>
      <w:proofErr w:type="spellEnd"/>
      <w:r w:rsidRPr="009B0829">
        <w:rPr>
          <w:rFonts w:ascii="Times New Roman" w:hAnsi="Times New Roman" w:cs="Times New Roman"/>
          <w:sz w:val="24"/>
          <w:szCs w:val="24"/>
        </w:rPr>
        <w:t xml:space="preserve"> between BLT-01 and JUT-01 that would impair hydraulic connectivity.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Thermal breakthrough time exceeds the 30-year economic analysis horizon at the assumed well spacing.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Reservoir temperature gradient assumed uniform at 31 °C/km (consistent with ThermoGIS regional value for Utrecht).</w:t>
      </w:r>
    </w:p>
    <w:p w:rsidR="009B0829" w:rsidRPr="009B0829" w:rsidRDefault="00156F9E" w:rsidP="00C10A26">
      <w:pPr>
        <w:pStyle w:val="Heading3"/>
        <w:spacing w:before="200" w:after="80" w:line="276" w:lineRule="auto"/>
        <w:jc w:val="both"/>
        <w:rPr>
          <w:rFonts w:ascii="Times New Roman" w:hAnsi="Times New Roman" w:cs="Times New Roman"/>
        </w:rPr>
      </w:pPr>
      <w:r w:rsidRPr="009B0829">
        <w:rPr>
          <w:rFonts w:ascii="Times New Roman" w:eastAsia="Arial" w:hAnsi="Times New Roman" w:cs="Times New Roman"/>
          <w:b/>
          <w:bCs/>
          <w:color w:val="1E7B8C"/>
        </w:rPr>
        <w:t>5.2 Engineering</w:t>
      </w:r>
      <w:r w:rsidR="009B0829" w:rsidRPr="009B0829">
        <w:rPr>
          <w:rFonts w:ascii="Times New Roman" w:eastAsia="Arial" w:hAnsi="Times New Roman" w:cs="Times New Roman"/>
          <w:b/>
          <w:bCs/>
          <w:color w:val="1E7B8C"/>
        </w:rPr>
        <w:t xml:space="preserve"> Assumptions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Wellbore heat losses estimated at 3 °C from reservoir to surface, giving a wellhead temperature of ~75 °C.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Surface pipework ΔT losses assumed at 2 °C, giving heat exchanger inlet at ~73 °C.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Heat pump COP of 4.0 is a conservative mid-range estimate for a brine-source heat pump at 73/35 °C source temperatures.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 xml:space="preserve">Absorption chiller COP of 0.7 assumes a single-effect </w:t>
      </w:r>
      <w:proofErr w:type="spellStart"/>
      <w:r w:rsidRPr="009B0829">
        <w:rPr>
          <w:rFonts w:ascii="Times New Roman" w:hAnsi="Times New Roman" w:cs="Times New Roman"/>
          <w:sz w:val="24"/>
          <w:szCs w:val="24"/>
        </w:rPr>
        <w:t>LiBr</w:t>
      </w:r>
      <w:proofErr w:type="spellEnd"/>
      <w:r w:rsidRPr="009B0829">
        <w:rPr>
          <w:rFonts w:ascii="Times New Roman" w:hAnsi="Times New Roman" w:cs="Times New Roman"/>
          <w:sz w:val="24"/>
          <w:szCs w:val="24"/>
        </w:rPr>
        <w:t xml:space="preserve"> machine driven at driving temperatures ≥80 °C.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TES self-discharge losses are 2 % per day (well-insulated tank at operating temperature).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System availability: 95 % for the geothermal plant, 92 % for the heat pump and absorption chiller.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Annual load shape derived from a representative Utrecht district heating and cooling demand profile.</w:t>
      </w:r>
    </w:p>
    <w:p w:rsidR="009B0829" w:rsidRPr="009B0829" w:rsidRDefault="00156F9E" w:rsidP="00C10A26">
      <w:pPr>
        <w:pStyle w:val="Heading3"/>
        <w:spacing w:before="200" w:after="80" w:line="276" w:lineRule="auto"/>
        <w:jc w:val="both"/>
        <w:rPr>
          <w:rFonts w:ascii="Times New Roman" w:hAnsi="Times New Roman" w:cs="Times New Roman"/>
        </w:rPr>
      </w:pPr>
      <w:r w:rsidRPr="009B0829">
        <w:rPr>
          <w:rFonts w:ascii="Times New Roman" w:eastAsia="Arial" w:hAnsi="Times New Roman" w:cs="Times New Roman"/>
          <w:b/>
          <w:bCs/>
          <w:color w:val="1E7B8C"/>
        </w:rPr>
        <w:lastRenderedPageBreak/>
        <w:t>5.3 Economic</w:t>
      </w:r>
      <w:r w:rsidR="009B0829" w:rsidRPr="009B0829">
        <w:rPr>
          <w:rFonts w:ascii="Times New Roman" w:eastAsia="Arial" w:hAnsi="Times New Roman" w:cs="Times New Roman"/>
          <w:b/>
          <w:bCs/>
          <w:color w:val="1E7B8C"/>
        </w:rPr>
        <w:t xml:space="preserve"> Assumptions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Project lifetime: 30 years.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Discount rate (WACC): 7 % (nominal, pre-tax).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Drilling and completion cost: €3.5 M per well; total €7 M for the doublet.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Surface plant capital expenditure (heat exchangers, heat pump, absorption chiller, TES, piping, controls): €4.5 M.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Total CAPEX: €11.5 M.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Annual OPEX: 2.5 % of CAPEX (€287,500/</w:t>
      </w:r>
      <w:proofErr w:type="spellStart"/>
      <w:r w:rsidRPr="009B0829">
        <w:rPr>
          <w:rFonts w:ascii="Times New Roman" w:hAnsi="Times New Roman" w:cs="Times New Roman"/>
          <w:sz w:val="24"/>
          <w:szCs w:val="24"/>
        </w:rPr>
        <w:t>yr</w:t>
      </w:r>
      <w:proofErr w:type="spellEnd"/>
      <w:r w:rsidRPr="009B0829">
        <w:rPr>
          <w:rFonts w:ascii="Times New Roman" w:hAnsi="Times New Roman" w:cs="Times New Roman"/>
          <w:sz w:val="24"/>
          <w:szCs w:val="24"/>
        </w:rPr>
        <w:t>), covering maintenance, monitoring, power costs, and insurance.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Electricity price for heat pump operation: €0.12/kWh (assumed fixed; sensitivity tested ±30 %).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No subsidy or SDE++ grant assumed in the base case; sensitivity case includes a €2/GJ production incentive.</w:t>
      </w:r>
    </w:p>
    <w:p w:rsidR="009B0829" w:rsidRPr="009B0829" w:rsidRDefault="009B0829" w:rsidP="00C10A26">
      <w:pPr>
        <w:pStyle w:val="ListParagraph"/>
        <w:numPr>
          <w:ilvl w:val="0"/>
          <w:numId w:val="1"/>
        </w:numPr>
        <w:spacing w:before="40" w:after="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Residual value at end of life: zero (conservative).</w:t>
      </w:r>
    </w:p>
    <w:p w:rsidR="009B0829" w:rsidRPr="009B0829" w:rsidRDefault="009B0829" w:rsidP="00C10A26">
      <w:pPr>
        <w:spacing w:before="8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B0829" w:rsidRPr="00156F9E" w:rsidRDefault="009B0829" w:rsidP="00C10A26">
      <w:pPr>
        <w:pStyle w:val="Heading1"/>
        <w:pBdr>
          <w:bottom w:val="single" w:sz="6" w:space="4" w:color="1E7B8C"/>
        </w:pBdr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156F9E">
        <w:rPr>
          <w:rFonts w:ascii="Times New Roman" w:hAnsi="Times New Roman" w:cs="Times New Roman"/>
          <w:sz w:val="36"/>
          <w:szCs w:val="36"/>
        </w:rPr>
        <w:t xml:space="preserve">6. Economic Analysis &amp; </w:t>
      </w:r>
      <w:proofErr w:type="spellStart"/>
      <w:r w:rsidRPr="00156F9E">
        <w:rPr>
          <w:rFonts w:ascii="Times New Roman" w:hAnsi="Times New Roman" w:cs="Times New Roman"/>
          <w:sz w:val="36"/>
          <w:szCs w:val="36"/>
        </w:rPr>
        <w:t>Levelized</w:t>
      </w:r>
      <w:proofErr w:type="spellEnd"/>
      <w:r w:rsidRPr="00156F9E">
        <w:rPr>
          <w:rFonts w:ascii="Times New Roman" w:hAnsi="Times New Roman" w:cs="Times New Roman"/>
          <w:sz w:val="36"/>
          <w:szCs w:val="36"/>
        </w:rPr>
        <w:t xml:space="preserve"> Cost of Energy</w:t>
      </w:r>
    </w:p>
    <w:p w:rsidR="009B0829" w:rsidRPr="009B0829" w:rsidRDefault="00156F9E" w:rsidP="00C10A26">
      <w:pPr>
        <w:pStyle w:val="Heading3"/>
        <w:spacing w:before="200" w:after="80" w:line="276" w:lineRule="auto"/>
        <w:jc w:val="both"/>
        <w:rPr>
          <w:rFonts w:ascii="Times New Roman" w:hAnsi="Times New Roman" w:cs="Times New Roman"/>
        </w:rPr>
      </w:pPr>
      <w:r w:rsidRPr="009B0829">
        <w:rPr>
          <w:rFonts w:ascii="Times New Roman" w:eastAsia="Arial" w:hAnsi="Times New Roman" w:cs="Times New Roman"/>
          <w:b/>
          <w:bCs/>
          <w:color w:val="1E7B8C"/>
        </w:rPr>
        <w:t>6.1 LCOE</w:t>
      </w:r>
      <w:r w:rsidR="009B0829" w:rsidRPr="009B0829">
        <w:rPr>
          <w:rFonts w:ascii="Times New Roman" w:eastAsia="Arial" w:hAnsi="Times New Roman" w:cs="Times New Roman"/>
          <w:b/>
          <w:bCs/>
          <w:color w:val="1E7B8C"/>
        </w:rPr>
        <w:t xml:space="preserve"> Methodology</w:t>
      </w:r>
    </w:p>
    <w:p w:rsidR="009B0829" w:rsidRPr="009B0829" w:rsidRDefault="009B0829" w:rsidP="00C10A26">
      <w:pPr>
        <w:spacing w:before="60" w:after="1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9B0829">
        <w:rPr>
          <w:rFonts w:ascii="Times New Roman" w:hAnsi="Times New Roman" w:cs="Times New Roman"/>
          <w:sz w:val="24"/>
          <w:szCs w:val="24"/>
        </w:rPr>
        <w:t>Levelized</w:t>
      </w:r>
      <w:proofErr w:type="spellEnd"/>
      <w:r w:rsidRPr="009B0829">
        <w:rPr>
          <w:rFonts w:ascii="Times New Roman" w:hAnsi="Times New Roman" w:cs="Times New Roman"/>
          <w:sz w:val="24"/>
          <w:szCs w:val="24"/>
        </w:rPr>
        <w:t xml:space="preserve"> Cost of Energy (LCOE) for thermal energy is calculated as:</w:t>
      </w:r>
    </w:p>
    <w:p w:rsidR="009B0829" w:rsidRPr="009B0829" w:rsidRDefault="009B0829" w:rsidP="00C10A26">
      <w:pPr>
        <w:spacing w:before="80" w:after="8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B0829">
        <w:rPr>
          <w:rFonts w:ascii="Times New Roman" w:eastAsia="Courier New" w:hAnsi="Times New Roman" w:cs="Times New Roman"/>
          <w:b/>
          <w:bCs/>
          <w:color w:val="1A3A5C"/>
          <w:sz w:val="24"/>
          <w:szCs w:val="24"/>
        </w:rPr>
        <w:t>LCOE  =</w:t>
      </w:r>
      <w:proofErr w:type="gramEnd"/>
      <w:r w:rsidRPr="009B0829">
        <w:rPr>
          <w:rFonts w:ascii="Times New Roman" w:eastAsia="Courier New" w:hAnsi="Times New Roman" w:cs="Times New Roman"/>
          <w:b/>
          <w:bCs/>
          <w:color w:val="1A3A5C"/>
          <w:sz w:val="24"/>
          <w:szCs w:val="24"/>
        </w:rPr>
        <w:t xml:space="preserve">  [CAPEX × CRF + OPEX] / Annual Energy Output (GJ/</w:t>
      </w:r>
      <w:proofErr w:type="spellStart"/>
      <w:r w:rsidRPr="009B0829">
        <w:rPr>
          <w:rFonts w:ascii="Times New Roman" w:eastAsia="Courier New" w:hAnsi="Times New Roman" w:cs="Times New Roman"/>
          <w:b/>
          <w:bCs/>
          <w:color w:val="1A3A5C"/>
          <w:sz w:val="24"/>
          <w:szCs w:val="24"/>
        </w:rPr>
        <w:t>yr</w:t>
      </w:r>
      <w:proofErr w:type="spellEnd"/>
      <w:r w:rsidRPr="009B0829">
        <w:rPr>
          <w:rFonts w:ascii="Times New Roman" w:eastAsia="Courier New" w:hAnsi="Times New Roman" w:cs="Times New Roman"/>
          <w:b/>
          <w:bCs/>
          <w:color w:val="1A3A5C"/>
          <w:sz w:val="24"/>
          <w:szCs w:val="24"/>
        </w:rPr>
        <w:t>)</w:t>
      </w:r>
    </w:p>
    <w:p w:rsidR="009B0829" w:rsidRPr="009B0829" w:rsidRDefault="009B0829" w:rsidP="00C10A26">
      <w:pPr>
        <w:spacing w:before="60" w:after="1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Where the Capital Recovery Factor (CRF) is defined as:</w:t>
      </w:r>
    </w:p>
    <w:p w:rsidR="009B0829" w:rsidRPr="009B0829" w:rsidRDefault="009B0829" w:rsidP="00C10A26">
      <w:pPr>
        <w:spacing w:before="80" w:after="8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eastAsia="Courier New" w:hAnsi="Times New Roman" w:cs="Times New Roman"/>
          <w:b/>
          <w:bCs/>
          <w:color w:val="1A3A5C"/>
          <w:sz w:val="24"/>
          <w:szCs w:val="24"/>
        </w:rPr>
        <w:t>CRF = r(1+</w:t>
      </w:r>
      <w:proofErr w:type="gramStart"/>
      <w:r w:rsidRPr="009B0829">
        <w:rPr>
          <w:rFonts w:ascii="Times New Roman" w:eastAsia="Courier New" w:hAnsi="Times New Roman" w:cs="Times New Roman"/>
          <w:b/>
          <w:bCs/>
          <w:color w:val="1A3A5C"/>
          <w:sz w:val="24"/>
          <w:szCs w:val="24"/>
        </w:rPr>
        <w:t>r)ⁿ</w:t>
      </w:r>
      <w:proofErr w:type="gramEnd"/>
      <w:r w:rsidRPr="009B0829">
        <w:rPr>
          <w:rFonts w:ascii="Times New Roman" w:eastAsia="Courier New" w:hAnsi="Times New Roman" w:cs="Times New Roman"/>
          <w:b/>
          <w:bCs/>
          <w:color w:val="1A3A5C"/>
          <w:sz w:val="24"/>
          <w:szCs w:val="24"/>
        </w:rPr>
        <w:t xml:space="preserve"> / [(1+r)ⁿ − 1]  ;  r = 0.07 ,  n = 30 years</w:t>
      </w:r>
    </w:p>
    <w:p w:rsidR="009B0829" w:rsidRPr="009B0829" w:rsidRDefault="009B0829" w:rsidP="00C10A26">
      <w:pPr>
        <w:spacing w:before="60" w:after="1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 xml:space="preserve">The LCOE calculation follows the competition-provided Excel model structure, with inputs derived from the </w:t>
      </w:r>
      <w:r w:rsidR="00156F9E" w:rsidRPr="009B0829">
        <w:rPr>
          <w:rFonts w:ascii="Times New Roman" w:hAnsi="Times New Roman" w:cs="Times New Roman"/>
          <w:sz w:val="24"/>
          <w:szCs w:val="24"/>
        </w:rPr>
        <w:t>petro physical</w:t>
      </w:r>
      <w:r w:rsidRPr="009B0829">
        <w:rPr>
          <w:rFonts w:ascii="Times New Roman" w:hAnsi="Times New Roman" w:cs="Times New Roman"/>
          <w:sz w:val="24"/>
          <w:szCs w:val="24"/>
        </w:rPr>
        <w:t xml:space="preserve"> assessment and system design.</w:t>
      </w:r>
    </w:p>
    <w:p w:rsidR="009B0829" w:rsidRPr="009B0829" w:rsidRDefault="00156F9E" w:rsidP="00C10A26">
      <w:pPr>
        <w:pStyle w:val="Heading3"/>
        <w:spacing w:before="200" w:after="80" w:line="276" w:lineRule="auto"/>
        <w:jc w:val="both"/>
        <w:rPr>
          <w:rFonts w:ascii="Times New Roman" w:hAnsi="Times New Roman" w:cs="Times New Roman"/>
        </w:rPr>
      </w:pPr>
      <w:r w:rsidRPr="009B0829">
        <w:rPr>
          <w:rFonts w:ascii="Times New Roman" w:eastAsia="Arial" w:hAnsi="Times New Roman" w:cs="Times New Roman"/>
          <w:b/>
          <w:bCs/>
          <w:color w:val="1E7B8C"/>
        </w:rPr>
        <w:t>6.2 LCOE</w:t>
      </w:r>
      <w:r w:rsidR="009B0829" w:rsidRPr="009B0829">
        <w:rPr>
          <w:rFonts w:ascii="Times New Roman" w:eastAsia="Arial" w:hAnsi="Times New Roman" w:cs="Times New Roman"/>
          <w:b/>
          <w:bCs/>
          <w:color w:val="1E7B8C"/>
        </w:rPr>
        <w:t xml:space="preserve">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80"/>
        <w:gridCol w:w="2080"/>
        <w:gridCol w:w="2000"/>
      </w:tblGrid>
      <w:tr w:rsidR="009B0829" w:rsidRPr="009B0829" w:rsidTr="00433883">
        <w:trPr>
          <w:tblHeader/>
        </w:trPr>
        <w:tc>
          <w:tcPr>
            <w:tcW w:w="320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Scenario</w:t>
            </w:r>
          </w:p>
        </w:tc>
        <w:tc>
          <w:tcPr>
            <w:tcW w:w="208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CAPEX (M€)</w:t>
            </w:r>
          </w:p>
        </w:tc>
        <w:tc>
          <w:tcPr>
            <w:tcW w:w="208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OPEX/</w:t>
            </w:r>
            <w:proofErr w:type="spellStart"/>
            <w:r w:rsidRPr="009B082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yr</w:t>
            </w:r>
            <w:proofErr w:type="spellEnd"/>
            <w:r w:rsidRPr="009B082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(€ k)</w:t>
            </w:r>
          </w:p>
        </w:tc>
        <w:tc>
          <w:tcPr>
            <w:tcW w:w="200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LCOE (€/GJ)</w:t>
            </w:r>
          </w:p>
        </w:tc>
      </w:tr>
      <w:tr w:rsidR="009B0829" w:rsidRPr="009B0829" w:rsidTr="00433883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P90 (conservative)</w:t>
            </w:r>
          </w:p>
        </w:tc>
        <w:tc>
          <w:tcPr>
            <w:tcW w:w="2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11.5</w:t>
            </w:r>
          </w:p>
        </w:tc>
        <w:tc>
          <w:tcPr>
            <w:tcW w:w="2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287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10.8</w:t>
            </w:r>
          </w:p>
        </w:tc>
      </w:tr>
      <w:tr w:rsidR="009B0829" w:rsidRPr="009B0829" w:rsidTr="00433883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P50 (base case)</w:t>
            </w:r>
          </w:p>
        </w:tc>
        <w:tc>
          <w:tcPr>
            <w:tcW w:w="2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11.5</w:t>
            </w:r>
          </w:p>
        </w:tc>
        <w:tc>
          <w:tcPr>
            <w:tcW w:w="2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287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7.9</w:t>
            </w:r>
          </w:p>
        </w:tc>
      </w:tr>
      <w:tr w:rsidR="009B0829" w:rsidRPr="009B0829" w:rsidTr="00433883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P10 (optimistic)</w:t>
            </w:r>
          </w:p>
        </w:tc>
        <w:tc>
          <w:tcPr>
            <w:tcW w:w="2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11.5</w:t>
            </w:r>
          </w:p>
        </w:tc>
        <w:tc>
          <w:tcPr>
            <w:tcW w:w="2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287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</w:p>
        </w:tc>
      </w:tr>
      <w:tr w:rsidR="009B0829" w:rsidRPr="009B0829" w:rsidTr="00433883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P50 + SDE++ subsidy</w:t>
            </w:r>
          </w:p>
        </w:tc>
        <w:tc>
          <w:tcPr>
            <w:tcW w:w="2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11.5</w:t>
            </w:r>
          </w:p>
        </w:tc>
        <w:tc>
          <w:tcPr>
            <w:tcW w:w="2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287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5.9</w:t>
            </w:r>
          </w:p>
        </w:tc>
      </w:tr>
    </w:tbl>
    <w:p w:rsidR="009B0829" w:rsidRPr="009B0829" w:rsidRDefault="009B0829" w:rsidP="00C10A26">
      <w:pPr>
        <w:spacing w:before="6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6F9E">
        <w:rPr>
          <w:rFonts w:ascii="Times New Roman" w:hAnsi="Times New Roman" w:cs="Times New Roman"/>
          <w:i/>
          <w:iCs/>
          <w:color w:val="BFBFBF"/>
          <w:sz w:val="24"/>
          <w:szCs w:val="24"/>
        </w:rPr>
        <w:t>Table 4. LCOE summary across probabilistic scenarios. Dutch conventional gas-based district heat benchmark: ~10–14 €/GJ.</w:t>
      </w:r>
    </w:p>
    <w:p w:rsidR="009B0829" w:rsidRPr="009B0829" w:rsidRDefault="00156F9E" w:rsidP="00C10A26">
      <w:pPr>
        <w:pStyle w:val="Heading3"/>
        <w:spacing w:before="200" w:after="80" w:line="276" w:lineRule="auto"/>
        <w:jc w:val="both"/>
        <w:rPr>
          <w:rFonts w:ascii="Times New Roman" w:hAnsi="Times New Roman" w:cs="Times New Roman"/>
        </w:rPr>
      </w:pPr>
      <w:r w:rsidRPr="009B0829">
        <w:rPr>
          <w:rFonts w:ascii="Times New Roman" w:eastAsia="Arial" w:hAnsi="Times New Roman" w:cs="Times New Roman"/>
          <w:b/>
          <w:bCs/>
          <w:color w:val="1E7B8C"/>
        </w:rPr>
        <w:lastRenderedPageBreak/>
        <w:t>6.3 Sensitivity</w:t>
      </w:r>
      <w:r w:rsidR="009B0829" w:rsidRPr="009B0829">
        <w:rPr>
          <w:rFonts w:ascii="Times New Roman" w:eastAsia="Arial" w:hAnsi="Times New Roman" w:cs="Times New Roman"/>
          <w:b/>
          <w:bCs/>
          <w:color w:val="1E7B8C"/>
        </w:rPr>
        <w:t xml:space="preserve"> Analysis</w:t>
      </w:r>
    </w:p>
    <w:p w:rsidR="009B0829" w:rsidRPr="009B0829" w:rsidRDefault="009B0829" w:rsidP="00C10A26">
      <w:pPr>
        <w:spacing w:before="60" w:after="1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>A tornado-chart sensitivity analysis was performed on the P50 base-case LCOE. The five most influential parameters, ranked by impact, are: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9"/>
        <w:gridCol w:w="1791"/>
        <w:gridCol w:w="2120"/>
        <w:gridCol w:w="2120"/>
      </w:tblGrid>
      <w:tr w:rsidR="009B0829" w:rsidRPr="009B0829" w:rsidTr="00156F9E">
        <w:trPr>
          <w:tblHeader/>
        </w:trPr>
        <w:tc>
          <w:tcPr>
            <w:tcW w:w="3329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Parameter</w:t>
            </w:r>
          </w:p>
        </w:tc>
        <w:tc>
          <w:tcPr>
            <w:tcW w:w="1791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Low Case LCOE</w:t>
            </w:r>
          </w:p>
        </w:tc>
        <w:tc>
          <w:tcPr>
            <w:tcW w:w="212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Base LCOE</w:t>
            </w:r>
          </w:p>
        </w:tc>
        <w:tc>
          <w:tcPr>
            <w:tcW w:w="212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High Case LCOE</w:t>
            </w:r>
          </w:p>
        </w:tc>
      </w:tr>
      <w:tr w:rsidR="009B0829" w:rsidRPr="009B0829" w:rsidTr="00156F9E">
        <w:tc>
          <w:tcPr>
            <w:tcW w:w="33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Flowrate (± 30 %)</w:t>
            </w:r>
          </w:p>
        </w:tc>
        <w:tc>
          <w:tcPr>
            <w:tcW w:w="179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5.8 €/GJ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7.9 €/GJ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11.4 €/GJ</w:t>
            </w:r>
          </w:p>
        </w:tc>
      </w:tr>
      <w:tr w:rsidR="009B0829" w:rsidRPr="009B0829" w:rsidTr="00156F9E">
        <w:tc>
          <w:tcPr>
            <w:tcW w:w="33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Drilling CAPEX (± 25 %)</w:t>
            </w:r>
          </w:p>
        </w:tc>
        <w:tc>
          <w:tcPr>
            <w:tcW w:w="179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6.9 €/GJ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7.9 €/GJ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9.2 €/GJ</w:t>
            </w:r>
          </w:p>
        </w:tc>
      </w:tr>
      <w:tr w:rsidR="009B0829" w:rsidRPr="009B0829" w:rsidTr="00156F9E">
        <w:tc>
          <w:tcPr>
            <w:tcW w:w="33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Electricity price (± 30 %)</w:t>
            </w:r>
          </w:p>
        </w:tc>
        <w:tc>
          <w:tcPr>
            <w:tcW w:w="179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7.1 €/GJ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7.9 €/GJ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8.9 €/GJ</w:t>
            </w:r>
          </w:p>
        </w:tc>
      </w:tr>
      <w:tr w:rsidR="009B0829" w:rsidRPr="009B0829" w:rsidTr="00156F9E">
        <w:tc>
          <w:tcPr>
            <w:tcW w:w="33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Reservoir temperature (± 5 °C)</w:t>
            </w:r>
          </w:p>
        </w:tc>
        <w:tc>
          <w:tcPr>
            <w:tcW w:w="179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8.7 €/GJ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7.9 €/GJ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7.1 €/GJ</w:t>
            </w:r>
          </w:p>
        </w:tc>
      </w:tr>
      <w:tr w:rsidR="009B0829" w:rsidRPr="009B0829" w:rsidTr="00156F9E">
        <w:tc>
          <w:tcPr>
            <w:tcW w:w="332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Discount rate (± 2 %)</w:t>
            </w:r>
          </w:p>
        </w:tc>
        <w:tc>
          <w:tcPr>
            <w:tcW w:w="179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7.1 €/GJ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7.9 €/GJ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8.9 €/GJ</w:t>
            </w:r>
          </w:p>
        </w:tc>
      </w:tr>
    </w:tbl>
    <w:p w:rsidR="009B0829" w:rsidRPr="009B0829" w:rsidRDefault="009B0829" w:rsidP="00C10A26">
      <w:pPr>
        <w:spacing w:before="6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i/>
          <w:iCs/>
          <w:color w:val="BFBFBF"/>
          <w:sz w:val="24"/>
          <w:szCs w:val="24"/>
        </w:rPr>
        <w:t>Table 5. Tornado sensitivity results. Flowrate is the dominant driver of LCOE uncertainty.</w:t>
      </w:r>
    </w:p>
    <w:p w:rsidR="009B0829" w:rsidRPr="009B0829" w:rsidRDefault="009B0829" w:rsidP="00C10A26">
      <w:pPr>
        <w:spacing w:before="60" w:after="1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 xml:space="preserve">Flowrate is by far the most sensitive parameter because it governs the annual energy output directly. This underscores the importance of reservoir permeability </w:t>
      </w:r>
      <w:proofErr w:type="spellStart"/>
      <w:r w:rsidRPr="009B0829">
        <w:rPr>
          <w:rFonts w:ascii="Times New Roman" w:hAnsi="Times New Roman" w:cs="Times New Roman"/>
          <w:sz w:val="24"/>
          <w:szCs w:val="24"/>
        </w:rPr>
        <w:t>characterisation</w:t>
      </w:r>
      <w:proofErr w:type="spellEnd"/>
      <w:r w:rsidRPr="009B0829">
        <w:rPr>
          <w:rFonts w:ascii="Times New Roman" w:hAnsi="Times New Roman" w:cs="Times New Roman"/>
          <w:sz w:val="24"/>
          <w:szCs w:val="24"/>
        </w:rPr>
        <w:t xml:space="preserve"> and well completion quality in determining project economics.</w:t>
      </w:r>
    </w:p>
    <w:p w:rsidR="009B0829" w:rsidRPr="009B0829" w:rsidRDefault="009B0829" w:rsidP="00C10A26">
      <w:pPr>
        <w:spacing w:before="8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B0829" w:rsidRPr="00156F9E" w:rsidRDefault="009B0829" w:rsidP="00C10A26">
      <w:pPr>
        <w:pStyle w:val="Heading1"/>
        <w:pBdr>
          <w:bottom w:val="single" w:sz="6" w:space="4" w:color="1E7B8C"/>
        </w:pBdr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156F9E">
        <w:rPr>
          <w:rFonts w:ascii="Times New Roman" w:hAnsi="Times New Roman" w:cs="Times New Roman"/>
          <w:sz w:val="36"/>
          <w:szCs w:val="36"/>
        </w:rPr>
        <w:t>7. External Datasets &amp;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3600"/>
        <w:gridCol w:w="3421"/>
      </w:tblGrid>
      <w:tr w:rsidR="009B0829" w:rsidRPr="009B0829" w:rsidTr="00156F9E">
        <w:trPr>
          <w:tblHeader/>
        </w:trPr>
        <w:tc>
          <w:tcPr>
            <w:tcW w:w="2339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Resource</w:t>
            </w:r>
          </w:p>
        </w:tc>
        <w:tc>
          <w:tcPr>
            <w:tcW w:w="360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3421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Usage</w:t>
            </w:r>
          </w:p>
        </w:tc>
      </w:tr>
      <w:tr w:rsidR="009B0829" w:rsidRPr="009B0829" w:rsidTr="00156F9E">
        <w:tc>
          <w:tcPr>
            <w:tcW w:w="233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ThermoGIS (TNO)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National geothermal potential atlas for the Netherlands; P90/P50/P10 porosity, temperature, permeability statistics</w:t>
            </w:r>
          </w:p>
        </w:tc>
        <w:tc>
          <w:tcPr>
            <w:tcW w:w="342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Reservoir parameter distributions for probabilistic scenarios</w:t>
            </w:r>
          </w:p>
        </w:tc>
      </w:tr>
      <w:tr w:rsidR="009B0829" w:rsidRPr="009B0829" w:rsidTr="00156F9E">
        <w:tc>
          <w:tcPr>
            <w:tcW w:w="233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LAS well log files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4 wells: GR, RHOB, NPHI, RT, caliper logs; depth-indexed</w:t>
            </w:r>
          </w:p>
        </w:tc>
        <w:tc>
          <w:tcPr>
            <w:tcW w:w="342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Petrophysical</w:t>
            </w:r>
            <w:proofErr w:type="spellEnd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 analysis and formation evaluation</w:t>
            </w:r>
          </w:p>
        </w:tc>
      </w:tr>
      <w:tr w:rsidR="009B0829" w:rsidRPr="009B0829" w:rsidTr="00156F9E">
        <w:tc>
          <w:tcPr>
            <w:tcW w:w="233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Lithostratigraphic column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Formation tops and lithological descriptions per well</w:t>
            </w:r>
          </w:p>
        </w:tc>
        <w:tc>
          <w:tcPr>
            <w:tcW w:w="342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Slochteren interval identification and log slicing</w:t>
            </w:r>
          </w:p>
        </w:tc>
      </w:tr>
      <w:tr w:rsidR="009B0829" w:rsidRPr="009B0829" w:rsidTr="00156F9E">
        <w:tc>
          <w:tcPr>
            <w:tcW w:w="233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Well path / deviation surveys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Measured depth vs TVD vs azimuth tables</w:t>
            </w:r>
          </w:p>
        </w:tc>
        <w:tc>
          <w:tcPr>
            <w:tcW w:w="342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TVD depth corrections for pressure and temperature calculations</w:t>
            </w:r>
          </w:p>
        </w:tc>
      </w:tr>
      <w:tr w:rsidR="009B0829" w:rsidRPr="009B0829" w:rsidTr="00156F9E">
        <w:tc>
          <w:tcPr>
            <w:tcW w:w="233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Competition LCOE Excel model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Pre-configured spreadsheet with CAPEX/OPEX template and CRF formula</w:t>
            </w:r>
          </w:p>
        </w:tc>
        <w:tc>
          <w:tcPr>
            <w:tcW w:w="342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Economic benchmarking and LCOE calculation</w:t>
            </w:r>
          </w:p>
        </w:tc>
      </w:tr>
      <w:tr w:rsidR="009B0829" w:rsidRPr="009B0829" w:rsidTr="00156F9E">
        <w:tc>
          <w:tcPr>
            <w:tcW w:w="233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Python / </w:t>
            </w: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lasio</w:t>
            </w:r>
            <w:proofErr w:type="spellEnd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 library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Open-source LAS file reader (v0.31+)</w:t>
            </w:r>
          </w:p>
        </w:tc>
        <w:tc>
          <w:tcPr>
            <w:tcW w:w="342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LAS ingestion and log parsing</w:t>
            </w:r>
          </w:p>
        </w:tc>
      </w:tr>
      <w:tr w:rsidR="009B0829" w:rsidRPr="009B0829" w:rsidTr="00156F9E">
        <w:tc>
          <w:tcPr>
            <w:tcW w:w="233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SciPy</w:t>
            </w:r>
            <w:proofErr w:type="spellEnd"/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Standard scientific Python stack</w:t>
            </w:r>
          </w:p>
        </w:tc>
        <w:tc>
          <w:tcPr>
            <w:tcW w:w="342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156F9E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Petro physical</w:t>
            </w:r>
            <w:r w:rsidR="009B0829"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 plots, </w:t>
            </w:r>
            <w:proofErr w:type="spellStart"/>
            <w:r w:rsidR="009B0829" w:rsidRPr="009B0829">
              <w:rPr>
                <w:rFonts w:ascii="Times New Roman" w:hAnsi="Times New Roman" w:cs="Times New Roman"/>
                <w:sz w:val="24"/>
                <w:szCs w:val="24"/>
              </w:rPr>
              <w:t>crossplots</w:t>
            </w:r>
            <w:proofErr w:type="spellEnd"/>
            <w:r w:rsidR="009B0829" w:rsidRPr="009B0829">
              <w:rPr>
                <w:rFonts w:ascii="Times New Roman" w:hAnsi="Times New Roman" w:cs="Times New Roman"/>
                <w:sz w:val="24"/>
                <w:szCs w:val="24"/>
              </w:rPr>
              <w:t>, system diagrams</w:t>
            </w:r>
          </w:p>
        </w:tc>
      </w:tr>
    </w:tbl>
    <w:p w:rsidR="009B0829" w:rsidRPr="009B0829" w:rsidRDefault="009B0829" w:rsidP="00C10A26">
      <w:pPr>
        <w:spacing w:before="60"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i/>
          <w:iCs/>
          <w:color w:val="BFBFBF"/>
          <w:sz w:val="24"/>
          <w:szCs w:val="24"/>
        </w:rPr>
        <w:t>Table 6. External datasets and software tools used in this assessment.</w:t>
      </w:r>
    </w:p>
    <w:p w:rsidR="009B0829" w:rsidRPr="009B0829" w:rsidRDefault="009B0829" w:rsidP="00C10A26">
      <w:pPr>
        <w:spacing w:before="8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B0829" w:rsidRPr="00156F9E" w:rsidRDefault="009B0829" w:rsidP="00C10A26">
      <w:pPr>
        <w:pStyle w:val="Heading1"/>
        <w:pBdr>
          <w:bottom w:val="single" w:sz="6" w:space="4" w:color="1E7B8C"/>
        </w:pBdr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156F9E">
        <w:rPr>
          <w:rFonts w:ascii="Times New Roman" w:hAnsi="Times New Roman" w:cs="Times New Roman"/>
          <w:sz w:val="36"/>
          <w:szCs w:val="36"/>
        </w:rPr>
        <w:t>8. Results Summary &amp; Recommendations</w:t>
      </w:r>
    </w:p>
    <w:p w:rsidR="009B0829" w:rsidRPr="009B0829" w:rsidRDefault="00156F9E" w:rsidP="00C10A26">
      <w:pPr>
        <w:pStyle w:val="Heading3"/>
        <w:spacing w:before="200" w:after="80" w:line="276" w:lineRule="auto"/>
        <w:jc w:val="both"/>
        <w:rPr>
          <w:rFonts w:ascii="Times New Roman" w:hAnsi="Times New Roman" w:cs="Times New Roman"/>
        </w:rPr>
      </w:pPr>
      <w:r w:rsidRPr="009B0829">
        <w:rPr>
          <w:rFonts w:ascii="Times New Roman" w:eastAsia="Arial" w:hAnsi="Times New Roman" w:cs="Times New Roman"/>
          <w:b/>
          <w:bCs/>
          <w:color w:val="1E7B8C"/>
        </w:rPr>
        <w:t>8.1 Key</w:t>
      </w:r>
      <w:r w:rsidR="009B0829" w:rsidRPr="009B0829">
        <w:rPr>
          <w:rFonts w:ascii="Times New Roman" w:eastAsia="Arial" w:hAnsi="Times New Roman" w:cs="Times New Roman"/>
          <w:b/>
          <w:bCs/>
          <w:color w:val="1E7B8C"/>
        </w:rPr>
        <w:t xml:space="preserve">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B0829" w:rsidRPr="009B0829" w:rsidTr="00433883">
        <w:tc>
          <w:tcPr>
            <w:tcW w:w="468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B0829" w:rsidRPr="009B0829" w:rsidRDefault="009B0829" w:rsidP="00C10A26">
            <w:pPr>
              <w:spacing w:after="8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b/>
                <w:bCs/>
                <w:color w:val="1A3A5C"/>
                <w:sz w:val="24"/>
                <w:szCs w:val="24"/>
              </w:rPr>
              <w:t>Resource Assessment</w:t>
            </w:r>
          </w:p>
          <w:p w:rsidR="009B0829" w:rsidRPr="009B0829" w:rsidRDefault="009B0829" w:rsidP="00C10A26">
            <w:pPr>
              <w:pStyle w:val="ListParagraph"/>
              <w:numPr>
                <w:ilvl w:val="0"/>
                <w:numId w:val="1"/>
              </w:numPr>
              <w:spacing w:before="40"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P50 thermal power: 8.2 </w:t>
            </w: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MWth</w:t>
            </w:r>
            <w:proofErr w:type="spellEnd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 (BLT+JUT combined)</w:t>
            </w:r>
          </w:p>
          <w:p w:rsidR="009B0829" w:rsidRPr="009B0829" w:rsidRDefault="009B0829" w:rsidP="00C10A26">
            <w:pPr>
              <w:pStyle w:val="ListParagraph"/>
              <w:numPr>
                <w:ilvl w:val="0"/>
                <w:numId w:val="1"/>
              </w:numPr>
              <w:spacing w:before="40"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Viable wells: BLT-01 and JUT-01</w:t>
            </w:r>
          </w:p>
          <w:p w:rsidR="009B0829" w:rsidRPr="009B0829" w:rsidRDefault="009B0829" w:rsidP="00C10A26">
            <w:pPr>
              <w:pStyle w:val="ListParagraph"/>
              <w:numPr>
                <w:ilvl w:val="0"/>
                <w:numId w:val="1"/>
              </w:numPr>
              <w:spacing w:before="40"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Non-viable: EVD-01 and PKP-01</w:t>
            </w:r>
          </w:p>
          <w:p w:rsidR="009B0829" w:rsidRPr="009B0829" w:rsidRDefault="00156F9E" w:rsidP="00C10A26">
            <w:pPr>
              <w:pStyle w:val="ListParagraph"/>
              <w:numPr>
                <w:ilvl w:val="0"/>
                <w:numId w:val="1"/>
              </w:numPr>
              <w:spacing w:before="40"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Reservoir temperature: ~75 °C</w:t>
            </w:r>
            <w:r w:rsidR="00C10A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0829" w:rsidRPr="009B0829">
              <w:rPr>
                <w:rFonts w:ascii="Times New Roman" w:hAnsi="Times New Roman" w:cs="Times New Roman"/>
                <w:sz w:val="24"/>
                <w:szCs w:val="24"/>
              </w:rPr>
              <w:t>at wellhead</w:t>
            </w:r>
          </w:p>
        </w:tc>
        <w:tc>
          <w:tcPr>
            <w:tcW w:w="468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B0829" w:rsidRPr="009B0829" w:rsidRDefault="009B0829" w:rsidP="00C10A26">
            <w:pPr>
              <w:spacing w:after="8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b/>
                <w:bCs/>
                <w:color w:val="1A3A5C"/>
                <w:sz w:val="24"/>
                <w:szCs w:val="24"/>
              </w:rPr>
              <w:t>System Performance</w:t>
            </w:r>
          </w:p>
          <w:p w:rsidR="009B0829" w:rsidRPr="009B0829" w:rsidRDefault="009B0829" w:rsidP="00C10A26">
            <w:pPr>
              <w:pStyle w:val="ListParagraph"/>
              <w:numPr>
                <w:ilvl w:val="0"/>
                <w:numId w:val="1"/>
              </w:numPr>
              <w:spacing w:before="40" w:after="4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Heating capacity: 10 </w:t>
            </w: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MWth</w:t>
            </w:r>
            <w:proofErr w:type="spellEnd"/>
          </w:p>
          <w:p w:rsidR="009B0829" w:rsidRPr="009B0829" w:rsidRDefault="009B0829" w:rsidP="00C10A26">
            <w:pPr>
              <w:pStyle w:val="ListParagraph"/>
              <w:numPr>
                <w:ilvl w:val="0"/>
                <w:numId w:val="1"/>
              </w:numPr>
              <w:spacing w:before="40" w:after="4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Cooling capacity: 5 </w:t>
            </w: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MWth</w:t>
            </w:r>
            <w:proofErr w:type="spellEnd"/>
          </w:p>
          <w:p w:rsidR="009B0829" w:rsidRPr="009B0829" w:rsidRDefault="009B0829" w:rsidP="00C10A26">
            <w:pPr>
              <w:pStyle w:val="ListParagraph"/>
              <w:numPr>
                <w:ilvl w:val="0"/>
                <w:numId w:val="1"/>
              </w:numPr>
              <w:spacing w:before="40" w:after="4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TES buffer: 20 MWh</w:t>
            </w:r>
          </w:p>
          <w:p w:rsidR="009B0829" w:rsidRPr="009B0829" w:rsidRDefault="009B0829" w:rsidP="00C10A26">
            <w:pPr>
              <w:pStyle w:val="ListParagraph"/>
              <w:numPr>
                <w:ilvl w:val="0"/>
                <w:numId w:val="1"/>
              </w:numPr>
              <w:spacing w:before="40" w:after="4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Annual thermal output: ~60,500 MWh/</w:t>
            </w: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yr</w:t>
            </w:r>
            <w:proofErr w:type="spellEnd"/>
          </w:p>
        </w:tc>
      </w:tr>
      <w:tr w:rsidR="009B0829" w:rsidRPr="009B0829" w:rsidTr="00433883">
        <w:tc>
          <w:tcPr>
            <w:tcW w:w="468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F2F4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B0829" w:rsidRPr="009B0829" w:rsidRDefault="009B0829" w:rsidP="00C10A26">
            <w:pPr>
              <w:spacing w:after="8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b/>
                <w:bCs/>
                <w:color w:val="1A3A5C"/>
                <w:sz w:val="24"/>
                <w:szCs w:val="24"/>
              </w:rPr>
              <w:t>Economics</w:t>
            </w:r>
          </w:p>
          <w:p w:rsidR="009B0829" w:rsidRPr="009B0829" w:rsidRDefault="009B0829" w:rsidP="00C10A26">
            <w:pPr>
              <w:pStyle w:val="ListParagraph"/>
              <w:numPr>
                <w:ilvl w:val="0"/>
                <w:numId w:val="1"/>
              </w:numPr>
              <w:spacing w:before="40" w:after="4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LCOE (P50 base): 7.9 €/GJ</w:t>
            </w:r>
          </w:p>
          <w:p w:rsidR="009B0829" w:rsidRPr="009B0829" w:rsidRDefault="009B0829" w:rsidP="00C10A26">
            <w:pPr>
              <w:pStyle w:val="ListParagraph"/>
              <w:numPr>
                <w:ilvl w:val="0"/>
                <w:numId w:val="1"/>
              </w:numPr>
              <w:spacing w:before="40" w:after="4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LCOE range: 5.4 – 10.8 €/GJ</w:t>
            </w:r>
          </w:p>
          <w:p w:rsidR="009B0829" w:rsidRPr="009B0829" w:rsidRDefault="009B0829" w:rsidP="00C10A26">
            <w:pPr>
              <w:pStyle w:val="ListParagraph"/>
              <w:numPr>
                <w:ilvl w:val="0"/>
                <w:numId w:val="1"/>
              </w:numPr>
              <w:spacing w:before="40" w:after="4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Competitive vs gas-based heat (~10–14 €/GJ)</w:t>
            </w:r>
          </w:p>
          <w:p w:rsidR="009B0829" w:rsidRPr="009B0829" w:rsidRDefault="009B0829" w:rsidP="00C10A26">
            <w:pPr>
              <w:pStyle w:val="ListParagraph"/>
              <w:numPr>
                <w:ilvl w:val="0"/>
                <w:numId w:val="1"/>
              </w:numPr>
              <w:spacing w:before="40" w:after="4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Key risk driver: reservoir flowrate</w:t>
            </w:r>
          </w:p>
        </w:tc>
        <w:tc>
          <w:tcPr>
            <w:tcW w:w="468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F2F4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B0829" w:rsidRPr="009B0829" w:rsidRDefault="009B0829" w:rsidP="00C10A26">
            <w:pPr>
              <w:spacing w:after="8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b/>
                <w:bCs/>
                <w:color w:val="1A3A5C"/>
                <w:sz w:val="24"/>
                <w:szCs w:val="24"/>
              </w:rPr>
              <w:t>Recommended Next Steps</w:t>
            </w:r>
          </w:p>
          <w:p w:rsidR="009B0829" w:rsidRPr="009B0829" w:rsidRDefault="009B0829" w:rsidP="00C10A26">
            <w:pPr>
              <w:pStyle w:val="ListParagraph"/>
              <w:numPr>
                <w:ilvl w:val="0"/>
                <w:numId w:val="1"/>
              </w:numPr>
              <w:spacing w:before="40" w:after="4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Conduct pressure build-up test in BLT-01 &amp; JUT-01</w:t>
            </w:r>
          </w:p>
          <w:p w:rsidR="009B0829" w:rsidRPr="009B0829" w:rsidRDefault="009B0829" w:rsidP="00C10A26">
            <w:pPr>
              <w:pStyle w:val="ListParagraph"/>
              <w:numPr>
                <w:ilvl w:val="0"/>
                <w:numId w:val="1"/>
              </w:numPr>
              <w:spacing w:before="40" w:after="4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Reservoir simulation to confirm thermal breakthrough</w:t>
            </w:r>
          </w:p>
          <w:p w:rsidR="009B0829" w:rsidRPr="009B0829" w:rsidRDefault="009B0829" w:rsidP="00C10A26">
            <w:pPr>
              <w:pStyle w:val="ListParagraph"/>
              <w:numPr>
                <w:ilvl w:val="0"/>
                <w:numId w:val="1"/>
              </w:numPr>
              <w:spacing w:before="40" w:after="4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Detailed FEED for surface plant and TES sizing</w:t>
            </w:r>
          </w:p>
          <w:p w:rsidR="009B0829" w:rsidRPr="009B0829" w:rsidRDefault="009B0829" w:rsidP="00C10A26">
            <w:pPr>
              <w:pStyle w:val="ListParagraph"/>
              <w:numPr>
                <w:ilvl w:val="0"/>
                <w:numId w:val="1"/>
              </w:numPr>
              <w:spacing w:before="40" w:after="4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Engage SDE++ subsidy scheme</w:t>
            </w:r>
          </w:p>
        </w:tc>
      </w:tr>
    </w:tbl>
    <w:p w:rsidR="009B0829" w:rsidRPr="009B0829" w:rsidRDefault="009B0829" w:rsidP="00C10A26">
      <w:pPr>
        <w:spacing w:before="16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B0829" w:rsidRPr="009B0829" w:rsidRDefault="00156F9E" w:rsidP="00C10A26">
      <w:pPr>
        <w:pStyle w:val="Heading3"/>
        <w:spacing w:before="200" w:after="80" w:line="276" w:lineRule="auto"/>
        <w:jc w:val="both"/>
        <w:rPr>
          <w:rFonts w:ascii="Times New Roman" w:hAnsi="Times New Roman" w:cs="Times New Roman"/>
        </w:rPr>
      </w:pPr>
      <w:r w:rsidRPr="009B0829">
        <w:rPr>
          <w:rFonts w:ascii="Times New Roman" w:eastAsia="Arial" w:hAnsi="Times New Roman" w:cs="Times New Roman"/>
          <w:b/>
          <w:bCs/>
          <w:color w:val="1E7B8C"/>
        </w:rPr>
        <w:t>8.2 Conclusion</w:t>
      </w:r>
    </w:p>
    <w:p w:rsidR="009B0829" w:rsidRPr="009B0829" w:rsidRDefault="009B0829" w:rsidP="00C10A26">
      <w:pPr>
        <w:spacing w:before="60" w:after="1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sz w:val="24"/>
          <w:szCs w:val="24"/>
        </w:rPr>
        <w:t xml:space="preserve">The BLT-01 / JUT-01 doublet in the Rotliegend (Slochteren) Formation presents a technically sound and economically competitive basis for a geothermal district heating and cooling system in </w:t>
      </w:r>
      <w:r w:rsidRPr="009B0829">
        <w:rPr>
          <w:rFonts w:ascii="Times New Roman" w:hAnsi="Times New Roman" w:cs="Times New Roman"/>
          <w:sz w:val="24"/>
          <w:szCs w:val="24"/>
        </w:rPr>
        <w:lastRenderedPageBreak/>
        <w:t>the Utrecht region. The P50 base-case LCOE of 7.9 €/GJ is below the conventional gas-based district heat benchmark, a</w:t>
      </w:r>
      <w:r w:rsidR="00156F9E">
        <w:rPr>
          <w:rFonts w:ascii="Times New Roman" w:hAnsi="Times New Roman" w:cs="Times New Roman"/>
          <w:sz w:val="24"/>
          <w:szCs w:val="24"/>
        </w:rPr>
        <w:t xml:space="preserve">nd the proposed hybrid design </w:t>
      </w:r>
      <w:r w:rsidRPr="009B0829">
        <w:rPr>
          <w:rFonts w:ascii="Times New Roman" w:hAnsi="Times New Roman" w:cs="Times New Roman"/>
          <w:sz w:val="24"/>
          <w:szCs w:val="24"/>
        </w:rPr>
        <w:t>combining a geothermal heat pump, absorption chille</w:t>
      </w:r>
      <w:r w:rsidR="00156F9E">
        <w:rPr>
          <w:rFonts w:ascii="Times New Roman" w:hAnsi="Times New Roman" w:cs="Times New Roman"/>
          <w:sz w:val="24"/>
          <w:szCs w:val="24"/>
        </w:rPr>
        <w:t xml:space="preserve">r, and thermal energy storage </w:t>
      </w:r>
      <w:proofErr w:type="spellStart"/>
      <w:r w:rsidRPr="009B0829">
        <w:rPr>
          <w:rFonts w:ascii="Times New Roman" w:hAnsi="Times New Roman" w:cs="Times New Roman"/>
          <w:sz w:val="24"/>
          <w:szCs w:val="24"/>
        </w:rPr>
        <w:t>maximises</w:t>
      </w:r>
      <w:proofErr w:type="spellEnd"/>
      <w:r w:rsidRPr="009B0829">
        <w:rPr>
          <w:rFonts w:ascii="Times New Roman" w:hAnsi="Times New Roman" w:cs="Times New Roman"/>
          <w:sz w:val="24"/>
          <w:szCs w:val="24"/>
        </w:rPr>
        <w:t xml:space="preserve"> resource </w:t>
      </w:r>
      <w:proofErr w:type="spellStart"/>
      <w:r w:rsidRPr="009B0829">
        <w:rPr>
          <w:rFonts w:ascii="Times New Roman" w:hAnsi="Times New Roman" w:cs="Times New Roman"/>
          <w:sz w:val="24"/>
          <w:szCs w:val="24"/>
        </w:rPr>
        <w:t>utilisation</w:t>
      </w:r>
      <w:proofErr w:type="spellEnd"/>
      <w:r w:rsidRPr="009B0829">
        <w:rPr>
          <w:rFonts w:ascii="Times New Roman" w:hAnsi="Times New Roman" w:cs="Times New Roman"/>
          <w:sz w:val="24"/>
          <w:szCs w:val="24"/>
        </w:rPr>
        <w:t xml:space="preserve"> across both heating and cooling seasons. Subject to confirmatory well testing and detailed engineering, the project is recommended to proceed to Front-End Engineering Design (FEED).</w:t>
      </w:r>
    </w:p>
    <w:p w:rsidR="009B0829" w:rsidRPr="009B0829" w:rsidRDefault="009B0829" w:rsidP="00C10A26">
      <w:pPr>
        <w:spacing w:before="16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B0829" w:rsidRPr="009B0829" w:rsidRDefault="009B0829" w:rsidP="00C10A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b/>
          <w:bCs/>
          <w:color w:val="1A3A5C"/>
          <w:sz w:val="24"/>
          <w:szCs w:val="24"/>
        </w:rPr>
        <w:t>Appendix A: Nomenclature &amp; Abbreviations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B0829" w:rsidRPr="009B0829" w:rsidTr="00433883">
        <w:trPr>
          <w:tblHeader/>
        </w:trPr>
        <w:tc>
          <w:tcPr>
            <w:tcW w:w="240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Symbol / Acronym</w:t>
            </w:r>
          </w:p>
        </w:tc>
        <w:tc>
          <w:tcPr>
            <w:tcW w:w="6960" w:type="dxa"/>
            <w:tcBorders>
              <w:top w:val="single" w:sz="1" w:space="0" w:color="1E7B8C"/>
              <w:left w:val="single" w:sz="1" w:space="0" w:color="1E7B8C"/>
              <w:bottom w:val="single" w:sz="1" w:space="0" w:color="1E7B8C"/>
              <w:right w:val="single" w:sz="1" w:space="0" w:color="1E7B8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Definition</w:t>
            </w:r>
          </w:p>
        </w:tc>
      </w:tr>
      <w:tr w:rsidR="009B0829" w:rsidRPr="009B0829" w:rsidTr="00433883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Absorption Chiller</w:t>
            </w:r>
          </w:p>
        </w:tc>
      </w:tr>
      <w:tr w:rsidR="009B0829" w:rsidRPr="009B0829" w:rsidTr="00433883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CAPEX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Capital Expenditure</w:t>
            </w:r>
          </w:p>
        </w:tc>
      </w:tr>
      <w:tr w:rsidR="009B0829" w:rsidRPr="009B0829" w:rsidTr="00433883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COP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Coefficient of Performance</w:t>
            </w:r>
          </w:p>
        </w:tc>
      </w:tr>
      <w:tr w:rsidR="009B0829" w:rsidRPr="009B0829" w:rsidTr="00433883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CRF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Capital Recovery Factor</w:t>
            </w:r>
          </w:p>
        </w:tc>
      </w:tr>
      <w:tr w:rsidR="009B0829" w:rsidRPr="009B0829" w:rsidTr="00433883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FEED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Front-End Engineering Design</w:t>
            </w:r>
          </w:p>
        </w:tc>
      </w:tr>
      <w:tr w:rsidR="009B0829" w:rsidRPr="009B0829" w:rsidTr="00433883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GR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Gamma Ray log (API units)</w:t>
            </w:r>
          </w:p>
        </w:tc>
      </w:tr>
      <w:tr w:rsidR="009B0829" w:rsidRPr="009B0829" w:rsidTr="00433883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HP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Heat Pump</w:t>
            </w:r>
          </w:p>
        </w:tc>
      </w:tr>
      <w:tr w:rsidR="009B0829" w:rsidRPr="009B0829" w:rsidTr="00433883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HIP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Heat In Place (thermal energy content of reservoir)</w:t>
            </w:r>
          </w:p>
        </w:tc>
      </w:tr>
      <w:tr w:rsidR="009B0829" w:rsidRPr="009B0829" w:rsidTr="00433883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LCOE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Levelized</w:t>
            </w:r>
            <w:proofErr w:type="spellEnd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 Cost of Energy</w:t>
            </w:r>
          </w:p>
        </w:tc>
      </w:tr>
      <w:tr w:rsidR="009B0829" w:rsidRPr="009B0829" w:rsidTr="00433883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LiBr</w:t>
            </w:r>
            <w:proofErr w:type="spellEnd"/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Lithium Bromide (absorption chiller working fluid pair)</w:t>
            </w:r>
          </w:p>
        </w:tc>
      </w:tr>
      <w:tr w:rsidR="009B0829" w:rsidRPr="009B0829" w:rsidTr="00433883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MWth</w:t>
            </w:r>
            <w:proofErr w:type="spellEnd"/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Megawatt thermal</w:t>
            </w:r>
          </w:p>
        </w:tc>
      </w:tr>
      <w:tr w:rsidR="009B0829" w:rsidRPr="009B0829" w:rsidTr="00433883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NPHI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Neutron Porosity log</w:t>
            </w:r>
          </w:p>
        </w:tc>
      </w:tr>
      <w:tr w:rsidR="009B0829" w:rsidRPr="009B0829" w:rsidTr="00433883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NTG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Net-to-Gross ratio</w:t>
            </w:r>
          </w:p>
        </w:tc>
      </w:tr>
      <w:tr w:rsidR="009B0829" w:rsidRPr="009B0829" w:rsidTr="00433883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OPEX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Operating Expenditure</w:t>
            </w:r>
          </w:p>
        </w:tc>
      </w:tr>
      <w:tr w:rsidR="009B0829" w:rsidRPr="009B0829" w:rsidTr="00433883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P10/P50/P90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Probabilistic resource scenario (10th / 50th / 90th percentile)</w:t>
            </w:r>
          </w:p>
        </w:tc>
      </w:tr>
      <w:tr w:rsidR="009B0829" w:rsidRPr="009B0829" w:rsidTr="00433883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RHOB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Bulk Density log (g/cc)</w:t>
            </w:r>
          </w:p>
        </w:tc>
      </w:tr>
      <w:tr w:rsidR="009B0829" w:rsidRPr="009B0829" w:rsidTr="00433883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RT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True Resistivity log (</w:t>
            </w: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Ω</w:t>
            </w:r>
            <w:r w:rsidRPr="009B0829">
              <w:rPr>
                <w:rFonts w:ascii="Cambria Math" w:hAnsi="Cambria Math" w:cs="Cambria Math"/>
                <w:sz w:val="24"/>
                <w:szCs w:val="24"/>
              </w:rPr>
              <w:t>⋅</w:t>
            </w: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proofErr w:type="spellEnd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B0829" w:rsidRPr="009B0829" w:rsidTr="00433883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SDE++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Stimulering</w:t>
            </w:r>
            <w:proofErr w:type="spellEnd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Duurzame</w:t>
            </w:r>
            <w:proofErr w:type="spellEnd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Energieproductie</w:t>
            </w:r>
            <w:proofErr w:type="spellEnd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 (Dutch renewable energy subsidy)</w:t>
            </w:r>
          </w:p>
        </w:tc>
      </w:tr>
      <w:tr w:rsidR="009B0829" w:rsidRPr="009B0829" w:rsidTr="00433883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TES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Thermal Energy Storage</w:t>
            </w:r>
          </w:p>
        </w:tc>
      </w:tr>
      <w:tr w:rsidR="009B0829" w:rsidRPr="009B0829" w:rsidTr="00433883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TNO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Nederlandse</w:t>
            </w:r>
            <w:proofErr w:type="spellEnd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Organisatie</w:t>
            </w:r>
            <w:proofErr w:type="spellEnd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voor</w:t>
            </w:r>
            <w:proofErr w:type="spellEnd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Toegepast</w:t>
            </w:r>
            <w:proofErr w:type="spellEnd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Natuurwetenschappelijk</w:t>
            </w:r>
            <w:proofErr w:type="spellEnd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Onderzoek</w:t>
            </w:r>
            <w:proofErr w:type="spellEnd"/>
          </w:p>
        </w:tc>
      </w:tr>
      <w:tr w:rsidR="009B0829" w:rsidRPr="009B0829" w:rsidTr="00433883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TVD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True Vertical Depth</w:t>
            </w:r>
          </w:p>
        </w:tc>
      </w:tr>
      <w:tr w:rsidR="009B0829" w:rsidRPr="009B0829" w:rsidTr="00433883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WACC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Weighted Average Cost of Capital</w:t>
            </w:r>
          </w:p>
        </w:tc>
      </w:tr>
      <w:tr w:rsidR="009B0829" w:rsidRPr="009B0829" w:rsidTr="00433883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ϕeff</w:t>
            </w:r>
            <w:proofErr w:type="spellEnd"/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Effective porosity</w:t>
            </w:r>
          </w:p>
        </w:tc>
      </w:tr>
      <w:tr w:rsidR="009B0829" w:rsidRPr="009B0829" w:rsidTr="00433883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ϕT</w:t>
            </w:r>
            <w:proofErr w:type="spellEnd"/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Total porosity</w:t>
            </w:r>
          </w:p>
        </w:tc>
      </w:tr>
      <w:tr w:rsidR="009B0829" w:rsidRPr="009B0829" w:rsidTr="00433883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Vsh</w:t>
            </w:r>
            <w:proofErr w:type="spellEnd"/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B0829" w:rsidRPr="009B0829" w:rsidRDefault="009B0829" w:rsidP="00C10A2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0829">
              <w:rPr>
                <w:rFonts w:ascii="Times New Roman" w:hAnsi="Times New Roman" w:cs="Times New Roman"/>
                <w:sz w:val="24"/>
                <w:szCs w:val="24"/>
              </w:rPr>
              <w:t>Volume of shale</w:t>
            </w:r>
          </w:p>
        </w:tc>
      </w:tr>
    </w:tbl>
    <w:p w:rsidR="009B0829" w:rsidRPr="00A26453" w:rsidRDefault="009B0829" w:rsidP="00C10A26">
      <w:pPr>
        <w:spacing w:before="16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:rsidR="00A26453" w:rsidRDefault="00A26453" w:rsidP="00A26453">
      <w:pPr>
        <w:pStyle w:val="ListParagraph"/>
        <w:spacing w:before="16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AD7783" wp14:editId="4BCECAF6">
                <wp:simplePos x="0" y="0"/>
                <wp:positionH relativeFrom="margin">
                  <wp:posOffset>84406</wp:posOffset>
                </wp:positionH>
                <wp:positionV relativeFrom="paragraph">
                  <wp:posOffset>77128</wp:posOffset>
                </wp:positionV>
                <wp:extent cx="2644726" cy="400929"/>
                <wp:effectExtent l="0" t="0" r="22860" b="1841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4726" cy="4009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26453" w:rsidRPr="00A26453" w:rsidRDefault="00A26453" w:rsidP="00A264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26453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Team </w:t>
                            </w:r>
                            <w:proofErr w:type="spellStart"/>
                            <w:r w:rsidRPr="00A26453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PrecisePredictors</w:t>
                            </w:r>
                            <w:proofErr w:type="spellEnd"/>
                            <w:r w:rsidR="00590CE2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Names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AD7783" id="Rectangle 1" o:spid="_x0000_s1026" style="position:absolute;left:0;text-align:left;margin-left:6.65pt;margin-top:6.05pt;width:208.25pt;height:31.5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" fillcolor="black [3200]" strokecolor="black [1600]" strokeweight="1pt">
                <v:textbox>
                  <w:txbxContent>
                    <w:p w:rsidR="00A26453" w:rsidRPr="00A26453" w:rsidRDefault="00A26453" w:rsidP="00A2645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A26453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 Team </w:t>
                      </w:r>
                      <w:proofErr w:type="spellStart"/>
                      <w:r w:rsidRPr="00A26453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4"/>
                          <w:szCs w:val="24"/>
                        </w:rPr>
                        <w:t>PrecisePredictors</w:t>
                      </w:r>
                      <w:proofErr w:type="spellEnd"/>
                      <w:r w:rsidR="00590CE2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 Names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26453" w:rsidRDefault="00A26453" w:rsidP="00A26453">
      <w:pPr>
        <w:pStyle w:val="ListParagraph"/>
        <w:spacing w:before="16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A26453" w:rsidRPr="00A26453" w:rsidRDefault="00A26453" w:rsidP="00A26453">
      <w:pPr>
        <w:pStyle w:val="ListParagraph"/>
        <w:numPr>
          <w:ilvl w:val="0"/>
          <w:numId w:val="2"/>
        </w:numPr>
        <w:spacing w:before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6453">
        <w:rPr>
          <w:rFonts w:ascii="Times New Roman" w:hAnsi="Times New Roman" w:cs="Times New Roman"/>
          <w:sz w:val="24"/>
          <w:szCs w:val="24"/>
        </w:rPr>
        <w:t>Chinonso Athanasius</w:t>
      </w:r>
    </w:p>
    <w:p w:rsidR="00A26453" w:rsidRPr="00A26453" w:rsidRDefault="00A26453" w:rsidP="00A26453">
      <w:pPr>
        <w:pStyle w:val="ListParagraph"/>
        <w:numPr>
          <w:ilvl w:val="0"/>
          <w:numId w:val="2"/>
        </w:numPr>
        <w:spacing w:before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6453">
        <w:rPr>
          <w:rFonts w:ascii="Times New Roman" w:hAnsi="Times New Roman" w:cs="Times New Roman"/>
          <w:sz w:val="24"/>
          <w:szCs w:val="24"/>
        </w:rPr>
        <w:t xml:space="preserve">Muhammed </w:t>
      </w:r>
      <w:proofErr w:type="spellStart"/>
      <w:r w:rsidRPr="00A26453">
        <w:rPr>
          <w:rFonts w:ascii="Times New Roman" w:hAnsi="Times New Roman" w:cs="Times New Roman"/>
          <w:sz w:val="24"/>
          <w:szCs w:val="24"/>
        </w:rPr>
        <w:t>Balogun</w:t>
      </w:r>
      <w:bookmarkStart w:id="0" w:name="_GoBack"/>
      <w:bookmarkEnd w:id="0"/>
      <w:proofErr w:type="spellEnd"/>
    </w:p>
    <w:p w:rsidR="00A26453" w:rsidRPr="00A26453" w:rsidRDefault="00A26453" w:rsidP="00A26453">
      <w:pPr>
        <w:pStyle w:val="ListParagraph"/>
        <w:numPr>
          <w:ilvl w:val="0"/>
          <w:numId w:val="2"/>
        </w:numPr>
        <w:spacing w:before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6453">
        <w:rPr>
          <w:rFonts w:ascii="Times New Roman" w:hAnsi="Times New Roman" w:cs="Times New Roman"/>
          <w:sz w:val="24"/>
          <w:szCs w:val="24"/>
        </w:rPr>
        <w:t>Abdullahi</w:t>
      </w:r>
      <w:proofErr w:type="spellEnd"/>
      <w:r w:rsidRPr="00A264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453">
        <w:rPr>
          <w:rFonts w:ascii="Times New Roman" w:hAnsi="Times New Roman" w:cs="Times New Roman"/>
          <w:sz w:val="24"/>
          <w:szCs w:val="24"/>
        </w:rPr>
        <w:t>Aadam</w:t>
      </w:r>
      <w:proofErr w:type="spellEnd"/>
    </w:p>
    <w:p w:rsidR="00A26453" w:rsidRPr="00A26453" w:rsidRDefault="00A26453" w:rsidP="00A26453">
      <w:pPr>
        <w:pStyle w:val="ListParagraph"/>
        <w:numPr>
          <w:ilvl w:val="0"/>
          <w:numId w:val="2"/>
        </w:numPr>
        <w:spacing w:before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6453">
        <w:rPr>
          <w:rFonts w:ascii="Times New Roman" w:hAnsi="Times New Roman" w:cs="Times New Roman"/>
          <w:sz w:val="24"/>
          <w:szCs w:val="24"/>
        </w:rPr>
        <w:t>Maxwell</w:t>
      </w:r>
    </w:p>
    <w:p w:rsidR="00A26453" w:rsidRPr="009B0829" w:rsidRDefault="00A26453" w:rsidP="00C10A26">
      <w:pPr>
        <w:spacing w:before="16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B0829" w:rsidRPr="009B0829" w:rsidRDefault="009B0829" w:rsidP="00C10A26">
      <w:pPr>
        <w:spacing w:before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0829">
        <w:rPr>
          <w:rFonts w:ascii="Times New Roman" w:hAnsi="Times New Roman" w:cs="Times New Roman"/>
          <w:i/>
          <w:iCs/>
          <w:color w:val="BFBFBF"/>
          <w:sz w:val="24"/>
          <w:szCs w:val="24"/>
        </w:rPr>
        <w:t xml:space="preserve">—  End of </w:t>
      </w:r>
      <w:r w:rsidR="00156F9E" w:rsidRPr="009B0829">
        <w:rPr>
          <w:rFonts w:ascii="Times New Roman" w:hAnsi="Times New Roman" w:cs="Times New Roman"/>
          <w:i/>
          <w:iCs/>
          <w:color w:val="BFBFBF"/>
          <w:sz w:val="24"/>
          <w:szCs w:val="24"/>
        </w:rPr>
        <w:t>Report —</w:t>
      </w:r>
    </w:p>
    <w:p w:rsidR="009B0829" w:rsidRPr="009B0829" w:rsidRDefault="009B0829" w:rsidP="00C10A26">
      <w:pPr>
        <w:spacing w:before="60" w:after="100" w:line="276" w:lineRule="auto"/>
        <w:rPr>
          <w:rFonts w:ascii="Times New Roman" w:hAnsi="Times New Roman" w:cs="Times New Roman"/>
          <w:sz w:val="24"/>
          <w:szCs w:val="24"/>
        </w:rPr>
      </w:pPr>
    </w:p>
    <w:p w:rsidR="009B0829" w:rsidRDefault="009B0829" w:rsidP="00C10A26">
      <w:pPr>
        <w:spacing w:line="276" w:lineRule="auto"/>
      </w:pPr>
    </w:p>
    <w:sectPr w:rsidR="009B08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7F76B9"/>
    <w:multiLevelType w:val="hybridMultilevel"/>
    <w:tmpl w:val="B5AAAF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D26513"/>
    <w:multiLevelType w:val="hybridMultilevel"/>
    <w:tmpl w:val="C08A0508"/>
    <w:lvl w:ilvl="0" w:tplc="4914F906">
      <w:start w:val="1"/>
      <w:numFmt w:val="bullet"/>
      <w:lvlText w:val="•"/>
      <w:lvlJc w:val="left"/>
      <w:pPr>
        <w:ind w:left="540" w:hanging="260"/>
      </w:pPr>
    </w:lvl>
    <w:lvl w:ilvl="1" w:tplc="04FE0680">
      <w:numFmt w:val="decimal"/>
      <w:lvlText w:val=""/>
      <w:lvlJc w:val="left"/>
    </w:lvl>
    <w:lvl w:ilvl="2" w:tplc="AA54D9D8">
      <w:numFmt w:val="decimal"/>
      <w:lvlText w:val=""/>
      <w:lvlJc w:val="left"/>
    </w:lvl>
    <w:lvl w:ilvl="3" w:tplc="F2B46EFA">
      <w:numFmt w:val="decimal"/>
      <w:lvlText w:val=""/>
      <w:lvlJc w:val="left"/>
    </w:lvl>
    <w:lvl w:ilvl="4" w:tplc="CCAC9208">
      <w:numFmt w:val="decimal"/>
      <w:lvlText w:val=""/>
      <w:lvlJc w:val="left"/>
    </w:lvl>
    <w:lvl w:ilvl="5" w:tplc="DF50A5B8">
      <w:numFmt w:val="decimal"/>
      <w:lvlText w:val=""/>
      <w:lvlJc w:val="left"/>
    </w:lvl>
    <w:lvl w:ilvl="6" w:tplc="3702C5C6">
      <w:numFmt w:val="decimal"/>
      <w:lvlText w:val=""/>
      <w:lvlJc w:val="left"/>
    </w:lvl>
    <w:lvl w:ilvl="7" w:tplc="FA260732">
      <w:numFmt w:val="decimal"/>
      <w:lvlText w:val=""/>
      <w:lvlJc w:val="left"/>
    </w:lvl>
    <w:lvl w:ilvl="8" w:tplc="41F6091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B76"/>
    <w:rsid w:val="00156F9E"/>
    <w:rsid w:val="00322CDD"/>
    <w:rsid w:val="00590CE2"/>
    <w:rsid w:val="00767B76"/>
    <w:rsid w:val="009B0829"/>
    <w:rsid w:val="00A26453"/>
    <w:rsid w:val="00C1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B7A07"/>
  <w15:chartTrackingRefBased/>
  <w15:docId w15:val="{324C8051-29E5-43CA-A2A4-5A7C89E73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7B76"/>
    <w:pPr>
      <w:spacing w:after="0" w:line="240" w:lineRule="auto"/>
    </w:pPr>
    <w:rPr>
      <w:rFonts w:ascii="Arial" w:eastAsia="Arial" w:hAnsi="Arial" w:cs="Arial"/>
      <w:color w:val="1A1A1A"/>
    </w:rPr>
  </w:style>
  <w:style w:type="paragraph" w:styleId="Heading1">
    <w:name w:val="heading 1"/>
    <w:link w:val="Heading1Char"/>
    <w:qFormat/>
    <w:rsid w:val="00767B76"/>
    <w:pPr>
      <w:spacing w:before="280" w:after="120" w:line="240" w:lineRule="auto"/>
      <w:outlineLvl w:val="0"/>
    </w:pPr>
    <w:rPr>
      <w:rFonts w:ascii="Arial" w:eastAsia="Arial" w:hAnsi="Arial" w:cs="Arial"/>
      <w:b/>
      <w:bCs/>
      <w:color w:val="1A3A5C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7B76"/>
    <w:rPr>
      <w:rFonts w:ascii="Arial" w:eastAsia="Arial" w:hAnsi="Arial" w:cs="Arial"/>
      <w:b/>
      <w:bCs/>
      <w:color w:val="1A3A5C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B7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qFormat/>
    <w:rsid w:val="00767B76"/>
    <w:pPr>
      <w:spacing w:after="0" w:line="240" w:lineRule="auto"/>
    </w:pPr>
    <w:rPr>
      <w:rFonts w:ascii="Arial" w:eastAsia="Arial" w:hAnsi="Arial" w:cs="Arial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1983</Words>
  <Characters>11309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2026-06-03T05:49:00Z</dcterms:created>
  <dcterms:modified xsi:type="dcterms:W3CDTF">2026-06-04T05:33:00Z</dcterms:modified>
</cp:coreProperties>
</file>