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6EA7E" w14:textId="77777777" w:rsidR="00261DA5" w:rsidRDefault="00000000">
      <w:pPr>
        <w:spacing w:after="80"/>
        <w:jc w:val="center"/>
      </w:pPr>
      <w:r>
        <w:rPr>
          <w:b/>
          <w:bCs/>
          <w:sz w:val="34"/>
          <w:szCs w:val="34"/>
        </w:rPr>
        <w:t>Technical Appendix: System Architecture and Implementation of the Akela SQL Learning Platform</w:t>
      </w:r>
    </w:p>
    <w:p w14:paraId="7456EA7F" w14:textId="77777777" w:rsidR="00261DA5" w:rsidRDefault="00000000">
      <w:pPr>
        <w:spacing w:after="300"/>
        <w:jc w:val="center"/>
      </w:pPr>
      <w:r>
        <w:rPr>
          <w:i/>
          <w:iCs/>
          <w:sz w:val="22"/>
          <w:szCs w:val="22"/>
        </w:rPr>
        <w:t>Supplementary documentation of the system design, architecture, and implementation referenced in the main text.</w:t>
      </w:r>
    </w:p>
    <w:p w14:paraId="7456EA80" w14:textId="77777777" w:rsidR="00261DA5" w:rsidRDefault="00261DA5">
      <w:pPr>
        <w:pBdr>
          <w:bottom w:val="single" w:sz="6" w:space="4" w:color="999999"/>
        </w:pBdr>
        <w:spacing w:after="400"/>
        <w:jc w:val="center"/>
      </w:pPr>
    </w:p>
    <w:p w14:paraId="7456EA81" w14:textId="77777777" w:rsidR="00261DA5" w:rsidRDefault="00000000">
      <w:pPr>
        <w:pStyle w:val="Heading1"/>
        <w:spacing w:before="480" w:after="200"/>
      </w:pPr>
      <w:proofErr w:type="gramStart"/>
      <w:r>
        <w:rPr>
          <w:b/>
          <w:bCs/>
          <w:sz w:val="30"/>
          <w:szCs w:val="30"/>
        </w:rPr>
        <w:t>A.1  Introduction</w:t>
      </w:r>
      <w:proofErr w:type="gramEnd"/>
      <w:r>
        <w:rPr>
          <w:b/>
          <w:bCs/>
          <w:sz w:val="30"/>
          <w:szCs w:val="30"/>
        </w:rPr>
        <w:t xml:space="preserve"> and Scope</w:t>
      </w:r>
    </w:p>
    <w:p w14:paraId="7456EA82" w14:textId="77777777" w:rsidR="00261DA5" w:rsidRDefault="00000000">
      <w:pPr>
        <w:spacing w:after="200" w:line="276" w:lineRule="auto"/>
        <w:jc w:val="both"/>
      </w:pPr>
      <w:r>
        <w:t>This appendix provides a detailed technical account of the design and implementation of the platform developed for this project, referred to throughout by its internal name, Akela. It is intended to supplement the discussion of system design in the main body of the report with sufficient implementation detail for the work to be evaluated, reproduced, or extended. The appendix documents the system's architecture, its data model, the design principles that were applied consistently across its subsystems, the implementation of its core learning features, and the multi-agent learning-analytics extension that constitutes the principal technical contribution of this project.</w:t>
      </w:r>
    </w:p>
    <w:p w14:paraId="7456EA83" w14:textId="77777777" w:rsidR="00261DA5" w:rsidRDefault="00000000">
      <w:pPr>
        <w:spacing w:after="200" w:line="276" w:lineRule="auto"/>
        <w:jc w:val="both"/>
      </w:pPr>
      <w:r>
        <w:t>The platform is a full-stack web application for teaching and practising Structured Query Language (SQL) and relational/graph database design. It supports SQL practice questions, hands-on database labs, entity-relationship (ER) diagram modelling exercises, and timed assessments, each with automated grading. A central contribution of this project is an adaptive, multi-agent learning-analytics extension that models each student's per-concept mastery, adjusts the level of tutoring support in real time, and classifies the cognitive sophistication of student reasoning using the SOLO taxonomy. The system is in active use in an undergraduate database course; design decisions throughout therefore reflect the constraints of a real, moderately sized deployment rather than a purely theoretical exercise.</w:t>
      </w:r>
    </w:p>
    <w:p w14:paraId="7456EA84" w14:textId="77777777" w:rsidR="00261DA5" w:rsidRDefault="00000000">
      <w:pPr>
        <w:spacing w:after="200" w:line="276" w:lineRule="auto"/>
        <w:jc w:val="both"/>
      </w:pPr>
      <w:r>
        <w:t>Section A.2 gives a system overview. Section A.3 lists the technology stack. Section A.4 describes the overall architecture, including the organisation of the source repository. Section A.5 summarises the data model. Section A.6 discusses the cross-cutting design principles that recur throughout the codebase. Sections A.7 through A.10 describe the core subsystems, the grading pipelines, the AI-assisted learning features, and the caching architecture in turn. Section A.11 sets out the system's API design conventions with a representative endpoint schema. Section A.12 covers deployment and continuous integration, Section A.13 the testing strategy, and Section A.14 discusses known limitations and directions for future work. A glossary of project-specific terminology is provided in Section A.15.</w:t>
      </w:r>
    </w:p>
    <w:p w14:paraId="7456EA85" w14:textId="77777777" w:rsidR="00261DA5" w:rsidRDefault="00000000">
      <w:pPr>
        <w:pStyle w:val="Heading1"/>
        <w:spacing w:before="480" w:after="200"/>
      </w:pPr>
      <w:proofErr w:type="gramStart"/>
      <w:r>
        <w:rPr>
          <w:b/>
          <w:bCs/>
          <w:sz w:val="30"/>
          <w:szCs w:val="30"/>
        </w:rPr>
        <w:t>A.2  System</w:t>
      </w:r>
      <w:proofErr w:type="gramEnd"/>
      <w:r>
        <w:rPr>
          <w:b/>
          <w:bCs/>
          <w:sz w:val="30"/>
          <w:szCs w:val="30"/>
        </w:rPr>
        <w:t xml:space="preserve"> Overview</w:t>
      </w:r>
    </w:p>
    <w:p w14:paraId="7456EA86" w14:textId="77777777" w:rsidR="00261DA5" w:rsidRDefault="00000000">
      <w:pPr>
        <w:spacing w:after="200" w:line="276" w:lineRule="auto"/>
        <w:jc w:val="both"/>
      </w:pPr>
      <w:r>
        <w:lastRenderedPageBreak/>
        <w:t>The platform serves two primary user populations: students, who solve practice problems and sit assessments, and staff, who author content and review outcomes. A third, administrative role extends the staff role with user-management and platform-configuration capabilities. Access is gated by an email whitelist rather than open registration (Section A.6.5), which reflects the system's deployment in a formal course setting where enrolment is known in advance.</w:t>
      </w:r>
    </w:p>
    <w:p w14:paraId="7456EA87" w14:textId="3F08B843" w:rsidR="00261DA5" w:rsidRDefault="00000000">
      <w:pPr>
        <w:spacing w:after="200" w:line="276" w:lineRule="auto"/>
        <w:jc w:val="both"/>
      </w:pPr>
      <w:r>
        <w:t xml:space="preserve">The functional scope of the platform comprises six areas. SQL Questions are single-query practice problems, each executed against a dedicated SQLite database and graded automatically by comparing result sets. SQL and Graph Labs are multi-task, session-based exercises against a shared, mutable schema, supporting both relational (SQL) and graph (Cypher) query paradigms. ER Diagram exercises require students to model a described domain using a browser-based diagramming tool, graded against a rubric by a large language model (LLM). Assessments bundle any of the above item types into a timed, optionally password- or schedule-gated evaluation. An AI tutor, internally named Bagheera, provides conversational assistance while a student works a problem, and in its adaptive configuration tailors its guidance to the individual student's estimated mastery and reasoning level. Finally, a Learning Analytics Dashboard (LAD) surfaces this per-student model </w:t>
      </w:r>
      <w:r w:rsidR="00301863">
        <w:t>-</w:t>
      </w:r>
      <w:r>
        <w:t xml:space="preserve"> concept mastery, cognitive level, and anonymised peer benchmarks </w:t>
      </w:r>
      <w:r w:rsidR="00301863">
        <w:t>-</w:t>
      </w:r>
      <w:r>
        <w:t xml:space="preserve"> to the student directly.</w:t>
      </w:r>
    </w:p>
    <w:p w14:paraId="7456EA88" w14:textId="77777777" w:rsidR="00261DA5" w:rsidRDefault="00000000">
      <w:pPr>
        <w:spacing w:after="200" w:line="276" w:lineRule="auto"/>
        <w:jc w:val="both"/>
      </w:pPr>
      <w:r>
        <w:t xml:space="preserve">The adaptive-tutoring and analytics capability was designed and delivered as an extension to a pre-existing, already-deployed platform, and was engineered to be introduced without disrupting existing behaviour. This constraint materially shaped its architecture, discussed in Section A.6.1 and Section A.7.5, and is representative of the kind of </w:t>
      </w:r>
      <w:proofErr w:type="gramStart"/>
      <w:r>
        <w:t>incremental-delivery</w:t>
      </w:r>
      <w:proofErr w:type="gramEnd"/>
      <w:r>
        <w:t xml:space="preserve"> discipline the wider system was built with throughout.</w:t>
      </w:r>
    </w:p>
    <w:p w14:paraId="7456EA89" w14:textId="77777777" w:rsidR="00261DA5" w:rsidRDefault="00000000">
      <w:pPr>
        <w:pStyle w:val="Heading1"/>
        <w:spacing w:before="480" w:after="200"/>
      </w:pPr>
      <w:proofErr w:type="gramStart"/>
      <w:r>
        <w:rPr>
          <w:b/>
          <w:bCs/>
          <w:sz w:val="30"/>
          <w:szCs w:val="30"/>
        </w:rPr>
        <w:t>A.3  Technology</w:t>
      </w:r>
      <w:proofErr w:type="gramEnd"/>
      <w:r>
        <w:rPr>
          <w:b/>
          <w:bCs/>
          <w:sz w:val="30"/>
          <w:szCs w:val="30"/>
        </w:rPr>
        <w:t xml:space="preserve"> Stack</w:t>
      </w:r>
    </w:p>
    <w:p w14:paraId="7456EA8A" w14:textId="0EA7D9FB" w:rsidR="00261DA5" w:rsidRDefault="00000000">
      <w:pPr>
        <w:spacing w:after="200" w:line="276" w:lineRule="auto"/>
        <w:jc w:val="both"/>
      </w:pPr>
      <w:r>
        <w:t xml:space="preserve">The backend is implemented in Python using the </w:t>
      </w:r>
      <w:proofErr w:type="spellStart"/>
      <w:r>
        <w:t>FastAPI</w:t>
      </w:r>
      <w:proofErr w:type="spellEnd"/>
      <w:r>
        <w:t xml:space="preserve"> web framework, with </w:t>
      </w:r>
      <w:proofErr w:type="spellStart"/>
      <w:r>
        <w:t>SQLAlchemy</w:t>
      </w:r>
      <w:proofErr w:type="spellEnd"/>
      <w:r>
        <w:t xml:space="preserve"> as the object-relational mapper. PostgreSQL is used in production and SQLite in development, with the codebase engineered to behave identically on both (Section A.6.4). Authentication combines locally issued JSON Web Tokens (JWT) with federated sign-in through Google and Microsoft (Azure Entra ID) identity providers. Large-language-model access </w:t>
      </w:r>
      <w:r w:rsidR="00301863">
        <w:t>-</w:t>
      </w:r>
      <w:r>
        <w:t xml:space="preserve"> used for query review, ER diagram grading and tutoring, and the SOLO classifier </w:t>
      </w:r>
      <w:r w:rsidR="00301863">
        <w:t>-</w:t>
      </w:r>
      <w:r>
        <w:t xml:space="preserve"> is abstracted behind a provider interface supporting Azure OpenAI, OpenAI, and Google Gemini, selected by configuration. The ER diagram tutor and rubric-generation engines are additionally implemented using </w:t>
      </w:r>
      <w:proofErr w:type="spellStart"/>
      <w:r>
        <w:t>LangGraph</w:t>
      </w:r>
      <w:proofErr w:type="spellEnd"/>
      <w:r>
        <w:t>, a framework for composing stateful, multi-step LLM workflows as directed graphs.</w:t>
      </w:r>
    </w:p>
    <w:p w14:paraId="7456EA8B" w14:textId="77777777" w:rsidR="00261DA5" w:rsidRDefault="00000000">
      <w:pPr>
        <w:spacing w:after="200" w:line="276" w:lineRule="auto"/>
        <w:jc w:val="both"/>
      </w:pPr>
      <w:r>
        <w:t xml:space="preserve">The frontend is a Next.js application (React, TypeScript) using the </w:t>
      </w:r>
      <w:proofErr w:type="spellStart"/>
      <w:r>
        <w:t>Mantine</w:t>
      </w:r>
      <w:proofErr w:type="spellEnd"/>
      <w:r>
        <w:t xml:space="preserve"> component library, the Monaco code editor for SQL authoring, and </w:t>
      </w:r>
      <w:proofErr w:type="spellStart"/>
      <w:r>
        <w:t>TanStack</w:t>
      </w:r>
      <w:proofErr w:type="spellEnd"/>
      <w:r>
        <w:t xml:space="preserve"> Query for server-state management and client-side caching. draw.io (embed.diagrams.net) is embedded as an </w:t>
      </w:r>
      <w:proofErr w:type="spellStart"/>
      <w:r>
        <w:t>iframe</w:t>
      </w:r>
      <w:proofErr w:type="spellEnd"/>
      <w:r>
        <w:t xml:space="preserve"> for ER diagram </w:t>
      </w:r>
      <w:r>
        <w:lastRenderedPageBreak/>
        <w:t>authoring (Section A.7.3.1). Role- and ownership-based UI permissions are implemented with the CASL authorisation library.</w:t>
      </w:r>
    </w:p>
    <w:p w14:paraId="7456EA8C" w14:textId="53E76307" w:rsidR="00261DA5" w:rsidRDefault="00000000">
      <w:pPr>
        <w:spacing w:before="200" w:after="100"/>
      </w:pPr>
      <w:r>
        <w:rPr>
          <w:i/>
          <w:iCs/>
          <w:sz w:val="21"/>
          <w:szCs w:val="21"/>
        </w:rPr>
        <w:t xml:space="preserve">Table A.1 </w:t>
      </w:r>
      <w:r w:rsidR="00301863">
        <w:rPr>
          <w:i/>
          <w:iCs/>
          <w:sz w:val="21"/>
          <w:szCs w:val="21"/>
        </w:rPr>
        <w:t>-</w:t>
      </w:r>
      <w:r>
        <w:rPr>
          <w:i/>
          <w:iCs/>
          <w:sz w:val="21"/>
          <w:szCs w:val="21"/>
        </w:rPr>
        <w:t xml:space="preserve"> Summary of the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DA5" w14:paraId="7456EA8F" w14:textId="77777777">
        <w:tblPrEx>
          <w:tblCellMar>
            <w:top w:w="0" w:type="dxa"/>
            <w:bottom w:w="0" w:type="dxa"/>
          </w:tblCellMar>
        </w:tblPrEx>
        <w:trPr>
          <w:tblHeader/>
        </w:trPr>
        <w:tc>
          <w:tcPr>
            <w:tcW w:w="3000" w:type="dxa"/>
            <w:shd w:val="clear" w:color="auto" w:fill="D9D9D9"/>
            <w:tcMar>
              <w:top w:w="100" w:type="dxa"/>
              <w:left w:w="120" w:type="dxa"/>
              <w:bottom w:w="100" w:type="dxa"/>
              <w:right w:w="120" w:type="dxa"/>
            </w:tcMar>
            <w:vAlign w:val="center"/>
          </w:tcPr>
          <w:p w14:paraId="7456EA8D" w14:textId="77777777" w:rsidR="00261DA5" w:rsidRDefault="00000000">
            <w:r>
              <w:rPr>
                <w:b/>
                <w:bCs/>
                <w:sz w:val="22"/>
                <w:szCs w:val="22"/>
              </w:rPr>
              <w:t>Layer</w:t>
            </w:r>
          </w:p>
        </w:tc>
        <w:tc>
          <w:tcPr>
            <w:tcW w:w="6360" w:type="dxa"/>
            <w:shd w:val="clear" w:color="auto" w:fill="D9D9D9"/>
            <w:tcMar>
              <w:top w:w="100" w:type="dxa"/>
              <w:left w:w="120" w:type="dxa"/>
              <w:bottom w:w="100" w:type="dxa"/>
              <w:right w:w="120" w:type="dxa"/>
            </w:tcMar>
            <w:vAlign w:val="center"/>
          </w:tcPr>
          <w:p w14:paraId="7456EA8E" w14:textId="77777777" w:rsidR="00261DA5" w:rsidRDefault="00000000">
            <w:r>
              <w:rPr>
                <w:b/>
                <w:bCs/>
                <w:sz w:val="22"/>
                <w:szCs w:val="22"/>
              </w:rPr>
              <w:t>Technology</w:t>
            </w:r>
          </w:p>
        </w:tc>
      </w:tr>
      <w:tr w:rsidR="00261DA5" w14:paraId="7456EA92" w14:textId="77777777">
        <w:tblPrEx>
          <w:tblCellMar>
            <w:top w:w="0" w:type="dxa"/>
            <w:bottom w:w="0" w:type="dxa"/>
          </w:tblCellMar>
        </w:tblPrEx>
        <w:tc>
          <w:tcPr>
            <w:tcW w:w="3000" w:type="dxa"/>
            <w:tcMar>
              <w:top w:w="100" w:type="dxa"/>
              <w:left w:w="120" w:type="dxa"/>
              <w:bottom w:w="100" w:type="dxa"/>
              <w:right w:w="120" w:type="dxa"/>
            </w:tcMar>
            <w:vAlign w:val="center"/>
          </w:tcPr>
          <w:p w14:paraId="7456EA90" w14:textId="77777777" w:rsidR="00261DA5" w:rsidRDefault="00000000">
            <w:r>
              <w:rPr>
                <w:sz w:val="22"/>
                <w:szCs w:val="22"/>
              </w:rPr>
              <w:t>Backend framework</w:t>
            </w:r>
          </w:p>
        </w:tc>
        <w:tc>
          <w:tcPr>
            <w:tcW w:w="6360" w:type="dxa"/>
            <w:tcMar>
              <w:top w:w="100" w:type="dxa"/>
              <w:left w:w="120" w:type="dxa"/>
              <w:bottom w:w="100" w:type="dxa"/>
              <w:right w:w="120" w:type="dxa"/>
            </w:tcMar>
            <w:vAlign w:val="center"/>
          </w:tcPr>
          <w:p w14:paraId="7456EA91" w14:textId="77777777" w:rsidR="00261DA5" w:rsidRDefault="00000000">
            <w:proofErr w:type="spellStart"/>
            <w:r>
              <w:rPr>
                <w:sz w:val="22"/>
                <w:szCs w:val="22"/>
              </w:rPr>
              <w:t>FastAPI</w:t>
            </w:r>
            <w:proofErr w:type="spellEnd"/>
            <w:r>
              <w:rPr>
                <w:sz w:val="22"/>
                <w:szCs w:val="22"/>
              </w:rPr>
              <w:t xml:space="preserve"> (Python), </w:t>
            </w:r>
            <w:proofErr w:type="spellStart"/>
            <w:r>
              <w:rPr>
                <w:sz w:val="22"/>
                <w:szCs w:val="22"/>
              </w:rPr>
              <w:t>SQLAlchemy</w:t>
            </w:r>
            <w:proofErr w:type="spellEnd"/>
            <w:r>
              <w:rPr>
                <w:sz w:val="22"/>
                <w:szCs w:val="22"/>
              </w:rPr>
              <w:t xml:space="preserve"> ORM</w:t>
            </w:r>
          </w:p>
        </w:tc>
      </w:tr>
      <w:tr w:rsidR="00261DA5" w14:paraId="7456EA95" w14:textId="77777777">
        <w:tblPrEx>
          <w:tblCellMar>
            <w:top w:w="0" w:type="dxa"/>
            <w:bottom w:w="0" w:type="dxa"/>
          </w:tblCellMar>
        </w:tblPrEx>
        <w:tc>
          <w:tcPr>
            <w:tcW w:w="3000" w:type="dxa"/>
            <w:tcMar>
              <w:top w:w="100" w:type="dxa"/>
              <w:left w:w="120" w:type="dxa"/>
              <w:bottom w:w="100" w:type="dxa"/>
              <w:right w:w="120" w:type="dxa"/>
            </w:tcMar>
            <w:vAlign w:val="center"/>
          </w:tcPr>
          <w:p w14:paraId="7456EA93" w14:textId="77777777" w:rsidR="00261DA5" w:rsidRDefault="00000000">
            <w:r>
              <w:rPr>
                <w:sz w:val="22"/>
                <w:szCs w:val="22"/>
              </w:rPr>
              <w:t>Database</w:t>
            </w:r>
          </w:p>
        </w:tc>
        <w:tc>
          <w:tcPr>
            <w:tcW w:w="6360" w:type="dxa"/>
            <w:tcMar>
              <w:top w:w="100" w:type="dxa"/>
              <w:left w:w="120" w:type="dxa"/>
              <w:bottom w:w="100" w:type="dxa"/>
              <w:right w:w="120" w:type="dxa"/>
            </w:tcMar>
            <w:vAlign w:val="center"/>
          </w:tcPr>
          <w:p w14:paraId="7456EA94" w14:textId="77777777" w:rsidR="00261DA5" w:rsidRDefault="00000000">
            <w:r>
              <w:rPr>
                <w:sz w:val="22"/>
                <w:szCs w:val="22"/>
              </w:rPr>
              <w:t>PostgreSQL (production), SQLite (development)</w:t>
            </w:r>
          </w:p>
        </w:tc>
      </w:tr>
      <w:tr w:rsidR="00261DA5" w14:paraId="7456EA98" w14:textId="77777777">
        <w:tblPrEx>
          <w:tblCellMar>
            <w:top w:w="0" w:type="dxa"/>
            <w:bottom w:w="0" w:type="dxa"/>
          </w:tblCellMar>
        </w:tblPrEx>
        <w:tc>
          <w:tcPr>
            <w:tcW w:w="3000" w:type="dxa"/>
            <w:tcMar>
              <w:top w:w="100" w:type="dxa"/>
              <w:left w:w="120" w:type="dxa"/>
              <w:bottom w:w="100" w:type="dxa"/>
              <w:right w:w="120" w:type="dxa"/>
            </w:tcMar>
            <w:vAlign w:val="center"/>
          </w:tcPr>
          <w:p w14:paraId="7456EA96" w14:textId="77777777" w:rsidR="00261DA5" w:rsidRDefault="00000000">
            <w:r>
              <w:rPr>
                <w:sz w:val="22"/>
                <w:szCs w:val="22"/>
              </w:rPr>
              <w:t>Authentication</w:t>
            </w:r>
          </w:p>
        </w:tc>
        <w:tc>
          <w:tcPr>
            <w:tcW w:w="6360" w:type="dxa"/>
            <w:tcMar>
              <w:top w:w="100" w:type="dxa"/>
              <w:left w:w="120" w:type="dxa"/>
              <w:bottom w:w="100" w:type="dxa"/>
              <w:right w:w="120" w:type="dxa"/>
            </w:tcMar>
            <w:vAlign w:val="center"/>
          </w:tcPr>
          <w:p w14:paraId="7456EA97" w14:textId="77777777" w:rsidR="00261DA5" w:rsidRDefault="00000000">
            <w:r>
              <w:rPr>
                <w:sz w:val="22"/>
                <w:szCs w:val="22"/>
              </w:rPr>
              <w:t>JSON Web Tokens; Google and Microsoft (Azure Entra ID) SSO</w:t>
            </w:r>
          </w:p>
        </w:tc>
      </w:tr>
      <w:tr w:rsidR="00261DA5" w14:paraId="7456EA9B" w14:textId="77777777">
        <w:tblPrEx>
          <w:tblCellMar>
            <w:top w:w="0" w:type="dxa"/>
            <w:bottom w:w="0" w:type="dxa"/>
          </w:tblCellMar>
        </w:tblPrEx>
        <w:tc>
          <w:tcPr>
            <w:tcW w:w="3000" w:type="dxa"/>
            <w:tcMar>
              <w:top w:w="100" w:type="dxa"/>
              <w:left w:w="120" w:type="dxa"/>
              <w:bottom w:w="100" w:type="dxa"/>
              <w:right w:w="120" w:type="dxa"/>
            </w:tcMar>
            <w:vAlign w:val="center"/>
          </w:tcPr>
          <w:p w14:paraId="7456EA99" w14:textId="77777777" w:rsidR="00261DA5" w:rsidRDefault="00000000">
            <w:r>
              <w:rPr>
                <w:sz w:val="22"/>
                <w:szCs w:val="22"/>
              </w:rPr>
              <w:t>LLM access</w:t>
            </w:r>
          </w:p>
        </w:tc>
        <w:tc>
          <w:tcPr>
            <w:tcW w:w="6360" w:type="dxa"/>
            <w:tcMar>
              <w:top w:w="100" w:type="dxa"/>
              <w:left w:w="120" w:type="dxa"/>
              <w:bottom w:w="100" w:type="dxa"/>
              <w:right w:w="120" w:type="dxa"/>
            </w:tcMar>
            <w:vAlign w:val="center"/>
          </w:tcPr>
          <w:p w14:paraId="7456EA9A" w14:textId="77777777" w:rsidR="00261DA5" w:rsidRDefault="00000000">
            <w:r>
              <w:rPr>
                <w:sz w:val="22"/>
                <w:szCs w:val="22"/>
              </w:rPr>
              <w:t>Azure OpenAI / OpenAI / Google Gemini, behind a provider abstraction</w:t>
            </w:r>
          </w:p>
        </w:tc>
      </w:tr>
      <w:tr w:rsidR="00261DA5" w14:paraId="7456EA9E" w14:textId="77777777">
        <w:tblPrEx>
          <w:tblCellMar>
            <w:top w:w="0" w:type="dxa"/>
            <w:bottom w:w="0" w:type="dxa"/>
          </w:tblCellMar>
        </w:tblPrEx>
        <w:tc>
          <w:tcPr>
            <w:tcW w:w="3000" w:type="dxa"/>
            <w:tcMar>
              <w:top w:w="100" w:type="dxa"/>
              <w:left w:w="120" w:type="dxa"/>
              <w:bottom w:w="100" w:type="dxa"/>
              <w:right w:w="120" w:type="dxa"/>
            </w:tcMar>
            <w:vAlign w:val="center"/>
          </w:tcPr>
          <w:p w14:paraId="7456EA9C" w14:textId="77777777" w:rsidR="00261DA5" w:rsidRDefault="00000000">
            <w:r>
              <w:rPr>
                <w:sz w:val="22"/>
                <w:szCs w:val="22"/>
              </w:rPr>
              <w:t>Agentic workflow engine</w:t>
            </w:r>
          </w:p>
        </w:tc>
        <w:tc>
          <w:tcPr>
            <w:tcW w:w="6360" w:type="dxa"/>
            <w:tcMar>
              <w:top w:w="100" w:type="dxa"/>
              <w:left w:w="120" w:type="dxa"/>
              <w:bottom w:w="100" w:type="dxa"/>
              <w:right w:w="120" w:type="dxa"/>
            </w:tcMar>
            <w:vAlign w:val="center"/>
          </w:tcPr>
          <w:p w14:paraId="7456EA9D" w14:textId="77777777" w:rsidR="00261DA5" w:rsidRDefault="00000000">
            <w:proofErr w:type="spellStart"/>
            <w:r>
              <w:rPr>
                <w:sz w:val="22"/>
                <w:szCs w:val="22"/>
              </w:rPr>
              <w:t>LangGraph</w:t>
            </w:r>
            <w:proofErr w:type="spellEnd"/>
            <w:r>
              <w:rPr>
                <w:sz w:val="22"/>
                <w:szCs w:val="22"/>
              </w:rPr>
              <w:t xml:space="preserve"> (ER diagram tutor and rubric generation)</w:t>
            </w:r>
          </w:p>
        </w:tc>
      </w:tr>
      <w:tr w:rsidR="00261DA5" w14:paraId="7456EAA1" w14:textId="77777777">
        <w:tblPrEx>
          <w:tblCellMar>
            <w:top w:w="0" w:type="dxa"/>
            <w:bottom w:w="0" w:type="dxa"/>
          </w:tblCellMar>
        </w:tblPrEx>
        <w:tc>
          <w:tcPr>
            <w:tcW w:w="3000" w:type="dxa"/>
            <w:tcMar>
              <w:top w:w="100" w:type="dxa"/>
              <w:left w:w="120" w:type="dxa"/>
              <w:bottom w:w="100" w:type="dxa"/>
              <w:right w:w="120" w:type="dxa"/>
            </w:tcMar>
            <w:vAlign w:val="center"/>
          </w:tcPr>
          <w:p w14:paraId="7456EA9F" w14:textId="77777777" w:rsidR="00261DA5" w:rsidRDefault="00000000">
            <w:r>
              <w:rPr>
                <w:sz w:val="22"/>
                <w:szCs w:val="22"/>
              </w:rPr>
              <w:t>Frontend framework</w:t>
            </w:r>
          </w:p>
        </w:tc>
        <w:tc>
          <w:tcPr>
            <w:tcW w:w="6360" w:type="dxa"/>
            <w:tcMar>
              <w:top w:w="100" w:type="dxa"/>
              <w:left w:w="120" w:type="dxa"/>
              <w:bottom w:w="100" w:type="dxa"/>
              <w:right w:w="120" w:type="dxa"/>
            </w:tcMar>
            <w:vAlign w:val="center"/>
          </w:tcPr>
          <w:p w14:paraId="7456EAA0" w14:textId="77777777" w:rsidR="00261DA5" w:rsidRDefault="00000000">
            <w:r>
              <w:rPr>
                <w:sz w:val="22"/>
                <w:szCs w:val="22"/>
              </w:rPr>
              <w:t>Next.js 16, React 19, TypeScript</w:t>
            </w:r>
          </w:p>
        </w:tc>
      </w:tr>
      <w:tr w:rsidR="00261DA5" w14:paraId="7456EAA4" w14:textId="77777777">
        <w:tblPrEx>
          <w:tblCellMar>
            <w:top w:w="0" w:type="dxa"/>
            <w:bottom w:w="0" w:type="dxa"/>
          </w:tblCellMar>
        </w:tblPrEx>
        <w:tc>
          <w:tcPr>
            <w:tcW w:w="3000" w:type="dxa"/>
            <w:tcMar>
              <w:top w:w="100" w:type="dxa"/>
              <w:left w:w="120" w:type="dxa"/>
              <w:bottom w:w="100" w:type="dxa"/>
              <w:right w:w="120" w:type="dxa"/>
            </w:tcMar>
            <w:vAlign w:val="center"/>
          </w:tcPr>
          <w:p w14:paraId="7456EAA2" w14:textId="77777777" w:rsidR="00261DA5" w:rsidRDefault="00000000">
            <w:r>
              <w:rPr>
                <w:sz w:val="22"/>
                <w:szCs w:val="22"/>
              </w:rPr>
              <w:t>UI component library</w:t>
            </w:r>
          </w:p>
        </w:tc>
        <w:tc>
          <w:tcPr>
            <w:tcW w:w="6360" w:type="dxa"/>
            <w:tcMar>
              <w:top w:w="100" w:type="dxa"/>
              <w:left w:w="120" w:type="dxa"/>
              <w:bottom w:w="100" w:type="dxa"/>
              <w:right w:w="120" w:type="dxa"/>
            </w:tcMar>
            <w:vAlign w:val="center"/>
          </w:tcPr>
          <w:p w14:paraId="7456EAA3" w14:textId="77777777" w:rsidR="00261DA5" w:rsidRDefault="00000000">
            <w:proofErr w:type="spellStart"/>
            <w:r>
              <w:rPr>
                <w:sz w:val="22"/>
                <w:szCs w:val="22"/>
              </w:rPr>
              <w:t>Mantine</w:t>
            </w:r>
            <w:proofErr w:type="spellEnd"/>
            <w:r>
              <w:rPr>
                <w:sz w:val="22"/>
                <w:szCs w:val="22"/>
              </w:rPr>
              <w:t xml:space="preserve"> 8</w:t>
            </w:r>
          </w:p>
        </w:tc>
      </w:tr>
      <w:tr w:rsidR="00261DA5" w14:paraId="7456EAA7" w14:textId="77777777">
        <w:tblPrEx>
          <w:tblCellMar>
            <w:top w:w="0" w:type="dxa"/>
            <w:bottom w:w="0" w:type="dxa"/>
          </w:tblCellMar>
        </w:tblPrEx>
        <w:tc>
          <w:tcPr>
            <w:tcW w:w="3000" w:type="dxa"/>
            <w:tcMar>
              <w:top w:w="100" w:type="dxa"/>
              <w:left w:w="120" w:type="dxa"/>
              <w:bottom w:w="100" w:type="dxa"/>
              <w:right w:w="120" w:type="dxa"/>
            </w:tcMar>
            <w:vAlign w:val="center"/>
          </w:tcPr>
          <w:p w14:paraId="7456EAA5" w14:textId="77777777" w:rsidR="00261DA5" w:rsidRDefault="00000000">
            <w:r>
              <w:rPr>
                <w:sz w:val="22"/>
                <w:szCs w:val="22"/>
              </w:rPr>
              <w:t>Code editor</w:t>
            </w:r>
          </w:p>
        </w:tc>
        <w:tc>
          <w:tcPr>
            <w:tcW w:w="6360" w:type="dxa"/>
            <w:tcMar>
              <w:top w:w="100" w:type="dxa"/>
              <w:left w:w="120" w:type="dxa"/>
              <w:bottom w:w="100" w:type="dxa"/>
              <w:right w:w="120" w:type="dxa"/>
            </w:tcMar>
            <w:vAlign w:val="center"/>
          </w:tcPr>
          <w:p w14:paraId="7456EAA6" w14:textId="77777777" w:rsidR="00261DA5" w:rsidRDefault="00000000">
            <w:r>
              <w:rPr>
                <w:sz w:val="22"/>
                <w:szCs w:val="22"/>
              </w:rPr>
              <w:t>Monaco Editor</w:t>
            </w:r>
          </w:p>
        </w:tc>
      </w:tr>
      <w:tr w:rsidR="00261DA5" w14:paraId="7456EAAA" w14:textId="77777777">
        <w:tblPrEx>
          <w:tblCellMar>
            <w:top w:w="0" w:type="dxa"/>
            <w:bottom w:w="0" w:type="dxa"/>
          </w:tblCellMar>
        </w:tblPrEx>
        <w:tc>
          <w:tcPr>
            <w:tcW w:w="3000" w:type="dxa"/>
            <w:tcMar>
              <w:top w:w="100" w:type="dxa"/>
              <w:left w:w="120" w:type="dxa"/>
              <w:bottom w:w="100" w:type="dxa"/>
              <w:right w:w="120" w:type="dxa"/>
            </w:tcMar>
            <w:vAlign w:val="center"/>
          </w:tcPr>
          <w:p w14:paraId="7456EAA8" w14:textId="77777777" w:rsidR="00261DA5" w:rsidRDefault="00000000">
            <w:r>
              <w:rPr>
                <w:sz w:val="22"/>
                <w:szCs w:val="22"/>
              </w:rPr>
              <w:t>Client data/cache layer</w:t>
            </w:r>
          </w:p>
        </w:tc>
        <w:tc>
          <w:tcPr>
            <w:tcW w:w="6360" w:type="dxa"/>
            <w:tcMar>
              <w:top w:w="100" w:type="dxa"/>
              <w:left w:w="120" w:type="dxa"/>
              <w:bottom w:w="100" w:type="dxa"/>
              <w:right w:w="120" w:type="dxa"/>
            </w:tcMar>
            <w:vAlign w:val="center"/>
          </w:tcPr>
          <w:p w14:paraId="7456EAA9" w14:textId="77777777" w:rsidR="00261DA5" w:rsidRDefault="00000000">
            <w:proofErr w:type="spellStart"/>
            <w:r>
              <w:rPr>
                <w:sz w:val="22"/>
                <w:szCs w:val="22"/>
              </w:rPr>
              <w:t>TanStack</w:t>
            </w:r>
            <w:proofErr w:type="spellEnd"/>
            <w:r>
              <w:rPr>
                <w:sz w:val="22"/>
                <w:szCs w:val="22"/>
              </w:rPr>
              <w:t xml:space="preserve"> Query</w:t>
            </w:r>
          </w:p>
        </w:tc>
      </w:tr>
      <w:tr w:rsidR="00261DA5" w14:paraId="7456EAAD" w14:textId="77777777">
        <w:tblPrEx>
          <w:tblCellMar>
            <w:top w:w="0" w:type="dxa"/>
            <w:bottom w:w="0" w:type="dxa"/>
          </w:tblCellMar>
        </w:tblPrEx>
        <w:tc>
          <w:tcPr>
            <w:tcW w:w="3000" w:type="dxa"/>
            <w:tcMar>
              <w:top w:w="100" w:type="dxa"/>
              <w:left w:w="120" w:type="dxa"/>
              <w:bottom w:w="100" w:type="dxa"/>
              <w:right w:w="120" w:type="dxa"/>
            </w:tcMar>
            <w:vAlign w:val="center"/>
          </w:tcPr>
          <w:p w14:paraId="7456EAAB" w14:textId="77777777" w:rsidR="00261DA5" w:rsidRDefault="00000000">
            <w:r>
              <w:rPr>
                <w:sz w:val="22"/>
                <w:szCs w:val="22"/>
              </w:rPr>
              <w:t>Diagramming</w:t>
            </w:r>
          </w:p>
        </w:tc>
        <w:tc>
          <w:tcPr>
            <w:tcW w:w="6360" w:type="dxa"/>
            <w:tcMar>
              <w:top w:w="100" w:type="dxa"/>
              <w:left w:w="120" w:type="dxa"/>
              <w:bottom w:w="100" w:type="dxa"/>
              <w:right w:w="120" w:type="dxa"/>
            </w:tcMar>
            <w:vAlign w:val="center"/>
          </w:tcPr>
          <w:p w14:paraId="7456EAAC" w14:textId="77777777" w:rsidR="00261DA5" w:rsidRDefault="00000000">
            <w:r>
              <w:rPr>
                <w:sz w:val="22"/>
                <w:szCs w:val="22"/>
              </w:rPr>
              <w:t xml:space="preserve">draw.io (embed.diagrams.net), embedded via an </w:t>
            </w:r>
            <w:proofErr w:type="spellStart"/>
            <w:r>
              <w:rPr>
                <w:sz w:val="22"/>
                <w:szCs w:val="22"/>
              </w:rPr>
              <w:t>iframe</w:t>
            </w:r>
            <w:proofErr w:type="spellEnd"/>
            <w:r>
              <w:rPr>
                <w:sz w:val="22"/>
                <w:szCs w:val="22"/>
              </w:rPr>
              <w:t xml:space="preserve"> protocol</w:t>
            </w:r>
          </w:p>
        </w:tc>
      </w:tr>
      <w:tr w:rsidR="00261DA5" w14:paraId="7456EAB0" w14:textId="77777777">
        <w:tblPrEx>
          <w:tblCellMar>
            <w:top w:w="0" w:type="dxa"/>
            <w:bottom w:w="0" w:type="dxa"/>
          </w:tblCellMar>
        </w:tblPrEx>
        <w:tc>
          <w:tcPr>
            <w:tcW w:w="3000" w:type="dxa"/>
            <w:tcMar>
              <w:top w:w="100" w:type="dxa"/>
              <w:left w:w="120" w:type="dxa"/>
              <w:bottom w:w="100" w:type="dxa"/>
              <w:right w:w="120" w:type="dxa"/>
            </w:tcMar>
            <w:vAlign w:val="center"/>
          </w:tcPr>
          <w:p w14:paraId="7456EAAE" w14:textId="77777777" w:rsidR="00261DA5" w:rsidRDefault="00000000">
            <w:r>
              <w:rPr>
                <w:sz w:val="22"/>
                <w:szCs w:val="22"/>
              </w:rPr>
              <w:t>Client-side authorisation</w:t>
            </w:r>
          </w:p>
        </w:tc>
        <w:tc>
          <w:tcPr>
            <w:tcW w:w="6360" w:type="dxa"/>
            <w:tcMar>
              <w:top w:w="100" w:type="dxa"/>
              <w:left w:w="120" w:type="dxa"/>
              <w:bottom w:w="100" w:type="dxa"/>
              <w:right w:w="120" w:type="dxa"/>
            </w:tcMar>
            <w:vAlign w:val="center"/>
          </w:tcPr>
          <w:p w14:paraId="7456EAAF" w14:textId="77777777" w:rsidR="00261DA5" w:rsidRDefault="00000000">
            <w:r>
              <w:rPr>
                <w:sz w:val="22"/>
                <w:szCs w:val="22"/>
              </w:rPr>
              <w:t>CASL</w:t>
            </w:r>
          </w:p>
        </w:tc>
      </w:tr>
      <w:tr w:rsidR="00261DA5" w14:paraId="7456EAB3" w14:textId="77777777">
        <w:tblPrEx>
          <w:tblCellMar>
            <w:top w:w="0" w:type="dxa"/>
            <w:bottom w:w="0" w:type="dxa"/>
          </w:tblCellMar>
        </w:tblPrEx>
        <w:tc>
          <w:tcPr>
            <w:tcW w:w="3000" w:type="dxa"/>
            <w:tcMar>
              <w:top w:w="100" w:type="dxa"/>
              <w:left w:w="120" w:type="dxa"/>
              <w:bottom w:w="100" w:type="dxa"/>
              <w:right w:w="120" w:type="dxa"/>
            </w:tcMar>
            <w:vAlign w:val="center"/>
          </w:tcPr>
          <w:p w14:paraId="7456EAB1" w14:textId="77777777" w:rsidR="00261DA5" w:rsidRDefault="00000000">
            <w:r>
              <w:rPr>
                <w:sz w:val="22"/>
                <w:szCs w:val="22"/>
              </w:rPr>
              <w:t>Deployment</w:t>
            </w:r>
          </w:p>
        </w:tc>
        <w:tc>
          <w:tcPr>
            <w:tcW w:w="6360" w:type="dxa"/>
            <w:tcMar>
              <w:top w:w="100" w:type="dxa"/>
              <w:left w:w="120" w:type="dxa"/>
              <w:bottom w:w="100" w:type="dxa"/>
              <w:right w:w="120" w:type="dxa"/>
            </w:tcMar>
            <w:vAlign w:val="center"/>
          </w:tcPr>
          <w:p w14:paraId="7456EAB2" w14:textId="77777777" w:rsidR="00261DA5" w:rsidRDefault="00000000">
            <w:r>
              <w:rPr>
                <w:sz w:val="22"/>
                <w:szCs w:val="22"/>
              </w:rPr>
              <w:t>Azure App Service (backend); Azure Static Web Apps, Next.js hybrid rendering (frontend)</w:t>
            </w:r>
          </w:p>
        </w:tc>
      </w:tr>
    </w:tbl>
    <w:p w14:paraId="7456EAB4" w14:textId="77777777" w:rsidR="00261DA5" w:rsidRDefault="00261DA5">
      <w:pPr>
        <w:spacing w:after="200"/>
      </w:pPr>
    </w:p>
    <w:p w14:paraId="7456EAB5" w14:textId="77777777" w:rsidR="00261DA5" w:rsidRDefault="00000000">
      <w:pPr>
        <w:pStyle w:val="Heading1"/>
        <w:spacing w:before="480" w:after="200"/>
      </w:pPr>
      <w:proofErr w:type="gramStart"/>
      <w:r>
        <w:rPr>
          <w:b/>
          <w:bCs/>
          <w:sz w:val="30"/>
          <w:szCs w:val="30"/>
        </w:rPr>
        <w:t>A.4  System</w:t>
      </w:r>
      <w:proofErr w:type="gramEnd"/>
      <w:r>
        <w:rPr>
          <w:b/>
          <w:bCs/>
          <w:sz w:val="30"/>
          <w:szCs w:val="30"/>
        </w:rPr>
        <w:t xml:space="preserve"> Architecture</w:t>
      </w:r>
    </w:p>
    <w:p w14:paraId="7456EAB6" w14:textId="77777777" w:rsidR="00261DA5" w:rsidRDefault="00000000">
      <w:pPr>
        <w:pStyle w:val="Heading2"/>
        <w:spacing w:before="320" w:after="200"/>
      </w:pPr>
      <w:proofErr w:type="gramStart"/>
      <w:r>
        <w:rPr>
          <w:b/>
          <w:bCs/>
        </w:rPr>
        <w:t>A.4.1  High</w:t>
      </w:r>
      <w:proofErr w:type="gramEnd"/>
      <w:r>
        <w:rPr>
          <w:b/>
          <w:bCs/>
        </w:rPr>
        <w:t>-Level Architecture</w:t>
      </w:r>
    </w:p>
    <w:p w14:paraId="7456EAB7" w14:textId="77777777" w:rsidR="00261DA5" w:rsidRDefault="00000000">
      <w:pPr>
        <w:spacing w:after="200" w:line="276" w:lineRule="auto"/>
        <w:jc w:val="both"/>
      </w:pPr>
      <w:r>
        <w:t xml:space="preserve">The system follows a conventional three-tier architecture: a single-page React/Next.js client, a stateless </w:t>
      </w:r>
      <w:proofErr w:type="spellStart"/>
      <w:r>
        <w:t>FastAPI</w:t>
      </w:r>
      <w:proofErr w:type="spellEnd"/>
      <w:r>
        <w:t xml:space="preserve"> backend exposing a versioned REST API under the path prefix /</w:t>
      </w:r>
      <w:proofErr w:type="spellStart"/>
      <w:r>
        <w:t>api</w:t>
      </w:r>
      <w:proofErr w:type="spellEnd"/>
      <w:r>
        <w:t>/v1, and a relational database (PostgreSQL in production). Two categories of auxiliary storage sit alongside the relational database: per-question and per-lab SQLite files, used as isolated, disposable execution sandboxes for student-submitted SQL (Section A.7.1–A.7.2), and a blob store (local filesystem in development, Azure Blob Storage in production, selected behind a storage-provider abstraction) for ER-diagram submission images.</w:t>
      </w:r>
    </w:p>
    <w:p w14:paraId="7456EAB8" w14:textId="77777777" w:rsidR="00261DA5" w:rsidRDefault="00000000">
      <w:pPr>
        <w:spacing w:after="200" w:line="276" w:lineRule="auto"/>
        <w:jc w:val="both"/>
      </w:pPr>
      <w:r>
        <w:t xml:space="preserve">The backend and frontend are deployed and released independently, each with its own continuous-deployment pipeline (Section A.12), and communicate exclusively over HTTPS through the </w:t>
      </w:r>
      <w:r>
        <w:lastRenderedPageBreak/>
        <w:t xml:space="preserve">versioned REST API. Server-Sent Events (SSE) are used for two long-running, </w:t>
      </w:r>
      <w:proofErr w:type="gramStart"/>
      <w:r>
        <w:t>incrementally-produced</w:t>
      </w:r>
      <w:proofErr w:type="gramEnd"/>
      <w:r>
        <w:t xml:space="preserve"> responses: the streaming AI tutor reply, and the multi-stage ER-diagram grading pipeline. Because the two halves of the system deploy independently and not atomically, changes that span both are engineered to remain backward-compatible for the interval between the two deployments completing; this is one motivation for the feature-flag discipline described in Section A.6.1.</w:t>
      </w:r>
    </w:p>
    <w:p w14:paraId="7456EAB9" w14:textId="77777777" w:rsidR="00261DA5" w:rsidRDefault="00000000">
      <w:pPr>
        <w:spacing w:after="200" w:line="276" w:lineRule="auto"/>
        <w:jc w:val="both"/>
      </w:pPr>
      <w:r>
        <w:t xml:space="preserve">No message queue or task-scheduling infrastructure is used. Background work (e.g. learning-analytics telemetry processing, the SOLO classifier) is executed via </w:t>
      </w:r>
      <w:proofErr w:type="spellStart"/>
      <w:r>
        <w:t>FastAPI's</w:t>
      </w:r>
      <w:proofErr w:type="spellEnd"/>
      <w:r>
        <w:t xml:space="preserve"> in-process </w:t>
      </w:r>
      <w:proofErr w:type="spellStart"/>
      <w:r>
        <w:t>BackgroundTasks</w:t>
      </w:r>
      <w:proofErr w:type="spellEnd"/>
      <w:r>
        <w:t xml:space="preserve"> mechanism, and all time-based enforcement (assessment deadlines, scheduled access windows) is evaluated lazily against a stored timestamp the next time a relevant request arrives, rather than through a polling or scheduled process. This is a deliberate architectural choice, discussed further in Section A.6.3, made appropriate by the moderate scale of the deployment (course-sized cohorts, not a large multi-tenant service); it is flagged as the first infrastructure component to reconsider should the deployment scale substantially.</w:t>
      </w:r>
    </w:p>
    <w:p w14:paraId="7456EABA" w14:textId="77777777" w:rsidR="00261DA5" w:rsidRDefault="00000000">
      <w:pPr>
        <w:pStyle w:val="Heading2"/>
        <w:spacing w:before="320" w:after="200"/>
      </w:pPr>
      <w:proofErr w:type="gramStart"/>
      <w:r>
        <w:rPr>
          <w:b/>
          <w:bCs/>
        </w:rPr>
        <w:t>A.4.2  Repository</w:t>
      </w:r>
      <w:proofErr w:type="gramEnd"/>
      <w:r>
        <w:rPr>
          <w:b/>
          <w:bCs/>
        </w:rPr>
        <w:t xml:space="preserve"> and Codebase Organisation</w:t>
      </w:r>
    </w:p>
    <w:p w14:paraId="7456EABB" w14:textId="77777777" w:rsidR="00261DA5" w:rsidRDefault="00000000">
      <w:pPr>
        <w:spacing w:after="200" w:line="276" w:lineRule="auto"/>
        <w:jc w:val="both"/>
      </w:pPr>
      <w:r>
        <w:t xml:space="preserve">The backend codebase is organised by architectural layer beneath a single </w:t>
      </w:r>
      <w:proofErr w:type="spellStart"/>
      <w:r>
        <w:t>FastAPI</w:t>
      </w:r>
      <w:proofErr w:type="spellEnd"/>
      <w:r>
        <w:t xml:space="preserve"> application: API route handlers (one module per feature area), </w:t>
      </w:r>
      <w:proofErr w:type="spellStart"/>
      <w:r>
        <w:t>Pydantic</w:t>
      </w:r>
      <w:proofErr w:type="spellEnd"/>
      <w:r>
        <w:t xml:space="preserve"> request/response schemas, </w:t>
      </w:r>
      <w:proofErr w:type="spellStart"/>
      <w:r>
        <w:t>SQLAlchemy</w:t>
      </w:r>
      <w:proofErr w:type="spellEnd"/>
      <w:r>
        <w:t xml:space="preserve"> ORM models, a services layer containing business logic and grading engines, and a small core layer for cross-cutting concerns such as query execution sandboxing, authentication primitives, and the read-cache described in Section A.10. Schema evolution is managed through a set of hand-written, idempotent Python migration scripts rather than an automated migration framework such as Alembic, a design choice discussed in Section A.6.4.</w:t>
      </w:r>
    </w:p>
    <w:p w14:paraId="7456EABC" w14:textId="77777777" w:rsidR="00261DA5" w:rsidRDefault="00000000">
      <w:pPr>
        <w:spacing w:after="200" w:line="276" w:lineRule="auto"/>
        <w:jc w:val="both"/>
      </w:pPr>
      <w:r>
        <w:t>The frontend follows the Next.js App Router convention, with routes organised by user role (student-facing and administrative route trees) beneath a shared set of reusable components, a thin service layer (one module per backend feature area, each function corresponding to exactly one API endpoint), and React context providers for cross-cutting client state such as authentication and assessment timing.</w:t>
      </w:r>
    </w:p>
    <w:p w14:paraId="7456EABD" w14:textId="77777777" w:rsidR="00261DA5" w:rsidRDefault="00000000">
      <w:pPr>
        <w:pStyle w:val="Heading2"/>
        <w:spacing w:before="320" w:after="200"/>
      </w:pPr>
      <w:proofErr w:type="gramStart"/>
      <w:r>
        <w:rPr>
          <w:b/>
          <w:bCs/>
        </w:rPr>
        <w:t>A.4.3  Repository</w:t>
      </w:r>
      <w:proofErr w:type="gramEnd"/>
      <w:r>
        <w:rPr>
          <w:b/>
          <w:bCs/>
        </w:rPr>
        <w:t xml:space="preserve"> Structure</w:t>
      </w:r>
    </w:p>
    <w:p w14:paraId="7456EABE" w14:textId="77777777" w:rsidR="00261DA5" w:rsidRDefault="00000000">
      <w:pPr>
        <w:spacing w:after="200" w:line="276" w:lineRule="auto"/>
        <w:jc w:val="both"/>
      </w:pPr>
      <w:r>
        <w:t>The top-level organisation of the source repository is summarised in Figure A.1, reflecting the layered structure described above.</w:t>
      </w:r>
    </w:p>
    <w:tbl>
      <w:tblPr>
        <w:tblW w:w="9360"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61DA5" w14:paraId="7456EAD7" w14:textId="77777777">
        <w:tblPrEx>
          <w:tblCellMar>
            <w:top w:w="0" w:type="dxa"/>
            <w:bottom w:w="0" w:type="dxa"/>
          </w:tblCellMar>
        </w:tblPrEx>
        <w:tc>
          <w:tcPr>
            <w:tcW w:w="9360" w:type="dxa"/>
            <w:shd w:val="clear" w:color="auto" w:fill="F2F2F2"/>
            <w:tcMar>
              <w:top w:w="160" w:type="dxa"/>
              <w:left w:w="200" w:type="dxa"/>
              <w:bottom w:w="160" w:type="dxa"/>
              <w:right w:w="200" w:type="dxa"/>
            </w:tcMar>
          </w:tcPr>
          <w:p w14:paraId="7456EABF" w14:textId="77777777" w:rsidR="00261DA5" w:rsidRDefault="00000000">
            <w:r>
              <w:rPr>
                <w:rFonts w:ascii="Courier New" w:eastAsia="Courier New" w:hAnsi="Courier New" w:cs="Courier New"/>
                <w:sz w:val="18"/>
                <w:szCs w:val="18"/>
              </w:rPr>
              <w:t>.</w:t>
            </w:r>
          </w:p>
          <w:p w14:paraId="7456EAC0" w14:textId="77777777" w:rsidR="00261DA5" w:rsidRDefault="00000000">
            <w:r>
              <w:rPr>
                <w:rFonts w:ascii="Courier New" w:eastAsia="Courier New" w:hAnsi="Courier New" w:cs="Courier New"/>
                <w:sz w:val="18"/>
                <w:szCs w:val="18"/>
              </w:rPr>
              <w:t>├── backend/</w:t>
            </w:r>
          </w:p>
          <w:p w14:paraId="7456EAC1" w14:textId="77777777" w:rsidR="00261DA5" w:rsidRDefault="00000000">
            <w:r>
              <w:rPr>
                <w:rFonts w:ascii="Courier New" w:eastAsia="Courier New" w:hAnsi="Courier New" w:cs="Courier New"/>
                <w:sz w:val="18"/>
                <w:szCs w:val="18"/>
              </w:rPr>
              <w:t>│   ├── app/</w:t>
            </w:r>
          </w:p>
          <w:p w14:paraId="7456EAC2" w14:textId="77777777" w:rsidR="00261DA5" w:rsidRDefault="00000000">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/v1/endpoints/    route handlers, one module per feature area</w:t>
            </w:r>
          </w:p>
          <w:p w14:paraId="7456EAC3" w14:textId="77777777" w:rsidR="00261DA5" w:rsidRDefault="00000000">
            <w:r>
              <w:rPr>
                <w:rFonts w:ascii="Courier New" w:eastAsia="Courier New" w:hAnsi="Courier New" w:cs="Courier New"/>
                <w:sz w:val="18"/>
                <w:szCs w:val="18"/>
              </w:rPr>
              <w:t xml:space="preserve">│   │   ├── core/                 query execution, authentication, </w:t>
            </w:r>
            <w:proofErr w:type="gramStart"/>
            <w:r>
              <w:rPr>
                <w:rFonts w:ascii="Courier New" w:eastAsia="Courier New" w:hAnsi="Courier New" w:cs="Courier New"/>
                <w:sz w:val="18"/>
                <w:szCs w:val="18"/>
              </w:rPr>
              <w:t>read-cache</w:t>
            </w:r>
            <w:proofErr w:type="gramEnd"/>
          </w:p>
          <w:p w14:paraId="7456EAC4" w14:textId="77777777" w:rsidR="00261DA5" w:rsidRDefault="00000000">
            <w:r>
              <w:rPr>
                <w:rFonts w:ascii="Courier New" w:eastAsia="Courier New" w:hAnsi="Courier New" w:cs="Courier New"/>
                <w:sz w:val="18"/>
                <w:szCs w:val="18"/>
              </w:rPr>
              <w:t xml:space="preserve">│   │   ├── models/               </w:t>
            </w:r>
            <w:proofErr w:type="spellStart"/>
            <w:r>
              <w:rPr>
                <w:rFonts w:ascii="Courier New" w:eastAsia="Courier New" w:hAnsi="Courier New" w:cs="Courier New"/>
                <w:sz w:val="18"/>
                <w:szCs w:val="18"/>
              </w:rPr>
              <w:t>SQLAlchemy</w:t>
            </w:r>
            <w:proofErr w:type="spellEnd"/>
            <w:r>
              <w:rPr>
                <w:rFonts w:ascii="Courier New" w:eastAsia="Courier New" w:hAnsi="Courier New" w:cs="Courier New"/>
                <w:sz w:val="18"/>
                <w:szCs w:val="18"/>
              </w:rPr>
              <w:t xml:space="preserve"> ORM models</w:t>
            </w:r>
          </w:p>
          <w:p w14:paraId="7456EAC5" w14:textId="77777777" w:rsidR="00261DA5" w:rsidRDefault="00000000">
            <w:r>
              <w:rPr>
                <w:rFonts w:ascii="Courier New" w:eastAsia="Courier New" w:hAnsi="Courier New" w:cs="Courier New"/>
                <w:sz w:val="18"/>
                <w:szCs w:val="18"/>
              </w:rPr>
              <w:t xml:space="preserve">│   │   ├── schemas/              </w:t>
            </w:r>
            <w:proofErr w:type="spellStart"/>
            <w:r>
              <w:rPr>
                <w:rFonts w:ascii="Courier New" w:eastAsia="Courier New" w:hAnsi="Courier New" w:cs="Courier New"/>
                <w:sz w:val="18"/>
                <w:szCs w:val="18"/>
              </w:rPr>
              <w:t>Pydantic</w:t>
            </w:r>
            <w:proofErr w:type="spellEnd"/>
            <w:r>
              <w:rPr>
                <w:rFonts w:ascii="Courier New" w:eastAsia="Courier New" w:hAnsi="Courier New" w:cs="Courier New"/>
                <w:sz w:val="18"/>
                <w:szCs w:val="18"/>
              </w:rPr>
              <w:t xml:space="preserve"> request/response schemas</w:t>
            </w:r>
          </w:p>
          <w:p w14:paraId="7456EAC6" w14:textId="77777777" w:rsidR="00261DA5" w:rsidRDefault="00000000">
            <w:r>
              <w:rPr>
                <w:rFonts w:ascii="Courier New" w:eastAsia="Courier New" w:hAnsi="Courier New" w:cs="Courier New"/>
                <w:sz w:val="18"/>
                <w:szCs w:val="18"/>
              </w:rPr>
              <w:lastRenderedPageBreak/>
              <w:t>│   │   ├── services/             business logic and grading engines</w:t>
            </w:r>
          </w:p>
          <w:p w14:paraId="7456EAC7" w14:textId="77777777" w:rsidR="00261DA5" w:rsidRDefault="00000000">
            <w:r>
              <w:rPr>
                <w:rFonts w:ascii="Courier New" w:eastAsia="Courier New" w:hAnsi="Courier New" w:cs="Courier New"/>
                <w:sz w:val="18"/>
                <w:szCs w:val="18"/>
              </w:rPr>
              <w:t>│   │   ├── utils/                 storage adapters, database provisioning</w:t>
            </w:r>
          </w:p>
          <w:p w14:paraId="7456EAC8" w14:textId="77777777" w:rsidR="00261DA5" w:rsidRDefault="00000000">
            <w:r>
              <w:rPr>
                <w:rFonts w:ascii="Courier New" w:eastAsia="Courier New" w:hAnsi="Courier New" w:cs="Courier New"/>
                <w:sz w:val="18"/>
                <w:szCs w:val="18"/>
              </w:rPr>
              <w:t>│   │   ├── config.py              environment-driven application settings</w:t>
            </w:r>
          </w:p>
          <w:p w14:paraId="7456EAC9" w14:textId="77777777" w:rsidR="00261DA5" w:rsidRDefault="00000000">
            <w:r>
              <w:rPr>
                <w:rFonts w:ascii="Courier New" w:eastAsia="Courier New" w:hAnsi="Courier New" w:cs="Courier New"/>
                <w:sz w:val="18"/>
                <w:szCs w:val="18"/>
              </w:rPr>
              <w:t>│   │   ├── database.py            database engine and session configuration</w:t>
            </w:r>
          </w:p>
          <w:p w14:paraId="7456EACA" w14:textId="77777777" w:rsidR="00261DA5" w:rsidRDefault="00000000">
            <w:r>
              <w:rPr>
                <w:rFonts w:ascii="Courier New" w:eastAsia="Courier New" w:hAnsi="Courier New" w:cs="Courier New"/>
                <w:sz w:val="18"/>
                <w:szCs w:val="18"/>
              </w:rPr>
              <w:t>│   │   └── main.py                application assembly and router wiring</w:t>
            </w:r>
          </w:p>
          <w:p w14:paraId="7456EACB" w14:textId="77777777" w:rsidR="00261DA5" w:rsidRDefault="00000000">
            <w:r>
              <w:rPr>
                <w:rFonts w:ascii="Courier New" w:eastAsia="Courier New" w:hAnsi="Courier New" w:cs="Courier New"/>
                <w:sz w:val="18"/>
                <w:szCs w:val="18"/>
              </w:rPr>
              <w:t>│   ├── migrations/                reference PostgreSQL data-definition scripts</w:t>
            </w:r>
          </w:p>
          <w:p w14:paraId="7456EACC" w14:textId="77777777" w:rsidR="00261DA5" w:rsidRDefault="00000000">
            <w:r>
              <w:rPr>
                <w:rFonts w:ascii="Courier New" w:eastAsia="Courier New" w:hAnsi="Courier New" w:cs="Courier New"/>
                <w:sz w:val="18"/>
                <w:szCs w:val="18"/>
              </w:rPr>
              <w:t>│   ├── run_*.py                   executed, idempotent schema-migration scripts</w:t>
            </w:r>
          </w:p>
          <w:p w14:paraId="7456EACD" w14:textId="77777777" w:rsidR="00261DA5" w:rsidRDefault="00000000">
            <w:r>
              <w:rPr>
                <w:rFonts w:ascii="Courier New" w:eastAsia="Courier New" w:hAnsi="Courier New" w:cs="Courier New"/>
                <w:sz w:val="18"/>
                <w:szCs w:val="18"/>
              </w:rPr>
              <w:t>│   └── tests/                     automated backend test suite (</w:t>
            </w:r>
            <w:proofErr w:type="spellStart"/>
            <w:r>
              <w:rPr>
                <w:rFonts w:ascii="Courier New" w:eastAsia="Courier New" w:hAnsi="Courier New" w:cs="Courier New"/>
                <w:sz w:val="18"/>
                <w:szCs w:val="18"/>
              </w:rPr>
              <w:t>pytest</w:t>
            </w:r>
            <w:proofErr w:type="spellEnd"/>
            <w:r>
              <w:rPr>
                <w:rFonts w:ascii="Courier New" w:eastAsia="Courier New" w:hAnsi="Courier New" w:cs="Courier New"/>
                <w:sz w:val="18"/>
                <w:szCs w:val="18"/>
              </w:rPr>
              <w:t>)</w:t>
            </w:r>
          </w:p>
          <w:p w14:paraId="7456EACE" w14:textId="77777777" w:rsidR="00261DA5" w:rsidRDefault="00000000">
            <w:r>
              <w:rPr>
                <w:rFonts w:ascii="Courier New" w:eastAsia="Courier New" w:hAnsi="Courier New" w:cs="Courier New"/>
                <w:sz w:val="18"/>
                <w:szCs w:val="18"/>
              </w:rPr>
              <w:t>├── frontend/</w:t>
            </w:r>
          </w:p>
          <w:p w14:paraId="7456EACF" w14:textId="77777777" w:rsidR="00261DA5"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w:t>
            </w:r>
          </w:p>
          <w:p w14:paraId="7456EAD0" w14:textId="77777777" w:rsidR="00261DA5" w:rsidRDefault="00000000">
            <w:r>
              <w:rPr>
                <w:rFonts w:ascii="Courier New" w:eastAsia="Courier New" w:hAnsi="Courier New" w:cs="Courier New"/>
                <w:sz w:val="18"/>
                <w:szCs w:val="18"/>
              </w:rPr>
              <w:t>│       ├── app/                   Next.js App Router, organised by user role</w:t>
            </w:r>
          </w:p>
          <w:p w14:paraId="7456EAD1" w14:textId="77777777" w:rsidR="00261DA5" w:rsidRDefault="00000000">
            <w:r>
              <w:rPr>
                <w:rFonts w:ascii="Courier New" w:eastAsia="Courier New" w:hAnsi="Courier New" w:cs="Courier New"/>
                <w:sz w:val="18"/>
                <w:szCs w:val="18"/>
              </w:rPr>
              <w:t xml:space="preserve">│       ├── components/            </w:t>
            </w:r>
            <w:proofErr w:type="gramStart"/>
            <w:r>
              <w:rPr>
                <w:rFonts w:ascii="Courier New" w:eastAsia="Courier New" w:hAnsi="Courier New" w:cs="Courier New"/>
                <w:sz w:val="18"/>
                <w:szCs w:val="18"/>
              </w:rPr>
              <w:t>feature-grouped</w:t>
            </w:r>
            <w:proofErr w:type="gramEnd"/>
            <w:r>
              <w:rPr>
                <w:rFonts w:ascii="Courier New" w:eastAsia="Courier New" w:hAnsi="Courier New" w:cs="Courier New"/>
                <w:sz w:val="18"/>
                <w:szCs w:val="18"/>
              </w:rPr>
              <w:t xml:space="preserve"> React components</w:t>
            </w:r>
          </w:p>
          <w:p w14:paraId="7456EAD2" w14:textId="77777777" w:rsidR="00261DA5" w:rsidRDefault="00000000">
            <w:r>
              <w:rPr>
                <w:rFonts w:ascii="Courier New" w:eastAsia="Courier New" w:hAnsi="Courier New" w:cs="Courier New"/>
                <w:sz w:val="18"/>
                <w:szCs w:val="18"/>
              </w:rPr>
              <w:t>│       ├── services/               one module per backend feature area</w:t>
            </w:r>
          </w:p>
          <w:p w14:paraId="7456EAD3" w14:textId="77777777" w:rsidR="00261DA5" w:rsidRDefault="00000000">
            <w:r>
              <w:rPr>
                <w:rFonts w:ascii="Courier New" w:eastAsia="Courier New" w:hAnsi="Courier New" w:cs="Courier New"/>
                <w:sz w:val="18"/>
                <w:szCs w:val="18"/>
              </w:rPr>
              <w:t>│       ├── contexts/               cross-cutting client state (auth, timers)</w:t>
            </w:r>
          </w:p>
          <w:p w14:paraId="7456EAD4" w14:textId="77777777" w:rsidR="00261DA5" w:rsidRDefault="00000000">
            <w:r>
              <w:rPr>
                <w:rFonts w:ascii="Courier New" w:eastAsia="Courier New" w:hAnsi="Courier New" w:cs="Courier New"/>
                <w:sz w:val="18"/>
                <w:szCs w:val="18"/>
              </w:rPr>
              <w:t>│       ├── permissions/            client-side authorisation (CASL)</w:t>
            </w:r>
          </w:p>
          <w:p w14:paraId="7456EAD5" w14:textId="77777777" w:rsidR="00261DA5" w:rsidRDefault="00000000">
            <w:r>
              <w:rPr>
                <w:rFonts w:ascii="Courier New" w:eastAsia="Courier New" w:hAnsi="Courier New" w:cs="Courier New"/>
                <w:sz w:val="18"/>
                <w:szCs w:val="18"/>
              </w:rPr>
              <w:t>│       └── hooks/, types/, utils/</w:t>
            </w:r>
          </w:p>
          <w:p w14:paraId="7456EAD6" w14:textId="77777777" w:rsidR="00261DA5" w:rsidRDefault="00000000">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spellStart"/>
            <w:r>
              <w:rPr>
                <w:rFonts w:ascii="Courier New" w:eastAsia="Courier New" w:hAnsi="Courier New" w:cs="Courier New"/>
                <w:sz w:val="18"/>
                <w:szCs w:val="18"/>
              </w:rPr>
              <w:t>github</w:t>
            </w:r>
            <w:proofErr w:type="spellEnd"/>
            <w:proofErr w:type="gramEnd"/>
            <w:r>
              <w:rPr>
                <w:rFonts w:ascii="Courier New" w:eastAsia="Courier New" w:hAnsi="Courier New" w:cs="Courier New"/>
                <w:sz w:val="18"/>
                <w:szCs w:val="18"/>
              </w:rPr>
              <w:t>/workflows/             continuous-deployment pipelines</w:t>
            </w:r>
          </w:p>
        </w:tc>
      </w:tr>
    </w:tbl>
    <w:p w14:paraId="7456EAD8" w14:textId="1071B164" w:rsidR="00261DA5" w:rsidRDefault="00000000">
      <w:pPr>
        <w:spacing w:before="100" w:after="200"/>
      </w:pPr>
      <w:r>
        <w:rPr>
          <w:i/>
          <w:iCs/>
          <w:sz w:val="21"/>
          <w:szCs w:val="21"/>
        </w:rPr>
        <w:lastRenderedPageBreak/>
        <w:t xml:space="preserve">Figure A.1 </w:t>
      </w:r>
      <w:r w:rsidR="00301863">
        <w:rPr>
          <w:i/>
          <w:iCs/>
          <w:sz w:val="21"/>
          <w:szCs w:val="21"/>
        </w:rPr>
        <w:t>-</w:t>
      </w:r>
      <w:r>
        <w:rPr>
          <w:i/>
          <w:iCs/>
          <w:sz w:val="21"/>
          <w:szCs w:val="21"/>
        </w:rPr>
        <w:t xml:space="preserve"> Top-level structure of the source repository.</w:t>
      </w:r>
    </w:p>
    <w:p w14:paraId="7456EAD9" w14:textId="77777777" w:rsidR="00261DA5" w:rsidRDefault="00000000">
      <w:pPr>
        <w:spacing w:after="200" w:line="276" w:lineRule="auto"/>
        <w:jc w:val="both"/>
      </w:pPr>
      <w:r>
        <w:t>This organisation was maintained consistently as the system grew: new functionality is added as a new module within the existing layer structure rather than through ad hoc placement, and the one-service-module-per-feature-area convention on the frontend mirrors the one-router-module-per-feature-area convention on the backend, so that a given feature's client and server code can generally be located by name alone.</w:t>
      </w:r>
    </w:p>
    <w:p w14:paraId="7456EADA" w14:textId="77777777" w:rsidR="00261DA5" w:rsidRDefault="00000000">
      <w:pPr>
        <w:pStyle w:val="Heading1"/>
        <w:spacing w:before="480" w:after="200"/>
      </w:pPr>
      <w:proofErr w:type="gramStart"/>
      <w:r>
        <w:rPr>
          <w:b/>
          <w:bCs/>
          <w:sz w:val="30"/>
          <w:szCs w:val="30"/>
        </w:rPr>
        <w:t>A.5  Data</w:t>
      </w:r>
      <w:proofErr w:type="gramEnd"/>
      <w:r>
        <w:rPr>
          <w:b/>
          <w:bCs/>
          <w:sz w:val="30"/>
          <w:szCs w:val="30"/>
        </w:rPr>
        <w:t xml:space="preserve"> Model</w:t>
      </w:r>
    </w:p>
    <w:p w14:paraId="7456EADB" w14:textId="2D6890E6" w:rsidR="00261DA5" w:rsidRDefault="00000000">
      <w:pPr>
        <w:spacing w:after="200" w:line="276" w:lineRule="auto"/>
        <w:jc w:val="both"/>
      </w:pPr>
      <w:r>
        <w:t xml:space="preserve">The relational schema is organised around six functional domains, summarised in Table A.2. A consistent pattern recurs across the content-authoring domains (SQL Questions, Labs, ER Diagram Questions): each entity is dual-purpose, serving both as master, staff-authored bank content and </w:t>
      </w:r>
      <w:r w:rsidR="00301863">
        <w:t>-</w:t>
      </w:r>
      <w:r>
        <w:t xml:space="preserve"> via a self-referential </w:t>
      </w:r>
      <w:proofErr w:type="spellStart"/>
      <w:r>
        <w:t>owner_assessment_id</w:t>
      </w:r>
      <w:proofErr w:type="spellEnd"/>
      <w:r>
        <w:t xml:space="preserve"> foreign key </w:t>
      </w:r>
      <w:r w:rsidR="00301863">
        <w:t>-</w:t>
      </w:r>
      <w:r>
        <w:t xml:space="preserve"> as an assessment-owned clone produced at the moment an assessment is published (Section A.7.4). This cloning mechanism is the principal structural device by which the system isolates a student's graded assessment attempt from their unrelated free-practice history on the same underlying </w:t>
      </w:r>
      <w:proofErr w:type="gramStart"/>
      <w:r>
        <w:t>question, and</w:t>
      </w:r>
      <w:proofErr w:type="gramEnd"/>
      <w:r>
        <w:t xml:space="preserve"> is discussed in detail in Section A.7.4.</w:t>
      </w:r>
    </w:p>
    <w:p w14:paraId="7456EADC" w14:textId="4720BAE0" w:rsidR="00261DA5" w:rsidRDefault="00000000">
      <w:pPr>
        <w:spacing w:before="200" w:after="100"/>
      </w:pPr>
      <w:r>
        <w:rPr>
          <w:i/>
          <w:iCs/>
          <w:sz w:val="21"/>
          <w:szCs w:val="21"/>
        </w:rPr>
        <w:t xml:space="preserve">Table A.2 </w:t>
      </w:r>
      <w:r w:rsidR="00301863">
        <w:rPr>
          <w:i/>
          <w:iCs/>
          <w:sz w:val="21"/>
          <w:szCs w:val="21"/>
        </w:rPr>
        <w:t>-</w:t>
      </w:r>
      <w:r>
        <w:rPr>
          <w:i/>
          <w:iCs/>
          <w:sz w:val="21"/>
          <w:szCs w:val="21"/>
        </w:rPr>
        <w:t xml:space="preserve"> Data model, grouped by functional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61DA5" w14:paraId="7456EADF" w14:textId="77777777">
        <w:tblPrEx>
          <w:tblCellMar>
            <w:top w:w="0" w:type="dxa"/>
            <w:bottom w:w="0" w:type="dxa"/>
          </w:tblCellMar>
        </w:tblPrEx>
        <w:trPr>
          <w:tblHeader/>
        </w:trPr>
        <w:tc>
          <w:tcPr>
            <w:tcW w:w="3200" w:type="dxa"/>
            <w:shd w:val="clear" w:color="auto" w:fill="D9D9D9"/>
            <w:tcMar>
              <w:top w:w="100" w:type="dxa"/>
              <w:left w:w="120" w:type="dxa"/>
              <w:bottom w:w="100" w:type="dxa"/>
              <w:right w:w="120" w:type="dxa"/>
            </w:tcMar>
            <w:vAlign w:val="center"/>
          </w:tcPr>
          <w:p w14:paraId="7456EADD" w14:textId="77777777" w:rsidR="00261DA5" w:rsidRDefault="00000000">
            <w:r>
              <w:rPr>
                <w:b/>
                <w:bCs/>
                <w:sz w:val="22"/>
                <w:szCs w:val="22"/>
              </w:rPr>
              <w:t>Domain</w:t>
            </w:r>
          </w:p>
        </w:tc>
        <w:tc>
          <w:tcPr>
            <w:tcW w:w="6160" w:type="dxa"/>
            <w:shd w:val="clear" w:color="auto" w:fill="D9D9D9"/>
            <w:tcMar>
              <w:top w:w="100" w:type="dxa"/>
              <w:left w:w="120" w:type="dxa"/>
              <w:bottom w:w="100" w:type="dxa"/>
              <w:right w:w="120" w:type="dxa"/>
            </w:tcMar>
            <w:vAlign w:val="center"/>
          </w:tcPr>
          <w:p w14:paraId="7456EADE" w14:textId="77777777" w:rsidR="00261DA5" w:rsidRDefault="00000000">
            <w:r>
              <w:rPr>
                <w:b/>
                <w:bCs/>
                <w:sz w:val="22"/>
                <w:szCs w:val="22"/>
              </w:rPr>
              <w:t>Principal entities</w:t>
            </w:r>
          </w:p>
        </w:tc>
      </w:tr>
      <w:tr w:rsidR="00261DA5" w14:paraId="7456EAE2" w14:textId="77777777">
        <w:tblPrEx>
          <w:tblCellMar>
            <w:top w:w="0" w:type="dxa"/>
            <w:bottom w:w="0" w:type="dxa"/>
          </w:tblCellMar>
        </w:tblPrEx>
        <w:tc>
          <w:tcPr>
            <w:tcW w:w="3200" w:type="dxa"/>
            <w:tcMar>
              <w:top w:w="100" w:type="dxa"/>
              <w:left w:w="120" w:type="dxa"/>
              <w:bottom w:w="100" w:type="dxa"/>
              <w:right w:w="120" w:type="dxa"/>
            </w:tcMar>
            <w:vAlign w:val="center"/>
          </w:tcPr>
          <w:p w14:paraId="7456EAE0" w14:textId="77777777" w:rsidR="00261DA5" w:rsidRDefault="00000000">
            <w:r>
              <w:rPr>
                <w:sz w:val="22"/>
                <w:szCs w:val="22"/>
              </w:rPr>
              <w:t>Identity and access</w:t>
            </w:r>
          </w:p>
        </w:tc>
        <w:tc>
          <w:tcPr>
            <w:tcW w:w="6160" w:type="dxa"/>
            <w:tcMar>
              <w:top w:w="100" w:type="dxa"/>
              <w:left w:w="120" w:type="dxa"/>
              <w:bottom w:w="100" w:type="dxa"/>
              <w:right w:w="120" w:type="dxa"/>
            </w:tcMar>
            <w:vAlign w:val="center"/>
          </w:tcPr>
          <w:p w14:paraId="7456EAE1" w14:textId="77777777" w:rsidR="00261DA5" w:rsidRDefault="00000000">
            <w:r>
              <w:rPr>
                <w:sz w:val="22"/>
                <w:szCs w:val="22"/>
              </w:rPr>
              <w:t xml:space="preserve">User, </w:t>
            </w:r>
            <w:proofErr w:type="spellStart"/>
            <w:r>
              <w:rPr>
                <w:sz w:val="22"/>
                <w:szCs w:val="22"/>
              </w:rPr>
              <w:t>WhitelistEntry</w:t>
            </w:r>
            <w:proofErr w:type="spellEnd"/>
            <w:r>
              <w:rPr>
                <w:sz w:val="22"/>
                <w:szCs w:val="22"/>
              </w:rPr>
              <w:t xml:space="preserve">, </w:t>
            </w:r>
            <w:proofErr w:type="spellStart"/>
            <w:r>
              <w:rPr>
                <w:sz w:val="22"/>
                <w:szCs w:val="22"/>
              </w:rPr>
              <w:t>LoginActivity</w:t>
            </w:r>
            <w:proofErr w:type="spellEnd"/>
            <w:r>
              <w:rPr>
                <w:sz w:val="22"/>
                <w:szCs w:val="22"/>
              </w:rPr>
              <w:t xml:space="preserve">, </w:t>
            </w:r>
            <w:proofErr w:type="spellStart"/>
            <w:r>
              <w:rPr>
                <w:sz w:val="22"/>
                <w:szCs w:val="22"/>
              </w:rPr>
              <w:t>PlatformSession</w:t>
            </w:r>
            <w:proofErr w:type="spellEnd"/>
            <w:r>
              <w:rPr>
                <w:sz w:val="22"/>
                <w:szCs w:val="22"/>
              </w:rPr>
              <w:t xml:space="preserve">, </w:t>
            </w:r>
            <w:proofErr w:type="spellStart"/>
            <w:r>
              <w:rPr>
                <w:sz w:val="22"/>
                <w:szCs w:val="22"/>
              </w:rPr>
              <w:t>UserPreference</w:t>
            </w:r>
            <w:proofErr w:type="spellEnd"/>
          </w:p>
        </w:tc>
      </w:tr>
      <w:tr w:rsidR="00261DA5" w14:paraId="7456EAE5" w14:textId="77777777">
        <w:tblPrEx>
          <w:tblCellMar>
            <w:top w:w="0" w:type="dxa"/>
            <w:bottom w:w="0" w:type="dxa"/>
          </w:tblCellMar>
        </w:tblPrEx>
        <w:tc>
          <w:tcPr>
            <w:tcW w:w="3200" w:type="dxa"/>
            <w:tcMar>
              <w:top w:w="100" w:type="dxa"/>
              <w:left w:w="120" w:type="dxa"/>
              <w:bottom w:w="100" w:type="dxa"/>
              <w:right w:w="120" w:type="dxa"/>
            </w:tcMar>
            <w:vAlign w:val="center"/>
          </w:tcPr>
          <w:p w14:paraId="7456EAE3" w14:textId="77777777" w:rsidR="00261DA5" w:rsidRDefault="00000000">
            <w:r>
              <w:rPr>
                <w:sz w:val="22"/>
                <w:szCs w:val="22"/>
              </w:rPr>
              <w:t>SQL Questions</w:t>
            </w:r>
          </w:p>
        </w:tc>
        <w:tc>
          <w:tcPr>
            <w:tcW w:w="6160" w:type="dxa"/>
            <w:tcMar>
              <w:top w:w="100" w:type="dxa"/>
              <w:left w:w="120" w:type="dxa"/>
              <w:bottom w:w="100" w:type="dxa"/>
              <w:right w:w="120" w:type="dxa"/>
            </w:tcMar>
            <w:vAlign w:val="center"/>
          </w:tcPr>
          <w:p w14:paraId="7456EAE4" w14:textId="77777777" w:rsidR="00261DA5" w:rsidRDefault="00000000">
            <w:r>
              <w:rPr>
                <w:sz w:val="22"/>
                <w:szCs w:val="22"/>
              </w:rPr>
              <w:t xml:space="preserve">Question, Attempt, </w:t>
            </w:r>
            <w:proofErr w:type="spellStart"/>
            <w:r>
              <w:rPr>
                <w:sz w:val="22"/>
                <w:szCs w:val="22"/>
              </w:rPr>
              <w:t>UserProgress</w:t>
            </w:r>
            <w:proofErr w:type="spellEnd"/>
            <w:r>
              <w:rPr>
                <w:sz w:val="22"/>
                <w:szCs w:val="22"/>
              </w:rPr>
              <w:t xml:space="preserve">, </w:t>
            </w:r>
            <w:proofErr w:type="spellStart"/>
            <w:r>
              <w:rPr>
                <w:sz w:val="22"/>
                <w:szCs w:val="22"/>
              </w:rPr>
              <w:t>QueryReview</w:t>
            </w:r>
            <w:proofErr w:type="spellEnd"/>
          </w:p>
        </w:tc>
      </w:tr>
      <w:tr w:rsidR="00261DA5" w14:paraId="7456EAE8" w14:textId="77777777">
        <w:tblPrEx>
          <w:tblCellMar>
            <w:top w:w="0" w:type="dxa"/>
            <w:bottom w:w="0" w:type="dxa"/>
          </w:tblCellMar>
        </w:tblPrEx>
        <w:tc>
          <w:tcPr>
            <w:tcW w:w="3200" w:type="dxa"/>
            <w:tcMar>
              <w:top w:w="100" w:type="dxa"/>
              <w:left w:w="120" w:type="dxa"/>
              <w:bottom w:w="100" w:type="dxa"/>
              <w:right w:w="120" w:type="dxa"/>
            </w:tcMar>
            <w:vAlign w:val="center"/>
          </w:tcPr>
          <w:p w14:paraId="7456EAE6" w14:textId="77777777" w:rsidR="00261DA5" w:rsidRDefault="00000000">
            <w:r>
              <w:rPr>
                <w:sz w:val="22"/>
                <w:szCs w:val="22"/>
              </w:rPr>
              <w:t>SQL / Graph Labs</w:t>
            </w:r>
          </w:p>
        </w:tc>
        <w:tc>
          <w:tcPr>
            <w:tcW w:w="6160" w:type="dxa"/>
            <w:tcMar>
              <w:top w:w="100" w:type="dxa"/>
              <w:left w:w="120" w:type="dxa"/>
              <w:bottom w:w="100" w:type="dxa"/>
              <w:right w:w="120" w:type="dxa"/>
            </w:tcMar>
            <w:vAlign w:val="center"/>
          </w:tcPr>
          <w:p w14:paraId="7456EAE7" w14:textId="77777777" w:rsidR="00261DA5" w:rsidRDefault="00000000">
            <w:r>
              <w:rPr>
                <w:sz w:val="22"/>
                <w:szCs w:val="22"/>
              </w:rPr>
              <w:t xml:space="preserve">Lab, </w:t>
            </w:r>
            <w:proofErr w:type="spellStart"/>
            <w:r>
              <w:rPr>
                <w:sz w:val="22"/>
                <w:szCs w:val="22"/>
              </w:rPr>
              <w:t>LabTask</w:t>
            </w:r>
            <w:proofErr w:type="spellEnd"/>
            <w:r>
              <w:rPr>
                <w:sz w:val="22"/>
                <w:szCs w:val="22"/>
              </w:rPr>
              <w:t xml:space="preserve">, </w:t>
            </w:r>
            <w:proofErr w:type="spellStart"/>
            <w:r>
              <w:rPr>
                <w:sz w:val="22"/>
                <w:szCs w:val="22"/>
              </w:rPr>
              <w:t>LabSession</w:t>
            </w:r>
            <w:proofErr w:type="spellEnd"/>
            <w:r>
              <w:rPr>
                <w:sz w:val="22"/>
                <w:szCs w:val="22"/>
              </w:rPr>
              <w:t xml:space="preserve">, </w:t>
            </w:r>
            <w:proofErr w:type="spellStart"/>
            <w:r>
              <w:rPr>
                <w:sz w:val="22"/>
                <w:szCs w:val="22"/>
              </w:rPr>
              <w:t>LabAttempt</w:t>
            </w:r>
            <w:proofErr w:type="spellEnd"/>
            <w:r>
              <w:rPr>
                <w:sz w:val="22"/>
                <w:szCs w:val="22"/>
              </w:rPr>
              <w:t xml:space="preserve">, </w:t>
            </w:r>
            <w:proofErr w:type="spellStart"/>
            <w:r>
              <w:rPr>
                <w:sz w:val="22"/>
                <w:szCs w:val="22"/>
              </w:rPr>
              <w:t>LabTaskSubmission</w:t>
            </w:r>
            <w:proofErr w:type="spellEnd"/>
          </w:p>
        </w:tc>
      </w:tr>
      <w:tr w:rsidR="00261DA5" w14:paraId="7456EAEB" w14:textId="77777777">
        <w:tblPrEx>
          <w:tblCellMar>
            <w:top w:w="0" w:type="dxa"/>
            <w:bottom w:w="0" w:type="dxa"/>
          </w:tblCellMar>
        </w:tblPrEx>
        <w:tc>
          <w:tcPr>
            <w:tcW w:w="3200" w:type="dxa"/>
            <w:tcMar>
              <w:top w:w="100" w:type="dxa"/>
              <w:left w:w="120" w:type="dxa"/>
              <w:bottom w:w="100" w:type="dxa"/>
              <w:right w:w="120" w:type="dxa"/>
            </w:tcMar>
            <w:vAlign w:val="center"/>
          </w:tcPr>
          <w:p w14:paraId="7456EAE9" w14:textId="77777777" w:rsidR="00261DA5" w:rsidRDefault="00000000">
            <w:r>
              <w:rPr>
                <w:sz w:val="22"/>
                <w:szCs w:val="22"/>
              </w:rPr>
              <w:lastRenderedPageBreak/>
              <w:t>ER Diagrams</w:t>
            </w:r>
          </w:p>
        </w:tc>
        <w:tc>
          <w:tcPr>
            <w:tcW w:w="6160" w:type="dxa"/>
            <w:tcMar>
              <w:top w:w="100" w:type="dxa"/>
              <w:left w:w="120" w:type="dxa"/>
              <w:bottom w:w="100" w:type="dxa"/>
              <w:right w:w="120" w:type="dxa"/>
            </w:tcMar>
            <w:vAlign w:val="center"/>
          </w:tcPr>
          <w:p w14:paraId="7456EAEA" w14:textId="77777777" w:rsidR="00261DA5" w:rsidRDefault="00000000">
            <w:proofErr w:type="spellStart"/>
            <w:r>
              <w:rPr>
                <w:sz w:val="22"/>
                <w:szCs w:val="22"/>
              </w:rPr>
              <w:t>ERDiagramQuestion</w:t>
            </w:r>
            <w:proofErr w:type="spellEnd"/>
            <w:r>
              <w:rPr>
                <w:sz w:val="22"/>
                <w:szCs w:val="22"/>
              </w:rPr>
              <w:t xml:space="preserve">, </w:t>
            </w:r>
            <w:proofErr w:type="spellStart"/>
            <w:r>
              <w:rPr>
                <w:sz w:val="22"/>
                <w:szCs w:val="22"/>
              </w:rPr>
              <w:t>ErSubmission</w:t>
            </w:r>
            <w:proofErr w:type="spellEnd"/>
            <w:r>
              <w:rPr>
                <w:sz w:val="22"/>
                <w:szCs w:val="22"/>
              </w:rPr>
              <w:t xml:space="preserve">, </w:t>
            </w:r>
            <w:proofErr w:type="spellStart"/>
            <w:r>
              <w:rPr>
                <w:sz w:val="22"/>
                <w:szCs w:val="22"/>
              </w:rPr>
              <w:t>ErDiagramDraft</w:t>
            </w:r>
            <w:proofErr w:type="spellEnd"/>
            <w:r>
              <w:rPr>
                <w:sz w:val="22"/>
                <w:szCs w:val="22"/>
              </w:rPr>
              <w:t xml:space="preserve">, </w:t>
            </w:r>
            <w:proofErr w:type="spellStart"/>
            <w:r>
              <w:rPr>
                <w:sz w:val="22"/>
                <w:szCs w:val="22"/>
              </w:rPr>
              <w:t>ErDiagramImageDraft</w:t>
            </w:r>
            <w:proofErr w:type="spellEnd"/>
            <w:r>
              <w:rPr>
                <w:sz w:val="22"/>
                <w:szCs w:val="22"/>
              </w:rPr>
              <w:t xml:space="preserve">, </w:t>
            </w:r>
            <w:proofErr w:type="spellStart"/>
            <w:r>
              <w:rPr>
                <w:sz w:val="22"/>
                <w:szCs w:val="22"/>
              </w:rPr>
              <w:t>ErdPromptVersion</w:t>
            </w:r>
            <w:proofErr w:type="spellEnd"/>
            <w:r>
              <w:rPr>
                <w:sz w:val="22"/>
                <w:szCs w:val="22"/>
              </w:rPr>
              <w:t xml:space="preserve">, </w:t>
            </w:r>
            <w:proofErr w:type="spellStart"/>
            <w:r>
              <w:rPr>
                <w:sz w:val="22"/>
                <w:szCs w:val="22"/>
              </w:rPr>
              <w:t>ErdTutorConversation</w:t>
            </w:r>
            <w:proofErr w:type="spellEnd"/>
            <w:r>
              <w:rPr>
                <w:sz w:val="22"/>
                <w:szCs w:val="22"/>
              </w:rPr>
              <w:t xml:space="preserve">, </w:t>
            </w:r>
            <w:proofErr w:type="spellStart"/>
            <w:r>
              <w:rPr>
                <w:sz w:val="22"/>
                <w:szCs w:val="22"/>
              </w:rPr>
              <w:t>ErdTutorMessage</w:t>
            </w:r>
            <w:proofErr w:type="spellEnd"/>
          </w:p>
        </w:tc>
      </w:tr>
      <w:tr w:rsidR="00261DA5" w14:paraId="7456EAEE" w14:textId="77777777">
        <w:tblPrEx>
          <w:tblCellMar>
            <w:top w:w="0" w:type="dxa"/>
            <w:bottom w:w="0" w:type="dxa"/>
          </w:tblCellMar>
        </w:tblPrEx>
        <w:tc>
          <w:tcPr>
            <w:tcW w:w="3200" w:type="dxa"/>
            <w:tcMar>
              <w:top w:w="100" w:type="dxa"/>
              <w:left w:w="120" w:type="dxa"/>
              <w:bottom w:w="100" w:type="dxa"/>
              <w:right w:w="120" w:type="dxa"/>
            </w:tcMar>
            <w:vAlign w:val="center"/>
          </w:tcPr>
          <w:p w14:paraId="7456EAEC" w14:textId="77777777" w:rsidR="00261DA5" w:rsidRDefault="00000000">
            <w:r>
              <w:rPr>
                <w:sz w:val="22"/>
                <w:szCs w:val="22"/>
              </w:rPr>
              <w:t>Assessments</w:t>
            </w:r>
          </w:p>
        </w:tc>
        <w:tc>
          <w:tcPr>
            <w:tcW w:w="6160" w:type="dxa"/>
            <w:tcMar>
              <w:top w:w="100" w:type="dxa"/>
              <w:left w:w="120" w:type="dxa"/>
              <w:bottom w:w="100" w:type="dxa"/>
              <w:right w:w="120" w:type="dxa"/>
            </w:tcMar>
            <w:vAlign w:val="center"/>
          </w:tcPr>
          <w:p w14:paraId="7456EAED" w14:textId="77777777" w:rsidR="00261DA5" w:rsidRDefault="00000000">
            <w:r>
              <w:rPr>
                <w:sz w:val="22"/>
                <w:szCs w:val="22"/>
              </w:rPr>
              <w:t xml:space="preserve">Assessment, </w:t>
            </w:r>
            <w:proofErr w:type="spellStart"/>
            <w:r>
              <w:rPr>
                <w:sz w:val="22"/>
                <w:szCs w:val="22"/>
              </w:rPr>
              <w:t>AssessmentItem</w:t>
            </w:r>
            <w:proofErr w:type="spellEnd"/>
            <w:r>
              <w:rPr>
                <w:sz w:val="22"/>
                <w:szCs w:val="22"/>
              </w:rPr>
              <w:t xml:space="preserve">, </w:t>
            </w:r>
            <w:proofErr w:type="spellStart"/>
            <w:r>
              <w:rPr>
                <w:sz w:val="22"/>
                <w:szCs w:val="22"/>
              </w:rPr>
              <w:t>AssessmentSession</w:t>
            </w:r>
            <w:proofErr w:type="spellEnd"/>
            <w:r>
              <w:rPr>
                <w:sz w:val="22"/>
                <w:szCs w:val="22"/>
              </w:rPr>
              <w:t xml:space="preserve">, </w:t>
            </w:r>
            <w:proofErr w:type="spellStart"/>
            <w:r>
              <w:rPr>
                <w:sz w:val="22"/>
                <w:szCs w:val="22"/>
              </w:rPr>
              <w:t>AssessmentItemVisit</w:t>
            </w:r>
            <w:proofErr w:type="spellEnd"/>
            <w:r>
              <w:rPr>
                <w:sz w:val="22"/>
                <w:szCs w:val="22"/>
              </w:rPr>
              <w:t xml:space="preserve">, </w:t>
            </w:r>
            <w:proofErr w:type="spellStart"/>
            <w:r>
              <w:rPr>
                <w:sz w:val="22"/>
                <w:szCs w:val="22"/>
              </w:rPr>
              <w:t>AssessmentClassWindow</w:t>
            </w:r>
            <w:proofErr w:type="spellEnd"/>
            <w:r>
              <w:rPr>
                <w:sz w:val="22"/>
                <w:szCs w:val="22"/>
              </w:rPr>
              <w:t xml:space="preserve">, </w:t>
            </w:r>
            <w:proofErr w:type="spellStart"/>
            <w:r>
              <w:rPr>
                <w:sz w:val="22"/>
                <w:szCs w:val="22"/>
              </w:rPr>
              <w:t>AssessmentAnalytics</w:t>
            </w:r>
            <w:proofErr w:type="spellEnd"/>
          </w:p>
        </w:tc>
      </w:tr>
      <w:tr w:rsidR="00261DA5" w14:paraId="7456EAF1" w14:textId="77777777">
        <w:tblPrEx>
          <w:tblCellMar>
            <w:top w:w="0" w:type="dxa"/>
            <w:bottom w:w="0" w:type="dxa"/>
          </w:tblCellMar>
        </w:tblPrEx>
        <w:tc>
          <w:tcPr>
            <w:tcW w:w="3200" w:type="dxa"/>
            <w:tcMar>
              <w:top w:w="100" w:type="dxa"/>
              <w:left w:w="120" w:type="dxa"/>
              <w:bottom w:w="100" w:type="dxa"/>
              <w:right w:w="120" w:type="dxa"/>
            </w:tcMar>
            <w:vAlign w:val="center"/>
          </w:tcPr>
          <w:p w14:paraId="7456EAEF" w14:textId="77777777" w:rsidR="00261DA5" w:rsidRDefault="00000000">
            <w:r>
              <w:rPr>
                <w:sz w:val="22"/>
                <w:szCs w:val="22"/>
              </w:rPr>
              <w:t>AI tutor</w:t>
            </w:r>
          </w:p>
        </w:tc>
        <w:tc>
          <w:tcPr>
            <w:tcW w:w="6160" w:type="dxa"/>
            <w:tcMar>
              <w:top w:w="100" w:type="dxa"/>
              <w:left w:w="120" w:type="dxa"/>
              <w:bottom w:w="100" w:type="dxa"/>
              <w:right w:w="120" w:type="dxa"/>
            </w:tcMar>
            <w:vAlign w:val="center"/>
          </w:tcPr>
          <w:p w14:paraId="7456EAF0" w14:textId="77777777" w:rsidR="00261DA5" w:rsidRDefault="00000000">
            <w:proofErr w:type="spellStart"/>
            <w:r>
              <w:rPr>
                <w:sz w:val="22"/>
                <w:szCs w:val="22"/>
              </w:rPr>
              <w:t>TutorChatConversation</w:t>
            </w:r>
            <w:proofErr w:type="spellEnd"/>
            <w:r>
              <w:rPr>
                <w:sz w:val="22"/>
                <w:szCs w:val="22"/>
              </w:rPr>
              <w:t xml:space="preserve">, </w:t>
            </w:r>
            <w:proofErr w:type="spellStart"/>
            <w:r>
              <w:rPr>
                <w:sz w:val="22"/>
                <w:szCs w:val="22"/>
              </w:rPr>
              <w:t>TutorChatMessage</w:t>
            </w:r>
            <w:proofErr w:type="spellEnd"/>
            <w:r>
              <w:rPr>
                <w:sz w:val="22"/>
                <w:szCs w:val="22"/>
              </w:rPr>
              <w:t xml:space="preserve">, </w:t>
            </w:r>
            <w:proofErr w:type="spellStart"/>
            <w:r>
              <w:rPr>
                <w:sz w:val="22"/>
                <w:szCs w:val="22"/>
              </w:rPr>
              <w:t>SqlTutorConversation</w:t>
            </w:r>
            <w:proofErr w:type="spellEnd"/>
            <w:r>
              <w:rPr>
                <w:sz w:val="22"/>
                <w:szCs w:val="22"/>
              </w:rPr>
              <w:t xml:space="preserve">, </w:t>
            </w:r>
            <w:proofErr w:type="spellStart"/>
            <w:r>
              <w:rPr>
                <w:sz w:val="22"/>
                <w:szCs w:val="22"/>
              </w:rPr>
              <w:t>SqlTutorMessage</w:t>
            </w:r>
            <w:proofErr w:type="spellEnd"/>
          </w:p>
        </w:tc>
      </w:tr>
      <w:tr w:rsidR="00261DA5" w14:paraId="7456EAF4" w14:textId="77777777">
        <w:tblPrEx>
          <w:tblCellMar>
            <w:top w:w="0" w:type="dxa"/>
            <w:bottom w:w="0" w:type="dxa"/>
          </w:tblCellMar>
        </w:tblPrEx>
        <w:tc>
          <w:tcPr>
            <w:tcW w:w="3200" w:type="dxa"/>
            <w:tcMar>
              <w:top w:w="100" w:type="dxa"/>
              <w:left w:w="120" w:type="dxa"/>
              <w:bottom w:w="100" w:type="dxa"/>
              <w:right w:w="120" w:type="dxa"/>
            </w:tcMar>
            <w:vAlign w:val="center"/>
          </w:tcPr>
          <w:p w14:paraId="7456EAF2" w14:textId="77777777" w:rsidR="00261DA5" w:rsidRDefault="00000000">
            <w:r>
              <w:rPr>
                <w:sz w:val="22"/>
                <w:szCs w:val="22"/>
              </w:rPr>
              <w:t>Learning analytics (multi-agent extension)</w:t>
            </w:r>
          </w:p>
        </w:tc>
        <w:tc>
          <w:tcPr>
            <w:tcW w:w="6160" w:type="dxa"/>
            <w:tcMar>
              <w:top w:w="100" w:type="dxa"/>
              <w:left w:w="120" w:type="dxa"/>
              <w:bottom w:w="100" w:type="dxa"/>
              <w:right w:w="120" w:type="dxa"/>
            </w:tcMar>
            <w:vAlign w:val="center"/>
          </w:tcPr>
          <w:p w14:paraId="7456EAF3" w14:textId="77777777" w:rsidR="00261DA5" w:rsidRDefault="00000000">
            <w:proofErr w:type="spellStart"/>
            <w:r>
              <w:rPr>
                <w:sz w:val="22"/>
                <w:szCs w:val="22"/>
              </w:rPr>
              <w:t>SqlConcept</w:t>
            </w:r>
            <w:proofErr w:type="spellEnd"/>
            <w:r>
              <w:rPr>
                <w:sz w:val="22"/>
                <w:szCs w:val="22"/>
              </w:rPr>
              <w:t xml:space="preserve">, </w:t>
            </w:r>
            <w:proofErr w:type="spellStart"/>
            <w:r>
              <w:rPr>
                <w:sz w:val="22"/>
                <w:szCs w:val="22"/>
              </w:rPr>
              <w:t>SqlConceptPrerequisite</w:t>
            </w:r>
            <w:proofErr w:type="spellEnd"/>
            <w:r>
              <w:rPr>
                <w:sz w:val="22"/>
                <w:szCs w:val="22"/>
              </w:rPr>
              <w:t xml:space="preserve">, </w:t>
            </w:r>
            <w:proofErr w:type="spellStart"/>
            <w:r>
              <w:rPr>
                <w:sz w:val="22"/>
                <w:szCs w:val="22"/>
              </w:rPr>
              <w:t>QuestionConcept</w:t>
            </w:r>
            <w:proofErr w:type="spellEnd"/>
            <w:r>
              <w:rPr>
                <w:sz w:val="22"/>
                <w:szCs w:val="22"/>
              </w:rPr>
              <w:t xml:space="preserve">, </w:t>
            </w:r>
            <w:proofErr w:type="spellStart"/>
            <w:r>
              <w:rPr>
                <w:sz w:val="22"/>
                <w:szCs w:val="22"/>
              </w:rPr>
              <w:t>LearningEvent</w:t>
            </w:r>
            <w:proofErr w:type="spellEnd"/>
            <w:r>
              <w:rPr>
                <w:sz w:val="22"/>
                <w:szCs w:val="22"/>
              </w:rPr>
              <w:t xml:space="preserve">, </w:t>
            </w:r>
            <w:proofErr w:type="spellStart"/>
            <w:r>
              <w:rPr>
                <w:sz w:val="22"/>
                <w:szCs w:val="22"/>
              </w:rPr>
              <w:t>ConceptMastery</w:t>
            </w:r>
            <w:proofErr w:type="spellEnd"/>
            <w:r>
              <w:rPr>
                <w:sz w:val="22"/>
                <w:szCs w:val="22"/>
              </w:rPr>
              <w:t xml:space="preserve">, </w:t>
            </w:r>
            <w:proofErr w:type="spellStart"/>
            <w:r>
              <w:rPr>
                <w:sz w:val="22"/>
                <w:szCs w:val="22"/>
              </w:rPr>
              <w:t>SoloClassification</w:t>
            </w:r>
            <w:proofErr w:type="spellEnd"/>
          </w:p>
        </w:tc>
      </w:tr>
      <w:tr w:rsidR="00261DA5" w14:paraId="7456EAF7" w14:textId="77777777">
        <w:tblPrEx>
          <w:tblCellMar>
            <w:top w:w="0" w:type="dxa"/>
            <w:bottom w:w="0" w:type="dxa"/>
          </w:tblCellMar>
        </w:tblPrEx>
        <w:tc>
          <w:tcPr>
            <w:tcW w:w="3200" w:type="dxa"/>
            <w:tcMar>
              <w:top w:w="100" w:type="dxa"/>
              <w:left w:w="120" w:type="dxa"/>
              <w:bottom w:w="100" w:type="dxa"/>
              <w:right w:w="120" w:type="dxa"/>
            </w:tcMar>
            <w:vAlign w:val="center"/>
          </w:tcPr>
          <w:p w14:paraId="7456EAF5" w14:textId="77777777" w:rsidR="00261DA5" w:rsidRDefault="00000000">
            <w:r>
              <w:rPr>
                <w:sz w:val="22"/>
                <w:szCs w:val="22"/>
              </w:rPr>
              <w:t>Platform configuration</w:t>
            </w:r>
          </w:p>
        </w:tc>
        <w:tc>
          <w:tcPr>
            <w:tcW w:w="6160" w:type="dxa"/>
            <w:tcMar>
              <w:top w:w="100" w:type="dxa"/>
              <w:left w:w="120" w:type="dxa"/>
              <w:bottom w:w="100" w:type="dxa"/>
              <w:right w:w="120" w:type="dxa"/>
            </w:tcMar>
            <w:vAlign w:val="center"/>
          </w:tcPr>
          <w:p w14:paraId="7456EAF6" w14:textId="77777777" w:rsidR="00261DA5" w:rsidRDefault="00000000">
            <w:proofErr w:type="spellStart"/>
            <w:r>
              <w:rPr>
                <w:sz w:val="22"/>
                <w:szCs w:val="22"/>
              </w:rPr>
              <w:t>AppSetting</w:t>
            </w:r>
            <w:proofErr w:type="spellEnd"/>
            <w:r>
              <w:rPr>
                <w:sz w:val="22"/>
                <w:szCs w:val="22"/>
              </w:rPr>
              <w:t xml:space="preserve">, </w:t>
            </w:r>
            <w:proofErr w:type="spellStart"/>
            <w:r>
              <w:rPr>
                <w:sz w:val="22"/>
                <w:szCs w:val="22"/>
              </w:rPr>
              <w:t>CourseInfo</w:t>
            </w:r>
            <w:proofErr w:type="spellEnd"/>
          </w:p>
        </w:tc>
      </w:tr>
    </w:tbl>
    <w:p w14:paraId="7456EAF8" w14:textId="77777777" w:rsidR="00261DA5" w:rsidRDefault="00261DA5">
      <w:pPr>
        <w:spacing w:after="200"/>
      </w:pPr>
    </w:p>
    <w:p w14:paraId="7456EAF9" w14:textId="77777777" w:rsidR="00261DA5" w:rsidRDefault="00000000">
      <w:pPr>
        <w:spacing w:after="200" w:line="276" w:lineRule="auto"/>
        <w:jc w:val="both"/>
      </w:pPr>
      <w:r>
        <w:t xml:space="preserve">No cross-domain foreign key relationship is </w:t>
      </w:r>
      <w:proofErr w:type="gramStart"/>
      <w:r>
        <w:t>load-bearing</w:t>
      </w:r>
      <w:proofErr w:type="gramEnd"/>
      <w:r>
        <w:t xml:space="preserve"> in a way that would prevent a partial deployment: the entities introduced by the learning-analytics extension, for example, can exist and remain entirely empty with no effect on any other subsystem, which was a deliberate property of the extension's design (Section A.6.1).</w:t>
      </w:r>
    </w:p>
    <w:p w14:paraId="7456EAFA" w14:textId="77777777" w:rsidR="00261DA5" w:rsidRDefault="00000000">
      <w:pPr>
        <w:pStyle w:val="Heading1"/>
        <w:spacing w:before="480" w:after="200"/>
      </w:pPr>
      <w:proofErr w:type="gramStart"/>
      <w:r>
        <w:rPr>
          <w:b/>
          <w:bCs/>
          <w:sz w:val="30"/>
          <w:szCs w:val="30"/>
        </w:rPr>
        <w:t>A.6  Cross</w:t>
      </w:r>
      <w:proofErr w:type="gramEnd"/>
      <w:r>
        <w:rPr>
          <w:b/>
          <w:bCs/>
          <w:sz w:val="30"/>
          <w:szCs w:val="30"/>
        </w:rPr>
        <w:t>-Cutting Design Principles</w:t>
      </w:r>
    </w:p>
    <w:p w14:paraId="7456EAFB" w14:textId="77777777" w:rsidR="00261DA5" w:rsidRDefault="00000000">
      <w:pPr>
        <w:spacing w:after="200" w:line="276" w:lineRule="auto"/>
        <w:jc w:val="both"/>
      </w:pPr>
      <w:r>
        <w:t>A small number of architectural principles recur consistently across otherwise unrelated subsystems of the platform. These are documented here once, and referenced from the subsystem descriptions that follow, because understanding them is a precondition for understanding why individual subsystems are implemented the way they are.</w:t>
      </w:r>
    </w:p>
    <w:p w14:paraId="7456EAFC" w14:textId="77777777" w:rsidR="00261DA5" w:rsidRDefault="00000000">
      <w:pPr>
        <w:pStyle w:val="Heading2"/>
        <w:spacing w:before="320" w:after="200"/>
      </w:pPr>
      <w:proofErr w:type="gramStart"/>
      <w:r>
        <w:rPr>
          <w:b/>
          <w:bCs/>
        </w:rPr>
        <w:t>A.6.1  Feature</w:t>
      </w:r>
      <w:proofErr w:type="gramEnd"/>
      <w:r>
        <w:rPr>
          <w:b/>
          <w:bCs/>
        </w:rPr>
        <w:t>-Flagged, Incremental Delivery</w:t>
      </w:r>
    </w:p>
    <w:p w14:paraId="7456EAFD" w14:textId="2B92A68B" w:rsidR="00261DA5" w:rsidRDefault="00000000">
      <w:pPr>
        <w:spacing w:after="200" w:line="276" w:lineRule="auto"/>
        <w:jc w:val="both"/>
      </w:pPr>
      <w:r>
        <w:t xml:space="preserve">Substantial or higher-risk functionality </w:t>
      </w:r>
      <w:r w:rsidR="00301863">
        <w:t>-</w:t>
      </w:r>
      <w:r>
        <w:t xml:space="preserve"> most notably the multi-agent learning-analytics extension (Section A.7.5) and a later migration of the ER-diagram tutor from a hosted third-party workflow engine to a self-hosted </w:t>
      </w:r>
      <w:proofErr w:type="spellStart"/>
      <w:r>
        <w:t>LangGraph</w:t>
      </w:r>
      <w:proofErr w:type="spellEnd"/>
      <w:r>
        <w:t xml:space="preserve"> implementation </w:t>
      </w:r>
      <w:r w:rsidR="00301863">
        <w:t>-</w:t>
      </w:r>
      <w:r>
        <w:t xml:space="preserve"> is developed directly on the main integration branch behind one or more configuration flags, defaulting to the pre-existing (or inert) behaviour, rather than on a long-lived feature branch. This allows a large feature to be built, tested, and even deployed to production in an inert state before being enabled, and allows it to be disabled instantaneously by reverting a single environment variable should a defect emerge post-launch, without requiring a code deployment.</w:t>
      </w:r>
    </w:p>
    <w:p w14:paraId="7456EAFE" w14:textId="77777777" w:rsidR="00261DA5" w:rsidRDefault="00000000">
      <w:pPr>
        <w:spacing w:after="200" w:line="276" w:lineRule="auto"/>
        <w:jc w:val="both"/>
      </w:pPr>
      <w:r>
        <w:t xml:space="preserve">The learning-analytics extension specifically is governed by two independent flags. The first gates all learning-event telemetry logging and the two background agents described in Section A.7.5 (the deterministic Learner Profiling agent and the LLM-based SOLO Classifier); when disabled, </w:t>
      </w:r>
      <w:r>
        <w:lastRenderedPageBreak/>
        <w:t xml:space="preserve">no code path in the extension executes at all, and the platform's prior behaviour is unchanged. The second, independent flag governs only whether the AI tutor's prompt construction is adaptive; this separation allows telemetry and the underlying mastery model to be validated in production, silently, before the feature is permitted to change what any student </w:t>
      </w:r>
      <w:proofErr w:type="gramStart"/>
      <w:r>
        <w:t>actually sees</w:t>
      </w:r>
      <w:proofErr w:type="gramEnd"/>
      <w:r>
        <w:t>. The ER-diagram tutor migration followed the identical pattern one generation earlier, with a configuration value selecting between the legacy and new grading engines, allowing an instantaneous rollback.</w:t>
      </w:r>
    </w:p>
    <w:p w14:paraId="7456EAFF" w14:textId="77777777" w:rsidR="00261DA5" w:rsidRDefault="00000000">
      <w:pPr>
        <w:pStyle w:val="Heading2"/>
        <w:spacing w:before="320" w:after="200"/>
      </w:pPr>
      <w:proofErr w:type="gramStart"/>
      <w:r>
        <w:rPr>
          <w:b/>
          <w:bCs/>
        </w:rPr>
        <w:t>A.6.2  Separation</w:t>
      </w:r>
      <w:proofErr w:type="gramEnd"/>
      <w:r>
        <w:rPr>
          <w:b/>
          <w:bCs/>
        </w:rPr>
        <w:t xml:space="preserve"> of Deterministic and LLM-Based Logic</w:t>
      </w:r>
    </w:p>
    <w:p w14:paraId="7456EB00" w14:textId="2A6BDEC3" w:rsidR="00261DA5" w:rsidRDefault="00000000">
      <w:pPr>
        <w:spacing w:after="200" w:line="276" w:lineRule="auto"/>
        <w:jc w:val="both"/>
      </w:pPr>
      <w:r>
        <w:t xml:space="preserve">Within the </w:t>
      </w:r>
      <w:proofErr w:type="gramStart"/>
      <w:r>
        <w:t>learning-analytics extension in particular, a</w:t>
      </w:r>
      <w:proofErr w:type="gramEnd"/>
      <w:r>
        <w:t xml:space="preserve"> firm architectural boundary separates components whose output can be computed with certainty from components that depend on a large-language-model call. The mastery model (Section A.7.5.1) is pure, deterministic arithmetic over stored attempt outcomes, with no external dependency; it is directly unit-testable without mocking a language model, and the accompanying automated test suite exercises it exhaustively. The one component of the extension that is intrinsically LLM-dependent </w:t>
      </w:r>
      <w:r w:rsidR="00301863">
        <w:t>-</w:t>
      </w:r>
      <w:r>
        <w:t xml:space="preserve"> the SOLO taxonomy classifier </w:t>
      </w:r>
      <w:r w:rsidR="00301863">
        <w:t>-</w:t>
      </w:r>
      <w:r>
        <w:t xml:space="preserve"> is isolated behind a narrow interface and is required to report a self-assessed confidence score alongside its classification; a confidence gate (Section A.7.5.3) causes the system to fall back to a generic, non-tailored tutoring stance whenever that confidence falls below a configured threshold, so that an uncertain or malformed model output degrades gracefully rather than corrupting downstream state. This pattern </w:t>
      </w:r>
      <w:r w:rsidR="00301863">
        <w:t>-</w:t>
      </w:r>
      <w:r>
        <w:t xml:space="preserve"> isolate uncertainty, keep the load-bearing logic deterministic, and provide an explicit fallback </w:t>
      </w:r>
      <w:r w:rsidR="00301863">
        <w:t>-</w:t>
      </w:r>
      <w:r>
        <w:t xml:space="preserve"> is applied consistently to every new automated or intelligent feature added to the platform.</w:t>
      </w:r>
    </w:p>
    <w:p w14:paraId="7456EB01" w14:textId="77777777" w:rsidR="00261DA5" w:rsidRDefault="00000000">
      <w:pPr>
        <w:pStyle w:val="Heading2"/>
        <w:spacing w:before="320" w:after="200"/>
      </w:pPr>
      <w:proofErr w:type="gramStart"/>
      <w:r>
        <w:rPr>
          <w:b/>
          <w:bCs/>
        </w:rPr>
        <w:t>A.6.3  Lazy</w:t>
      </w:r>
      <w:proofErr w:type="gramEnd"/>
      <w:r>
        <w:rPr>
          <w:b/>
          <w:bCs/>
        </w:rPr>
        <w:t>, Request-Driven State Evaluation</w:t>
      </w:r>
    </w:p>
    <w:p w14:paraId="7456EB02" w14:textId="5D33DD10" w:rsidR="00261DA5" w:rsidRDefault="00000000">
      <w:pPr>
        <w:spacing w:after="200" w:line="276" w:lineRule="auto"/>
        <w:jc w:val="both"/>
      </w:pPr>
      <w:r>
        <w:t xml:space="preserve">No component of the backend polls on a timer. Time-dependent state </w:t>
      </w:r>
      <w:r w:rsidR="00301863">
        <w:t>-</w:t>
      </w:r>
      <w:r>
        <w:t xml:space="preserve"> an assessment's countdown deadline, a class group's scheduled access window, a lab's running/stopped status </w:t>
      </w:r>
      <w:r w:rsidR="00301863">
        <w:t>-</w:t>
      </w:r>
      <w:r>
        <w:t xml:space="preserve"> is stored as a plain timestamp or flag and evaluated only when the next relevant request arrives; enforcement is consequently lazy, in the sense that an expired state is not acted upon at the instant it expires but is instead discovered and finalised the next time the affected student's browser makes a request. This trades a small, accepted delay in strict enforcement for the complete absence of scheduler or queue infrastructure to provision, operate, and monitor. Where enforcement genuinely cannot rely on the student's next action </w:t>
      </w:r>
      <w:r w:rsidR="00301863">
        <w:t>-</w:t>
      </w:r>
      <w:r>
        <w:t xml:space="preserve"> most notably, ending a timed assessment when the visible countdown reaches zero even if the student has stopped interacting </w:t>
      </w:r>
      <w:r w:rsidR="00301863">
        <w:t>-</w:t>
      </w:r>
      <w:r>
        <w:t xml:space="preserve"> the client itself issues the terminating request; the server-side enforcement described above remains the authoritative backstop regardless of whether that client-side action successfully fires.</w:t>
      </w:r>
    </w:p>
    <w:p w14:paraId="7456EB03" w14:textId="77777777" w:rsidR="00261DA5" w:rsidRDefault="00000000">
      <w:pPr>
        <w:spacing w:after="200" w:line="276" w:lineRule="auto"/>
        <w:jc w:val="both"/>
      </w:pPr>
      <w:r>
        <w:t>The single deliberate exception to this pattern is a low-frequency client-side presence heartbeat, used to populate a live "currently online" indicator for staff; even this heartbeat applies randomised jitter to its interval specifically to avoid many browser tabs beginning a course session simultaneously and subsequently polling in lockstep.</w:t>
      </w:r>
    </w:p>
    <w:p w14:paraId="7456EB04" w14:textId="77777777" w:rsidR="00261DA5" w:rsidRDefault="00000000">
      <w:pPr>
        <w:pStyle w:val="Heading2"/>
        <w:spacing w:before="320" w:after="200"/>
      </w:pPr>
      <w:proofErr w:type="gramStart"/>
      <w:r>
        <w:rPr>
          <w:b/>
          <w:bCs/>
        </w:rPr>
        <w:lastRenderedPageBreak/>
        <w:t>A.6.4  Dual</w:t>
      </w:r>
      <w:proofErr w:type="gramEnd"/>
      <w:r>
        <w:rPr>
          <w:b/>
          <w:bCs/>
        </w:rPr>
        <w:t>-Database Compatibility</w:t>
      </w:r>
    </w:p>
    <w:p w14:paraId="7456EB05" w14:textId="77777777" w:rsidR="00261DA5" w:rsidRDefault="00000000">
      <w:pPr>
        <w:spacing w:after="200" w:line="276" w:lineRule="auto"/>
        <w:jc w:val="both"/>
      </w:pPr>
      <w:r>
        <w:t xml:space="preserve">The backend is engineered to behave identically against SQLite (used in local development and by the automated test suite) and PostgreSQL (used in production), a constraint that surfaces in several places: connection-pool configuration branches by database dialect; timestamp comparisons are routed through helper functions that normalise SQLite's naive datetimes to </w:t>
      </w:r>
      <w:proofErr w:type="spellStart"/>
      <w:r>
        <w:t>timezone</w:t>
      </w:r>
      <w:proofErr w:type="spellEnd"/>
      <w:r>
        <w:t>-aware UTC before comparison; and duration arithmetic in the analytics modules (Section A.7.6) is deliberately performed in Python rather than in SQL, because the two database engines do not agree on datetime-subtraction semantics. Schema migrations are implemented as a set of hand-written, idempotent Python scripts, each safe to re-run, rather than through an automated migration framework; PostgreSQL additionally requires these to be applied manually ahead of a deployment that depends on the corresponding schema change, since automatic schema creation is enabled only for the SQLite development path (concurrent worker processes attempting simultaneous schema creation against PostgreSQL in production would otherwise race).</w:t>
      </w:r>
    </w:p>
    <w:p w14:paraId="7456EB06" w14:textId="77777777" w:rsidR="00261DA5" w:rsidRDefault="00000000">
      <w:pPr>
        <w:pStyle w:val="Heading2"/>
        <w:spacing w:before="320" w:after="200"/>
      </w:pPr>
      <w:proofErr w:type="gramStart"/>
      <w:r>
        <w:rPr>
          <w:b/>
          <w:bCs/>
        </w:rPr>
        <w:t>A.6.5  Identity</w:t>
      </w:r>
      <w:proofErr w:type="gramEnd"/>
      <w:r>
        <w:rPr>
          <w:b/>
          <w:bCs/>
        </w:rPr>
        <w:t>, Authorisation, and Access Control</w:t>
      </w:r>
    </w:p>
    <w:p w14:paraId="7456EB07" w14:textId="32E0F732" w:rsidR="00261DA5" w:rsidRDefault="00000000">
      <w:pPr>
        <w:spacing w:after="200" w:line="276" w:lineRule="auto"/>
        <w:jc w:val="both"/>
      </w:pPr>
      <w:r>
        <w:t xml:space="preserve">The platform supports three authentication mechanisms </w:t>
      </w:r>
      <w:r w:rsidR="00301863">
        <w:t>-</w:t>
      </w:r>
      <w:r>
        <w:t xml:space="preserve"> a local email/password flow, Google Sign-In, and Microsoft (Azure Entra ID) Sign-In </w:t>
      </w:r>
      <w:r w:rsidR="00301863">
        <w:t>-</w:t>
      </w:r>
      <w:r>
        <w:t xml:space="preserve"> all three of which converge on a single access-control gate keyed by email address rather than by any provider-specific identifier. An administrator pre-provisions a whitelist entry, comprising an email address, an assigned role, and a class-group tag, before the corresponding student or staff member has ever authenticated; on first successful sign-in through any of the three mechanisms, the authenticated email address is looked up against this whitelist, and access is refused if no entry exists, independent of how convincingly the identity was proven. Email address is used as the join key specifically because it is the one identifier stable and knowable in advance across all three authentication mechanisms, whereas provider-issued subject identifiers exist only once a user has </w:t>
      </w:r>
      <w:proofErr w:type="gramStart"/>
      <w:r>
        <w:t>actually signed</w:t>
      </w:r>
      <w:proofErr w:type="gramEnd"/>
      <w:r>
        <w:t xml:space="preserve"> in for the first time.</w:t>
      </w:r>
    </w:p>
    <w:p w14:paraId="7456EB08" w14:textId="3DC9BA9F" w:rsidR="00261DA5" w:rsidRDefault="00000000">
      <w:pPr>
        <w:spacing w:after="200" w:line="276" w:lineRule="auto"/>
        <w:jc w:val="both"/>
      </w:pPr>
      <w:r>
        <w:t xml:space="preserve">Authorisation beyond this point is comparatively flat: three roles are recognised (student, staff, administrator), and access is predominantly checked by direct role comparison in route handlers rather than through a general-purpose policy engine. The one exception is a narrow, ownership-based rule on the client </w:t>
      </w:r>
      <w:r w:rsidR="00301863">
        <w:t>-</w:t>
      </w:r>
      <w:r>
        <w:t xml:space="preserve"> a student may delete only the ER-diagram questions they authored themselves, whereas staff may delete any </w:t>
      </w:r>
      <w:r w:rsidR="00301863">
        <w:t>-</w:t>
      </w:r>
      <w:r>
        <w:t xml:space="preserve"> implemented with the CASL authorisation library.</w:t>
      </w:r>
    </w:p>
    <w:p w14:paraId="7456EB09" w14:textId="77777777" w:rsidR="00261DA5" w:rsidRDefault="00000000">
      <w:pPr>
        <w:pStyle w:val="Heading1"/>
        <w:spacing w:before="480" w:after="200"/>
      </w:pPr>
      <w:proofErr w:type="gramStart"/>
      <w:r>
        <w:rPr>
          <w:b/>
          <w:bCs/>
          <w:sz w:val="30"/>
          <w:szCs w:val="30"/>
        </w:rPr>
        <w:t>A.7  Core</w:t>
      </w:r>
      <w:proofErr w:type="gramEnd"/>
      <w:r>
        <w:rPr>
          <w:b/>
          <w:bCs/>
          <w:sz w:val="30"/>
          <w:szCs w:val="30"/>
        </w:rPr>
        <w:t xml:space="preserve"> Subsystems</w:t>
      </w:r>
    </w:p>
    <w:p w14:paraId="7456EB0A" w14:textId="77777777" w:rsidR="00261DA5" w:rsidRDefault="00000000">
      <w:pPr>
        <w:pStyle w:val="Heading2"/>
        <w:spacing w:before="320" w:after="200"/>
      </w:pPr>
      <w:proofErr w:type="gramStart"/>
      <w:r>
        <w:rPr>
          <w:b/>
          <w:bCs/>
        </w:rPr>
        <w:t>A.7.1  SQL</w:t>
      </w:r>
      <w:proofErr w:type="gramEnd"/>
      <w:r>
        <w:rPr>
          <w:b/>
          <w:bCs/>
        </w:rPr>
        <w:t xml:space="preserve"> Practice Questions</w:t>
      </w:r>
    </w:p>
    <w:p w14:paraId="7456EB0B" w14:textId="1D75AFAD" w:rsidR="00261DA5" w:rsidRDefault="00000000">
      <w:pPr>
        <w:spacing w:after="200" w:line="276" w:lineRule="auto"/>
        <w:jc w:val="both"/>
      </w:pPr>
      <w:r>
        <w:t xml:space="preserve">Each SQL question is backed by exactly one dedicated SQLite database file, generated once from staff-authored schema and seed-data SQL at authoring time and never duplicated per student. This is possible only because the query-execution sandbox that runs a student's submitted query enforces strict read-only execution </w:t>
      </w:r>
      <w:r w:rsidR="00301863">
        <w:t>-</w:t>
      </w:r>
      <w:r>
        <w:t xml:space="preserve"> a submitted statement must begin with SELECT, WITH, </w:t>
      </w:r>
      <w:r>
        <w:lastRenderedPageBreak/>
        <w:t>EXPLAIN, or VALUES, and a keyword blacklist rejects any data-modification or schema-altering statement before it reaches the database engine. Because no student query can mutate the underlying file, sharing one database per question across every student is safe, and is considerably simpler and cheaper than the per-student isolation required for Labs (Section A.7.2).</w:t>
      </w:r>
    </w:p>
    <w:p w14:paraId="7456EB0C" w14:textId="77777777" w:rsidR="00261DA5" w:rsidRDefault="00000000">
      <w:pPr>
        <w:spacing w:after="200" w:line="276" w:lineRule="auto"/>
        <w:jc w:val="both"/>
      </w:pPr>
      <w:r>
        <w:t>Correctness is determined by executing the submitted query, hashing its result set (optionally order-sensitive, per question configuration), and comparing that hash against a hash of the correct answer's result set computed and stored at authoring time; the raw correct answer itself is never compared directly, and consequently never needs to be exposed to the client. A secondary, more permissive grading pipeline ("Advanced SQL Testing") supports questions whose correct answer is a schema-modifying construct, such as a trigger, whose effect cannot be observed from its own output; for these, the submission is applied to an isolated in-memory clone of the question database, a hidden staff-authored test script is executed to exercise its effect, and a hidden check query captures the resulting state, which is then hashed and compared using the same mechanism. Query execution is subject to a cooperative, statement-level timeout implemented via a SQLite progress-handler callback, which reclaims a runaway worker thread promptly rather than merely abandoning it to run to completion in the background.</w:t>
      </w:r>
    </w:p>
    <w:p w14:paraId="7456EB0D" w14:textId="77777777" w:rsidR="00261DA5" w:rsidRDefault="00000000">
      <w:pPr>
        <w:pStyle w:val="Heading2"/>
        <w:spacing w:before="320" w:after="200"/>
      </w:pPr>
      <w:proofErr w:type="gramStart"/>
      <w:r>
        <w:rPr>
          <w:b/>
          <w:bCs/>
        </w:rPr>
        <w:t>A.7.2  SQL</w:t>
      </w:r>
      <w:proofErr w:type="gramEnd"/>
      <w:r>
        <w:rPr>
          <w:b/>
          <w:bCs/>
        </w:rPr>
        <w:t xml:space="preserve"> and Graph-Based Labs</w:t>
      </w:r>
    </w:p>
    <w:p w14:paraId="7456EB0E" w14:textId="77777777" w:rsidR="00261DA5" w:rsidRDefault="00000000">
      <w:pPr>
        <w:spacing w:after="200" w:line="276" w:lineRule="auto"/>
        <w:jc w:val="both"/>
      </w:pPr>
      <w:r>
        <w:t xml:space="preserve">Labs are architecturally the converse of SQL Questions: because a lab's schema is designed to be mutated by the student (all statement types are permitted, not only read-only queries), </w:t>
      </w:r>
      <w:proofErr w:type="gramStart"/>
      <w:r>
        <w:t>a single shared database per lab is</w:t>
      </w:r>
      <w:proofErr w:type="gramEnd"/>
      <w:r>
        <w:t xml:space="preserve"> not safe, and a template-and-clone pattern is used instead. Staff authoring produces one template database, generated once and never touched by students directly; the first time a given student opens the lab, that template is file-copied into a session-scoped database unique to that (lab, student) pair, and every subsequent query the student runs mutates only their own copy. A staff "stop lab" action terminates every active session and deletes every session database file, while leaving the template untouched, so that starting the lab again later regenerates clean sessions from it.</w:t>
      </w:r>
    </w:p>
    <w:p w14:paraId="7456EB0F" w14:textId="2FAA00D5" w:rsidR="00261DA5" w:rsidRDefault="00000000">
      <w:pPr>
        <w:spacing w:after="200" w:line="276" w:lineRule="auto"/>
        <w:jc w:val="both"/>
      </w:pPr>
      <w:r>
        <w:t xml:space="preserve">Graph-based labs apply the identical template-and-session pattern to a Cypher/graph backend (via the </w:t>
      </w:r>
      <w:proofErr w:type="spellStart"/>
      <w:r>
        <w:t>graphqlite</w:t>
      </w:r>
      <w:proofErr w:type="spellEnd"/>
      <w:r>
        <w:t xml:space="preserve"> library) rather than SQL, with a graph-specific query executor engineered to expose the same threading, timeout, and result-shape contract as its relational counterpart, so that the remainder of the lab infrastructure </w:t>
      </w:r>
      <w:r w:rsidR="00301863">
        <w:t>-</w:t>
      </w:r>
      <w:r>
        <w:t xml:space="preserve"> session management, task grading, result hashing </w:t>
      </w:r>
      <w:r w:rsidR="00301863">
        <w:t>-</w:t>
      </w:r>
      <w:r>
        <w:t xml:space="preserve"> is agnostic to which query paradigm a given lab uses. Task-level grading follows a two-step flow distinct from SQL Questions: a query-execution endpoint runs an arbitrary student query against their session database and logs the attempt, while a separate submission endpoint hashes the result set the client reports for a specific task and compares it against a staff-set reference hash. It is a noted limitation of the current implementation, discussed in Section A.14, that this submission endpoint trusts the client-reported result set rather than re-executing the student's query server-side, unlike the corresponding SQL Question path.</w:t>
      </w:r>
    </w:p>
    <w:p w14:paraId="7456EB10" w14:textId="77777777" w:rsidR="00261DA5" w:rsidRDefault="00000000">
      <w:pPr>
        <w:pStyle w:val="Heading2"/>
        <w:spacing w:before="320" w:after="200"/>
      </w:pPr>
      <w:proofErr w:type="gramStart"/>
      <w:r>
        <w:rPr>
          <w:b/>
          <w:bCs/>
        </w:rPr>
        <w:lastRenderedPageBreak/>
        <w:t>A.7.3  Entity</w:t>
      </w:r>
      <w:proofErr w:type="gramEnd"/>
      <w:r>
        <w:rPr>
          <w:b/>
          <w:bCs/>
        </w:rPr>
        <w:t>-Relationship Diagram Exercises and the ERD Tutor</w:t>
      </w:r>
    </w:p>
    <w:p w14:paraId="7456EB11" w14:textId="77777777" w:rsidR="00261DA5" w:rsidRDefault="00000000">
      <w:pPr>
        <w:spacing w:after="200" w:line="276" w:lineRule="auto"/>
        <w:jc w:val="both"/>
      </w:pPr>
      <w:r>
        <w:t xml:space="preserve">ER-diagram exercises differ from Questions and Labs in that no per-question database backs them: a student's diagram, submitted either as draw.io-native XML or as an uploaded image, is graded </w:t>
      </w:r>
      <w:proofErr w:type="spellStart"/>
      <w:r>
        <w:t>statelessly</w:t>
      </w:r>
      <w:proofErr w:type="spellEnd"/>
      <w:r>
        <w:t xml:space="preserve"> against a staff-authored, LLM-generated rubric on every submission. Two grading and tutoring engines are supported behind a configuration flag, consistent with the incremental-delivery principle in Section A.6.1: a legacy path that proxies the submission to a hosted, third-party workflow-automation platform, and a self-hosted implementation built with </w:t>
      </w:r>
      <w:proofErr w:type="spellStart"/>
      <w:r>
        <w:t>LangGraph</w:t>
      </w:r>
      <w:proofErr w:type="spellEnd"/>
      <w:r>
        <w:t>, which composes the grading and tutoring flow as an explicit directed graph of stages (diagram observation, normalisation, LLM-based grading against the rubric, and deterministic score computation).</w:t>
      </w:r>
    </w:p>
    <w:p w14:paraId="7456EB12" w14:textId="77777777" w:rsidR="00261DA5" w:rsidRDefault="00000000">
      <w:pPr>
        <w:pStyle w:val="Heading2"/>
        <w:spacing w:before="320" w:after="200"/>
      </w:pPr>
      <w:proofErr w:type="gramStart"/>
      <w:r>
        <w:rPr>
          <w:b/>
          <w:bCs/>
        </w:rPr>
        <w:t>A.7.3.1  The</w:t>
      </w:r>
      <w:proofErr w:type="gramEnd"/>
      <w:r>
        <w:rPr>
          <w:b/>
          <w:bCs/>
        </w:rPr>
        <w:t xml:space="preserve"> draw.io Integration</w:t>
      </w:r>
    </w:p>
    <w:p w14:paraId="7456EB13" w14:textId="1F389B4D" w:rsidR="00261DA5" w:rsidRDefault="00000000">
      <w:pPr>
        <w:spacing w:after="200" w:line="276" w:lineRule="auto"/>
        <w:jc w:val="both"/>
      </w:pPr>
      <w:r>
        <w:t xml:space="preserve">The diagramming surface is the third-party draw.io editor (embed.diagrams.net), embedded as a browser </w:t>
      </w:r>
      <w:proofErr w:type="spellStart"/>
      <w:r>
        <w:t>iframe</w:t>
      </w:r>
      <w:proofErr w:type="spellEnd"/>
      <w:r>
        <w:t xml:space="preserve"> and integrated without any vendor-supplied SDK: the host page communicates with the embedded editor exclusively through the browser's cross-document </w:t>
      </w:r>
      <w:proofErr w:type="spellStart"/>
      <w:proofErr w:type="gramStart"/>
      <w:r>
        <w:t>window.postMessage</w:t>
      </w:r>
      <w:proofErr w:type="spellEnd"/>
      <w:proofErr w:type="gramEnd"/>
      <w:r>
        <w:t xml:space="preserve"> mechanism, using a JSON-encoded protocol. Five inbound message types are handled </w:t>
      </w:r>
      <w:r w:rsidR="00301863">
        <w:t>-</w:t>
      </w:r>
      <w:r>
        <w:t xml:space="preserve"> initialisation-ready, autosave, explicit save, exit, and export </w:t>
      </w:r>
      <w:r w:rsidR="00301863">
        <w:t>-</w:t>
      </w:r>
      <w:r>
        <w:t xml:space="preserve"> and the host validates the origin of every inbound message before acting on it. Because the </w:t>
      </w:r>
      <w:proofErr w:type="spellStart"/>
      <w:r>
        <w:t>iframe's</w:t>
      </w:r>
      <w:proofErr w:type="spellEnd"/>
      <w:r>
        <w:t xml:space="preserve"> own onload event does not guarantee the embedded editor has finished its internal initialisation, the host retries its initial "load content" message on a short interval until an initialisation acknowledgement is received. Exported raster images are re-composited onto an opaque white background canvas before submission, since the editor's raw export can carry a transparent background, and consistent rendering is required so that a staff-added submission and a genuine student submission are visually indistinguishable.</w:t>
      </w:r>
    </w:p>
    <w:p w14:paraId="7456EB14" w14:textId="77777777" w:rsidR="00261DA5" w:rsidRDefault="00000000">
      <w:pPr>
        <w:pStyle w:val="Heading2"/>
        <w:spacing w:before="320" w:after="200"/>
      </w:pPr>
      <w:proofErr w:type="gramStart"/>
      <w:r>
        <w:rPr>
          <w:b/>
          <w:bCs/>
        </w:rPr>
        <w:t>A.7.3.2  Autosave</w:t>
      </w:r>
      <w:proofErr w:type="gramEnd"/>
      <w:r>
        <w:rPr>
          <w:b/>
          <w:bCs/>
        </w:rPr>
        <w:t xml:space="preserve"> and Draft Persistence</w:t>
      </w:r>
    </w:p>
    <w:p w14:paraId="7456EB15" w14:textId="71C01938" w:rsidR="00261DA5" w:rsidRDefault="00000000">
      <w:pPr>
        <w:spacing w:after="200" w:line="276" w:lineRule="auto"/>
        <w:jc w:val="both"/>
      </w:pPr>
      <w:r>
        <w:t xml:space="preserve">A student's in-progress diagram </w:t>
      </w:r>
      <w:proofErr w:type="gramStart"/>
      <w:r>
        <w:t>is persisted</w:t>
      </w:r>
      <w:proofErr w:type="gramEnd"/>
      <w:r>
        <w:t xml:space="preserve"> through two complementary mechanisms operating on different time horizons. Every editor change is written synchronously to the browser's </w:t>
      </w:r>
      <w:proofErr w:type="spellStart"/>
      <w:r>
        <w:t>localStorage</w:t>
      </w:r>
      <w:proofErr w:type="spellEnd"/>
      <w:r>
        <w:t xml:space="preserve">, which requires no network round trip and consequently survives an accidental tab closure or browser crash; a debounced, coalesced write additionally synchronises the diagram to the server, gated by a minimum-change threshold and an idle-then-ceiling timer pair (the ceiling timer's interval is randomised across students specifically to avoid an entire cohort's autosave requests synchronising and arriving simultaneously at the start of an assessment). Server reconciliation on load is resolved by content lineage </w:t>
      </w:r>
      <w:r w:rsidR="00301863">
        <w:t>-</w:t>
      </w:r>
      <w:r>
        <w:t xml:space="preserve"> a stored revision number </w:t>
      </w:r>
      <w:r w:rsidR="00301863">
        <w:t>-</w:t>
      </w:r>
      <w:r>
        <w:t xml:space="preserve"> rather than by wall-clock timestamp, since client clocks cannot be trusted to agree across devices; a genuine conflict, where the server holds a different lineage and the local device also holds unsaved work, is surfaced to the student for an explicit choice rather than resolved silently in either direction, so that neither copy of the student's work can be lost without their knowledge.</w:t>
      </w:r>
    </w:p>
    <w:p w14:paraId="7456EB16" w14:textId="77777777" w:rsidR="00261DA5" w:rsidRDefault="00000000">
      <w:pPr>
        <w:spacing w:after="200" w:line="276" w:lineRule="auto"/>
        <w:jc w:val="both"/>
      </w:pPr>
      <w:r>
        <w:lastRenderedPageBreak/>
        <w:t xml:space="preserve">Where a student answers by uploading an image rather than drawing one, the browser additionally caches the image in </w:t>
      </w:r>
      <w:proofErr w:type="spellStart"/>
      <w:r>
        <w:t>IndexedDB</w:t>
      </w:r>
      <w:proofErr w:type="spellEnd"/>
      <w:r>
        <w:t xml:space="preserve"> purely for instant local preview; the server remains the authoritative store in this case, since the uploaded image must survive to a different device and be gradable regardless of what any one browser's cache still holds.</w:t>
      </w:r>
    </w:p>
    <w:p w14:paraId="7456EB17" w14:textId="77777777" w:rsidR="00261DA5" w:rsidRDefault="00000000">
      <w:pPr>
        <w:pStyle w:val="Heading2"/>
        <w:spacing w:before="320" w:after="200"/>
      </w:pPr>
      <w:proofErr w:type="gramStart"/>
      <w:r>
        <w:rPr>
          <w:b/>
          <w:bCs/>
        </w:rPr>
        <w:t>A.7.3.3  Automatic</w:t>
      </w:r>
      <w:proofErr w:type="gramEnd"/>
      <w:r>
        <w:rPr>
          <w:b/>
          <w:bCs/>
        </w:rPr>
        <w:t xml:space="preserve"> Submission and Grading Concurrency</w:t>
      </w:r>
    </w:p>
    <w:p w14:paraId="7456EB18" w14:textId="0F9D3850" w:rsidR="00261DA5" w:rsidRDefault="00000000">
      <w:pPr>
        <w:spacing w:after="200" w:line="276" w:lineRule="auto"/>
        <w:jc w:val="both"/>
      </w:pPr>
      <w:r>
        <w:t xml:space="preserve">When a timed assessment's client-side countdown reaches zero, the client issues a trusted "finalise pending work" request that grades every unsubmitted or changed ER-diagram draft for that student's assessment </w:t>
      </w:r>
      <w:r w:rsidR="00301863">
        <w:t>-</w:t>
      </w:r>
      <w:r>
        <w:t xml:space="preserve"> both the drawn XML and any autosaved image </w:t>
      </w:r>
      <w:r w:rsidR="00301863">
        <w:t>-</w:t>
      </w:r>
      <w:r>
        <w:t xml:space="preserve"> as independent attempts, from which the higher-scoring attempt is retained. This endpoint deliberately does not re-validate the deadline server-side, since its purpose is specifically to still function when invoked at, or fractionally after, the nominal deadline.</w:t>
      </w:r>
    </w:p>
    <w:p w14:paraId="7456EB19" w14:textId="6540B180" w:rsidR="00261DA5" w:rsidRDefault="00000000">
      <w:pPr>
        <w:spacing w:after="200" w:line="276" w:lineRule="auto"/>
        <w:jc w:val="both"/>
      </w:pPr>
      <w:r>
        <w:t xml:space="preserve">Because grading an ER diagram entails one substantial LLM call per submission, and a class-wide submission deadline can trigger many such calls within the same few seconds, concurrent LLM grading is bounded by an in-process semaphore sized against the language-model provider's tokens-per-minute budget. The semaphore is acquired before a database session is opened for a given grading task, so that a task queued waiting for a free slot holds no database connection while it waits, and each concurrent grading task executes on its own database session rather than sharing one across genuinely concurrent operations. A cohort-wide grading sweep </w:t>
      </w:r>
      <w:r w:rsidR="00301863">
        <w:t>-</w:t>
      </w:r>
      <w:r>
        <w:t xml:space="preserve"> whether triggered by a student's own auto-submission or by a staff-initiated bulk re-grade </w:t>
      </w:r>
      <w:r w:rsidR="00301863">
        <w:t>-</w:t>
      </w:r>
      <w:r>
        <w:t xml:space="preserve"> is executed as a set of concurrently scheduled tasks bounded by this same semaphore, with per-student failure isolation so that one student's grading failure does not abort the remainder of the cohort's sweep.</w:t>
      </w:r>
    </w:p>
    <w:p w14:paraId="7456EB1A" w14:textId="77777777" w:rsidR="00261DA5" w:rsidRDefault="00000000">
      <w:pPr>
        <w:pStyle w:val="Heading2"/>
        <w:spacing w:before="320" w:after="200"/>
      </w:pPr>
      <w:proofErr w:type="gramStart"/>
      <w:r>
        <w:rPr>
          <w:b/>
          <w:bCs/>
        </w:rPr>
        <w:t>A.7.4  Assessment</w:t>
      </w:r>
      <w:proofErr w:type="gramEnd"/>
      <w:r>
        <w:rPr>
          <w:b/>
          <w:bCs/>
        </w:rPr>
        <w:t xml:space="preserve"> Management and the Timing Gateway</w:t>
      </w:r>
    </w:p>
    <w:p w14:paraId="7456EB1B" w14:textId="1F787404" w:rsidR="00261DA5" w:rsidRDefault="00000000">
      <w:pPr>
        <w:spacing w:after="200" w:line="276" w:lineRule="auto"/>
        <w:jc w:val="both"/>
      </w:pPr>
      <w:r>
        <w:t xml:space="preserve">An assessment bundles any number of SQL Questions, Labs, and ER-diagram questions as independently weighted items. Two orthogonal timing mechanisms govern access: a personal, per-attempt countdown (extended, not paused, by the wall-clock duration of any query execution, so that slow query execution does not consume a student's allotted time), and an optional, staff-configured "Timing Gateway" defining a scheduled access window per class group, which </w:t>
      </w:r>
      <w:r w:rsidR="00301863">
        <w:t>-</w:t>
      </w:r>
      <w:r>
        <w:t xml:space="preserve"> when enabled </w:t>
      </w:r>
      <w:r w:rsidR="00301863">
        <w:t>-</w:t>
      </w:r>
      <w:r>
        <w:t xml:space="preserve"> supersedes manual start/stop control entirely. Where both apply, a session's effective deadline is the earlier of the two.</w:t>
      </w:r>
    </w:p>
    <w:p w14:paraId="7456EB1C" w14:textId="77777777" w:rsidR="00261DA5" w:rsidRDefault="00000000">
      <w:pPr>
        <w:spacing w:after="200" w:line="276" w:lineRule="auto"/>
        <w:jc w:val="both"/>
      </w:pPr>
      <w:r>
        <w:t xml:space="preserve">Publishing an assessment is the mechanism by which its content is frozen and a student's progress on it is structurally isolated from their unrelated practice history: every referenced Question, Lab, and ER-diagram question is deep-copied into an assessment-owned clone at the moment of publication, and the assessment's item references are repointed at these clones, which are marked with a foreign key back to the owning assessment and excluded from ordinary content listings. Because every clone possesses a distinct primary key, a student's graded attempts on assessment content are keyed to rows entirely distinct from their free-practice attempts on the corresponding </w:t>
      </w:r>
      <w:r>
        <w:lastRenderedPageBreak/>
        <w:t>master content, which means the full range of existing grading, progress-tracking, and analytics logic requires no modification to remain correctly scoped to one assessment; this was a deliberate isolation-by-construction choice, made in preference to threading an explicit "is this a practice attempt or a graded attempt" flag through every relevant code path.</w:t>
      </w:r>
    </w:p>
    <w:p w14:paraId="7456EB1D" w14:textId="3F6DF3C0" w:rsidR="00261DA5" w:rsidRDefault="00000000">
      <w:pPr>
        <w:spacing w:after="200" w:line="276" w:lineRule="auto"/>
        <w:jc w:val="both"/>
      </w:pPr>
      <w:r>
        <w:t xml:space="preserve">A consequence of this design, discovered during the project's development, is that reversing publication is materially destructive rather than merely inconvenient: because a student's graded attempts are permanently keyed to the clone's identifier rather than the master content's, un-publishing </w:t>
      </w:r>
      <w:r w:rsidR="00301863">
        <w:t>-</w:t>
      </w:r>
      <w:r>
        <w:t xml:space="preserve"> which deletes the clone and repoints the assessment's item references back to the master </w:t>
      </w:r>
      <w:r w:rsidR="00301863">
        <w:t>-</w:t>
      </w:r>
      <w:r>
        <w:t xml:space="preserve"> orphans that grade history from every code path the application uses to display it, even though the underlying rows are not physically deleted. On discovering this, publication was deliberately made a one-way operation: the corresponding server-side endpoint now unconditionally rejects an un-publish request once an assessment has been published, and the administrative interface removes the control from the screen entirely once an assessment reaches that state, with an explicit warning presented to staff at the point of publication itself. This is offered as a concrete illustration, within the system, of a broader principle followed throughout the project: where a reversible operation would require reconciling data that has since </w:t>
      </w:r>
      <w:proofErr w:type="gramStart"/>
      <w:r>
        <w:t>diverged, and</w:t>
      </w:r>
      <w:proofErr w:type="gramEnd"/>
      <w:r>
        <w:t xml:space="preserve"> building that reconciliation correctly is materially more complex than the feature that created the divergence, the simpler and safer engineering choice is often to make the operation irreversible by design rather than to attempt an unsound partial reversal.</w:t>
      </w:r>
    </w:p>
    <w:p w14:paraId="7456EB1E" w14:textId="77777777" w:rsidR="00261DA5" w:rsidRDefault="00000000">
      <w:pPr>
        <w:spacing w:after="200" w:line="276" w:lineRule="auto"/>
        <w:jc w:val="both"/>
      </w:pPr>
      <w:r>
        <w:t>Weighted assessment scores are computed from a student's best attempt on each item, not their most recent attempt, following a correction made after an earlier version of the system was found to be scoring the latest attempt, which could understate a student who improved across repeated attempts.</w:t>
      </w:r>
    </w:p>
    <w:p w14:paraId="7456EB1F" w14:textId="77777777" w:rsidR="00261DA5" w:rsidRDefault="00000000">
      <w:pPr>
        <w:pStyle w:val="Heading2"/>
        <w:spacing w:before="320" w:after="200"/>
      </w:pPr>
      <w:proofErr w:type="gramStart"/>
      <w:r>
        <w:rPr>
          <w:b/>
          <w:bCs/>
        </w:rPr>
        <w:t>A.7.5  The</w:t>
      </w:r>
      <w:proofErr w:type="gramEnd"/>
      <w:r>
        <w:rPr>
          <w:b/>
          <w:bCs/>
        </w:rPr>
        <w:t xml:space="preserve"> Adaptive AI Tutor and Learning Analytics Dashboard</w:t>
      </w:r>
    </w:p>
    <w:p w14:paraId="7456EB20" w14:textId="77777777" w:rsidR="00261DA5" w:rsidRDefault="00000000">
      <w:pPr>
        <w:spacing w:after="200" w:line="276" w:lineRule="auto"/>
        <w:jc w:val="both"/>
      </w:pPr>
      <w:r>
        <w:t>This subsystem constitutes the principal technical contribution of the project: a multi-agent extension that models each student's evolving competence at the level of individual SQL concepts, adapts the level of scaffolding an AI tutor provides in real time in response to that model, and separately classifies the structural sophistication of a student's own natural-language reasoning using Biggs and Collis's SOLO (Structure of the Observed Learning Outcome) taxonomy. The three sub-agents that constitute this extension were engineered to be as independently testable and as fail-safe as possible, following the deterministic/LLM separation principle described in Section A.6.2.</w:t>
      </w:r>
    </w:p>
    <w:p w14:paraId="7456EB21" w14:textId="77777777" w:rsidR="00261DA5" w:rsidRDefault="00000000">
      <w:pPr>
        <w:pStyle w:val="Heading2"/>
        <w:spacing w:before="320" w:after="200"/>
      </w:pPr>
      <w:proofErr w:type="gramStart"/>
      <w:r>
        <w:rPr>
          <w:b/>
          <w:bCs/>
        </w:rPr>
        <w:t>A.7.5.1  The</w:t>
      </w:r>
      <w:proofErr w:type="gramEnd"/>
      <w:r>
        <w:rPr>
          <w:b/>
          <w:bCs/>
        </w:rPr>
        <w:t xml:space="preserve"> Learner Profiling Agent (Mastery Model)</w:t>
      </w:r>
    </w:p>
    <w:p w14:paraId="7456EB22" w14:textId="77777777" w:rsidR="00261DA5" w:rsidRDefault="00000000">
      <w:pPr>
        <w:spacing w:after="200" w:line="276" w:lineRule="auto"/>
        <w:jc w:val="both"/>
      </w:pPr>
      <w:r>
        <w:t xml:space="preserve">Each SQL concept in a small, staff-curated taxonomy (26 concepts and 17 prerequisite relations in the deployed configuration) may be tagged, with an independent numeric weight, onto any SQL question. Whenever a student's query submission is graded, a background task updates that </w:t>
      </w:r>
      <w:r>
        <w:lastRenderedPageBreak/>
        <w:t>student's mastery estimate for every concept tagged on the question attempted, using a purely deterministic, arithmetic update rule: on a correct attempt, the consecutive-success streak for that concept is incremented, the consecutive-failure streak is reset to zero, and the concept's mastery level (bounded to the interval [0, 1]) is increased by a fixed success delta scaled by the question's tag weight; an incorrect attempt applies the symmetric decrease. No language-model call is involved in this computation at any point, which permits it to be exhaustively unit-tested and permits its behaviour to be reasoned about with certainty.</w:t>
      </w:r>
    </w:p>
    <w:p w14:paraId="7456EB23" w14:textId="7BF37578" w:rsidR="00261DA5" w:rsidRDefault="00000000">
      <w:pPr>
        <w:spacing w:after="200" w:line="276" w:lineRule="auto"/>
        <w:jc w:val="both"/>
      </w:pPr>
      <w:r>
        <w:t xml:space="preserve">The mastery model deliberately makes no claim to psychometric sophistication </w:t>
      </w:r>
      <w:r w:rsidR="00301863">
        <w:t>-</w:t>
      </w:r>
      <w:r>
        <w:t xml:space="preserve"> it is not an item-response-theory or Bayesian knowledge-tracing model </w:t>
      </w:r>
      <w:r w:rsidR="00301863">
        <w:t>-</w:t>
      </w:r>
      <w:r>
        <w:t xml:space="preserve"> in favour of an update rule simple enough to be fully transparent and directly testable within the scope of the project; this is discussed as a limitation and a direction for future refinement in Section A.14.</w:t>
      </w:r>
    </w:p>
    <w:p w14:paraId="7456EB24" w14:textId="77777777" w:rsidR="00261DA5" w:rsidRDefault="00000000">
      <w:pPr>
        <w:pStyle w:val="Heading2"/>
        <w:spacing w:before="320" w:after="200"/>
      </w:pPr>
      <w:proofErr w:type="gramStart"/>
      <w:r>
        <w:rPr>
          <w:b/>
          <w:bCs/>
        </w:rPr>
        <w:t>A.7.5.2  The</w:t>
      </w:r>
      <w:proofErr w:type="gramEnd"/>
      <w:r>
        <w:rPr>
          <w:b/>
          <w:bCs/>
        </w:rPr>
        <w:t xml:space="preserve"> Scaffolding Engine</w:t>
      </w:r>
    </w:p>
    <w:p w14:paraId="7456EB25" w14:textId="6E60C97C" w:rsidR="00261DA5" w:rsidRDefault="00000000">
      <w:pPr>
        <w:spacing w:after="200" w:line="276" w:lineRule="auto"/>
        <w:jc w:val="both"/>
      </w:pPr>
      <w:r>
        <w:t xml:space="preserve">Adaptive tutoring support is modelled as a bidirectional state machine over four discrete levels, ordered from most to least direct guidance: full, guided, minimal, and independent. At the beginning of every adaptive tutoring turn, the current level for the concept the active question most strongly exercises (its highest-weighted tag) is re-derived </w:t>
      </w:r>
      <w:r w:rsidR="00301863">
        <w:t>-</w:t>
      </w:r>
      <w:r>
        <w:t xml:space="preserve"> not merely read back </w:t>
      </w:r>
      <w:r w:rsidR="00301863">
        <w:t>-</w:t>
      </w:r>
      <w:r>
        <w:t xml:space="preserve"> from that student's live consecutive-success and consecutive-failure streaks for that concept: support is faded one level after a configured number of consecutive correct attempts, and restored one level after a configured number of consecutive incorrect attempts, with restoration taking precedence should both conditions somehow apply simultaneously. This bidirectionality is a deliberate design property, intended to ensure a struggling student is never permanently stranded at the least-supportive tutoring level having briefly demonstrated competence earlier in a session.</w:t>
      </w:r>
    </w:p>
    <w:p w14:paraId="7456EB26" w14:textId="77777777" w:rsidR="00261DA5" w:rsidRDefault="00000000">
      <w:pPr>
        <w:pStyle w:val="Heading2"/>
        <w:spacing w:before="320" w:after="200"/>
      </w:pPr>
      <w:proofErr w:type="gramStart"/>
      <w:r>
        <w:rPr>
          <w:b/>
          <w:bCs/>
        </w:rPr>
        <w:t>A.7.5.3  The</w:t>
      </w:r>
      <w:proofErr w:type="gramEnd"/>
      <w:r>
        <w:rPr>
          <w:b/>
          <w:bCs/>
        </w:rPr>
        <w:t xml:space="preserve"> SOLO Classifier Agent</w:t>
      </w:r>
    </w:p>
    <w:p w14:paraId="7456EB27" w14:textId="366647AE" w:rsidR="00261DA5" w:rsidRDefault="00000000">
      <w:pPr>
        <w:spacing w:after="200" w:line="276" w:lineRule="auto"/>
        <w:jc w:val="both"/>
      </w:pPr>
      <w:r>
        <w:t xml:space="preserve">Independently of the mastery model, a background agent classifies each student chat message sent to the AI tutor into one of the five levels of the SOLO taxonomy </w:t>
      </w:r>
      <w:r w:rsidR="00301863">
        <w:t>-</w:t>
      </w:r>
      <w:r>
        <w:t xml:space="preserve"> </w:t>
      </w:r>
      <w:proofErr w:type="spellStart"/>
      <w:r>
        <w:t>prestructural</w:t>
      </w:r>
      <w:proofErr w:type="spellEnd"/>
      <w:r>
        <w:t xml:space="preserve">, unistructural, </w:t>
      </w:r>
      <w:proofErr w:type="spellStart"/>
      <w:r>
        <w:t>multistructural</w:t>
      </w:r>
      <w:proofErr w:type="spellEnd"/>
      <w:r>
        <w:t xml:space="preserve">, relational, and extended abstract </w:t>
      </w:r>
      <w:r w:rsidR="00301863">
        <w:t>-</w:t>
      </w:r>
      <w:r>
        <w:t xml:space="preserve"> via a single large-language-model call constrained to return a structured classification together with a self-reported confidence score. This call is scheduled as a background task and does not block or delay the tutor's own reply to the student; consequently, a classification produced from message N is available only from message N+1 onward, a one-turn latency that was accepted as the cost of never making a student wait on an additional model call before their tutor's response begins streaming.</w:t>
      </w:r>
    </w:p>
    <w:p w14:paraId="7456EB28" w14:textId="77777777" w:rsidR="00261DA5" w:rsidRDefault="00000000">
      <w:pPr>
        <w:spacing w:after="200" w:line="276" w:lineRule="auto"/>
        <w:jc w:val="both"/>
      </w:pPr>
      <w:r>
        <w:t xml:space="preserve">A confidence gate is enforced in two places: once at classification time, where a classification whose self-reported confidence falls below a configured threshold is flagged as a fallback result, and again independently when that classification is later read back to construct the next tutoring prompt, so that a change to the confidence threshold after the fact is applied to historical classifications rather than only to future ones. Below this threshold, or in the absence of any prior </w:t>
      </w:r>
      <w:r>
        <w:lastRenderedPageBreak/>
        <w:t>classification, the tutor prompt uses a neutral, level-appropriate stance with no SOLO-specific tailoring, rather than guessing. Consistent with the principle in Section A.6.2, the SOLO level itself is never surfaced to the student directly; it functions purely as an internal signal shaping the tutor's tone, and as a data point for the research-export pipeline described in Section A.7.6.</w:t>
      </w:r>
    </w:p>
    <w:p w14:paraId="7456EB29" w14:textId="77777777" w:rsidR="00261DA5" w:rsidRDefault="00000000">
      <w:pPr>
        <w:pStyle w:val="Heading2"/>
        <w:spacing w:before="320" w:after="200"/>
      </w:pPr>
      <w:proofErr w:type="gramStart"/>
      <w:r>
        <w:rPr>
          <w:b/>
          <w:bCs/>
        </w:rPr>
        <w:t>A.7.5.4  Adaptive</w:t>
      </w:r>
      <w:proofErr w:type="gramEnd"/>
      <w:r>
        <w:rPr>
          <w:b/>
          <w:bCs/>
        </w:rPr>
        <w:t xml:space="preserve"> Prompt Construction</w:t>
      </w:r>
    </w:p>
    <w:p w14:paraId="7456EB2A" w14:textId="77777777" w:rsidR="00261DA5" w:rsidRDefault="00000000">
      <w:pPr>
        <w:spacing w:after="200" w:line="276" w:lineRule="auto"/>
        <w:jc w:val="both"/>
      </w:pPr>
      <w:r>
        <w:t>The system prompt sent to the language model for an adaptive tutoring turn is assembled from three stacked components: a fixed base instruction set common to every turn (the question, its schema, and an explicit instruction never to reveal or write the correct answer), a scaffolding-level-specific instruction block ranging from concrete, direct hints at the full-support level to purely metacognitive, self-checking prompts with no hints whatsoever at the independent level, and, where a sufficiently confident SOLO classification is available, a further instruction tailoring the tutor's register to that inferred level of reasoning sophistication. Prompt construction is entirely deterministic and fails safe: should the adaptive prompt-assembly step raise an exception for any reason, the system falls back to the platform's original, non-adaptive tutoring prompt rather than surfacing an error to the student, so that the adaptive layer can degrade but can never itself break the tutoring feature.</w:t>
      </w:r>
    </w:p>
    <w:p w14:paraId="7456EB2B" w14:textId="77777777" w:rsidR="00261DA5" w:rsidRDefault="00000000">
      <w:pPr>
        <w:pStyle w:val="Heading2"/>
        <w:spacing w:before="320" w:after="200"/>
      </w:pPr>
      <w:proofErr w:type="gramStart"/>
      <w:r>
        <w:rPr>
          <w:b/>
          <w:bCs/>
        </w:rPr>
        <w:t>A.7.5.5  The</w:t>
      </w:r>
      <w:proofErr w:type="gramEnd"/>
      <w:r>
        <w:rPr>
          <w:b/>
          <w:bCs/>
        </w:rPr>
        <w:t xml:space="preserve"> Learning Analytics Dashboard</w:t>
      </w:r>
    </w:p>
    <w:p w14:paraId="7456EB2C" w14:textId="77777777" w:rsidR="00261DA5" w:rsidRDefault="00000000">
      <w:pPr>
        <w:spacing w:after="200" w:line="276" w:lineRule="auto"/>
        <w:jc w:val="both"/>
      </w:pPr>
      <w:r>
        <w:t>The student-facing dashboard is a read-only aggregation over the data the three agents above produce, performing no further inference of its own. It presents the student's own concept-mastery map as a directed acyclic graph reflecting the prerequisite structure of the concept taxonomy, with each node coloured by a coarse mastery band (untouched, novice, developing, proficient, mastered) derived from the underlying continuous mastery estimate; an anonymised, cohort-level peer benchmark per concept, refreshed once daily rather than on every write and suppressed entirely below a minimum cohort size to guard against re-identification of an individual peer within a very small class group; and the current scaffolding level for a question the student is actively working, surfaced as a small indicator within the tutoring interface.</w:t>
      </w:r>
    </w:p>
    <w:p w14:paraId="7456EB2D" w14:textId="77777777" w:rsidR="00261DA5" w:rsidRDefault="00000000">
      <w:pPr>
        <w:pStyle w:val="Heading2"/>
        <w:spacing w:before="320" w:after="200"/>
      </w:pPr>
      <w:proofErr w:type="gramStart"/>
      <w:r>
        <w:rPr>
          <w:b/>
          <w:bCs/>
        </w:rPr>
        <w:t>A.7.6  Administrative</w:t>
      </w:r>
      <w:proofErr w:type="gramEnd"/>
      <w:r>
        <w:rPr>
          <w:b/>
          <w:bCs/>
        </w:rPr>
        <w:t xml:space="preserve"> Analytics and the Research-Export Pipeline</w:t>
      </w:r>
    </w:p>
    <w:p w14:paraId="7456EB2E" w14:textId="73AD4EFA" w:rsidR="00261DA5" w:rsidRDefault="00000000">
      <w:pPr>
        <w:spacing w:after="200" w:line="276" w:lineRule="auto"/>
        <w:jc w:val="both"/>
      </w:pPr>
      <w:r>
        <w:t xml:space="preserve">Beyond day-to-day teaching analytics </w:t>
      </w:r>
      <w:r w:rsidR="00301863">
        <w:t>-</w:t>
      </w:r>
      <w:r>
        <w:t xml:space="preserve"> computed live rather than from a maintained rollup table, on the basis that the deployment's cohort sizes remain small enough for this to be inexpensive </w:t>
      </w:r>
      <w:r w:rsidR="00301863">
        <w:t>-</w:t>
      </w:r>
      <w:r>
        <w:t xml:space="preserve"> the platform includes a dedicated research-export pipeline, distinct in purpose from the teaching-facing analytics: it is oriented toward cohort-level, anonymised outputs suitable for use in research analysis rather than toward identifying which individual student needs help. It produces two artefacts: a cohort-level summary comprising seven aggregate measures (including a SOLO-level transition matrix, adaptive-tutoring efficacy measures, and a first-match-wins pattern classifier over raw SQL error messages intended to surface common student misconceptions), and a per-student, row-level CSV export in which each student is identified only by a non-reversible, keyed </w:t>
      </w:r>
      <w:r>
        <w:lastRenderedPageBreak/>
        <w:t xml:space="preserve">hash of their internal identifier </w:t>
      </w:r>
      <w:r w:rsidR="00301863">
        <w:t>-</w:t>
      </w:r>
      <w:r>
        <w:t xml:space="preserve"> computed as a truncated HMAC-SHA-256 of that identifier under a configured secret </w:t>
      </w:r>
      <w:r w:rsidR="00301863">
        <w:t>-</w:t>
      </w:r>
      <w:r>
        <w:t xml:space="preserve"> rather than by name, email, or any other directly identifying field. Because the same identifier always hashes to the same anonymised value under a fixed key, a given student's data remains consistently identifiable across repeated export runs for longitudinal analysis, while remaining non-reversible to an outside reader without the key; rotating that key is consequently an irreversible action, since it permanently and simultaneously changes every student's anonymised identifier. Every population query underlying both exports is additionally filtered to exclude configured staff and test-account class groups, so that non-participant accounts used for platform testing can never appear in exported research data.</w:t>
      </w:r>
    </w:p>
    <w:p w14:paraId="7456EB2F" w14:textId="77777777" w:rsidR="00261DA5" w:rsidRDefault="00000000">
      <w:pPr>
        <w:pStyle w:val="Heading1"/>
        <w:spacing w:before="480" w:after="200"/>
      </w:pPr>
      <w:proofErr w:type="gramStart"/>
      <w:r>
        <w:rPr>
          <w:b/>
          <w:bCs/>
          <w:sz w:val="30"/>
          <w:szCs w:val="30"/>
        </w:rPr>
        <w:t>A.8  Grading</w:t>
      </w:r>
      <w:proofErr w:type="gramEnd"/>
      <w:r>
        <w:rPr>
          <w:b/>
          <w:bCs/>
          <w:sz w:val="30"/>
          <w:szCs w:val="30"/>
        </w:rPr>
        <w:t xml:space="preserve"> Pipelines</w:t>
      </w:r>
    </w:p>
    <w:p w14:paraId="7456EB30" w14:textId="42853807" w:rsidR="00261DA5" w:rsidRDefault="00000000">
      <w:pPr>
        <w:spacing w:after="200" w:line="276" w:lineRule="auto"/>
        <w:jc w:val="both"/>
      </w:pPr>
      <w:r>
        <w:t xml:space="preserve">Grading is implemented differently for each content type, reflecting differing trust and isolation requirements rather than a single generic grading engine. SQL Question submissions are executed in three phases </w:t>
      </w:r>
      <w:r w:rsidR="00301863">
        <w:t>-</w:t>
      </w:r>
      <w:r>
        <w:t xml:space="preserve"> a short read phase establishing eligibility and any applicable limits, an execution phase in which the database connection to the primary relational database is released before the (potentially several-second) untrusted query runs against the isolated SQLite sandbox, and a short write phase persisting the outcome </w:t>
      </w:r>
      <w:r w:rsidR="00301863">
        <w:t>-</w:t>
      </w:r>
      <w:r>
        <w:t xml:space="preserve"> a pattern adopted specifically to avoid holding a scarce connection-pool slot for the duration of untrusted, potentially slow execution. Lab task grading follows a comparable but distinct two-step flow, in which an exploratory query-execution endpoint is followed by a separate task-submission endpoint that hashes and compares a client-reported result set (Section A.7.2). ER-diagram grading, described in Section A.7.3, is dispatched to one of two selectable engines and produces a deterministic, points-based score from a rubric of individually weighted checks, each carrying a requirement level (mandatory, recommended, or optional); a check the grading model fails to evaluate at all is treated as a grader failure rather than as evidence the student answered incorrectly, and is excluded from the score rather than penalised, except where the check is mandatory or recommended and carries non-zero weight, in which case it is conservatively marked failed. Staff may subsequently issue a manual point-level correction to any ER-diagram grade, a facility engineered to be indistinguishable in its downstream effects </w:t>
      </w:r>
      <w:r w:rsidR="00301863">
        <w:t>-</w:t>
      </w:r>
      <w:r>
        <w:t xml:space="preserve"> on the student's stored grade, on assessment scoring, and on analytics </w:t>
      </w:r>
      <w:r w:rsidR="00301863">
        <w:t>-</w:t>
      </w:r>
      <w:r>
        <w:t xml:space="preserve"> from a grade the automated pipeline produced directly.</w:t>
      </w:r>
    </w:p>
    <w:p w14:paraId="7456EB31" w14:textId="77777777" w:rsidR="00261DA5" w:rsidRDefault="00000000">
      <w:pPr>
        <w:pStyle w:val="Heading1"/>
        <w:spacing w:before="480" w:after="200"/>
      </w:pPr>
      <w:proofErr w:type="gramStart"/>
      <w:r>
        <w:rPr>
          <w:b/>
          <w:bCs/>
          <w:sz w:val="30"/>
          <w:szCs w:val="30"/>
        </w:rPr>
        <w:t>A.9  AI</w:t>
      </w:r>
      <w:proofErr w:type="gramEnd"/>
      <w:r>
        <w:rPr>
          <w:b/>
          <w:bCs/>
          <w:sz w:val="30"/>
          <w:szCs w:val="30"/>
        </w:rPr>
        <w:t>-Assisted Learning Features</w:t>
      </w:r>
    </w:p>
    <w:p w14:paraId="7456EB32" w14:textId="5C4B66A0" w:rsidR="00261DA5" w:rsidRDefault="00000000">
      <w:pPr>
        <w:spacing w:after="200" w:line="276" w:lineRule="auto"/>
        <w:jc w:val="both"/>
      </w:pPr>
      <w:r>
        <w:t xml:space="preserve">Beyond the adaptive tutor described in Section A.7.5, the platform offers several narrow, purpose-built AI-assisted features on the SQL Question workspace, each reached through the shared multi-provider language-model abstraction described in Section A.3. A query-review feature explains, in one or two sentences, why an incorrect submitted query is wrong and offers a hint without revealing the correct answer. A counterexample-generation feature is of particular methodological interest: rather than trusting a language model's claim that a proposed counterexample genuinely </w:t>
      </w:r>
      <w:r>
        <w:lastRenderedPageBreak/>
        <w:t xml:space="preserve">distinguishes a student's query from the correct one, the system has the model propose several small candidate rows to insert into an isolated copy of the question's database, then actually executes both the student's query and the correct query against each candidate and accepts only a candidate empirically verified, by comparing the two result sets, to cause a genuine divergence </w:t>
      </w:r>
      <w:r w:rsidR="00301863">
        <w:t>-</w:t>
      </w:r>
      <w:r>
        <w:t xml:space="preserve"> a single language-model call generates several inexpensive hypotheses, and cheap local execution serves as the verifier, rather than the language model's output being trusted directly. A related contrasting-cases feature asks the model for the minimal single-concept edit that would correct a student's own query, then executes both the original and the corrected query against the real question data so that the specific rows on which they differ can be highlighted directly to the student. A worked-example feature is retrieval-based rather than generative: the language model's role is limited to selecting, from among a student's own previously completed problems, the one most conceptually relevant to their current difficulty, and to writing a short note relating the two problems; the reference material shown to the student is invariably their own previously correct query, never anything language-model-generated. Every one of these features is disabled outright for assessment </w:t>
      </w:r>
      <w:proofErr w:type="gramStart"/>
      <w:r>
        <w:t>content, and</w:t>
      </w:r>
      <w:proofErr w:type="gramEnd"/>
      <w:r>
        <w:t xml:space="preserve"> further disabled specifically where a question is configured to withhold correctness feedback, so that no AI-assisted feature can be used to circumvent an intended pedagogical restriction.</w:t>
      </w:r>
    </w:p>
    <w:p w14:paraId="7456EB33" w14:textId="77777777" w:rsidR="00261DA5" w:rsidRDefault="00000000">
      <w:pPr>
        <w:pStyle w:val="Heading1"/>
        <w:spacing w:before="480" w:after="200"/>
      </w:pPr>
      <w:proofErr w:type="gramStart"/>
      <w:r>
        <w:rPr>
          <w:b/>
          <w:bCs/>
          <w:sz w:val="30"/>
          <w:szCs w:val="30"/>
        </w:rPr>
        <w:t>A.10  Caching</w:t>
      </w:r>
      <w:proofErr w:type="gramEnd"/>
      <w:r>
        <w:rPr>
          <w:b/>
          <w:bCs/>
          <w:sz w:val="30"/>
          <w:szCs w:val="30"/>
        </w:rPr>
        <w:t xml:space="preserve"> Architecture</w:t>
      </w:r>
    </w:p>
    <w:p w14:paraId="7456EB34" w14:textId="77777777" w:rsidR="00261DA5" w:rsidRDefault="00000000">
      <w:pPr>
        <w:spacing w:after="200" w:line="276" w:lineRule="auto"/>
        <w:jc w:val="both"/>
      </w:pPr>
      <w:r>
        <w:t xml:space="preserve">Because several pages present data that is identical across every user of a given role (a question bank listing, staff-facing analytics, and comparable views), and because client-side caching alone cannot de-duplicate this work across concurrent users or worker processes, the backend implements a small in-process read-cache. Freshness is established not by a time-to-live but by a generation counter stored once per logical namespace in the primary database itself: a cached payload is stamped with the counter's value at the moment it was computed, and is served again only while that value still matches the counter's current value; any write that should invalidate a namespace increments its counter within the same database transaction as the write itself. Because the counter lives in the shared database rather than in any individual worker process's memory, every worker process observes an invalidating write on its very next read, achieving cross-process cache consistency without external caching infrastructure such as Redis and without any staleness window bounded only by a time-to-live. Invalidation is automatic for ordinary object-relational writes, via a database-session event listener that maps a changed entity to the namespace(s) it affects; a small number of expensive, cohort-wide aggregates (the peer-benchmark computation in Section A.7.5.5, and the research-export summary in Section A.7.6) instead incorporate the current calendar date directly into their cache key, deliberately forgoing write-triggered invalidation in favour of a once-daily natural refresh, judged appropriate because those two computations are read-heavy, expensive, span a large number of frequently written tables, and do not need to reflect a write that occurred moments earlier. The cache subsystem is engineered to fail open: any failure or unavailability at the cache layer causes the underlying computation to be </w:t>
      </w:r>
      <w:r>
        <w:lastRenderedPageBreak/>
        <w:t>performed live rather than causing the request to fail, so that the caching layer can only ever improve response latency and can never itself be a cause of a failed request.</w:t>
      </w:r>
    </w:p>
    <w:p w14:paraId="7456EB35" w14:textId="77777777" w:rsidR="00261DA5" w:rsidRDefault="00000000">
      <w:pPr>
        <w:pStyle w:val="Heading1"/>
        <w:spacing w:before="480" w:after="200"/>
      </w:pPr>
      <w:proofErr w:type="gramStart"/>
      <w:r>
        <w:rPr>
          <w:b/>
          <w:bCs/>
          <w:sz w:val="30"/>
          <w:szCs w:val="30"/>
        </w:rPr>
        <w:t>A.11  API</w:t>
      </w:r>
      <w:proofErr w:type="gramEnd"/>
      <w:r>
        <w:rPr>
          <w:b/>
          <w:bCs/>
          <w:sz w:val="30"/>
          <w:szCs w:val="30"/>
        </w:rPr>
        <w:t xml:space="preserve"> Design and Representative Schemas</w:t>
      </w:r>
    </w:p>
    <w:p w14:paraId="7456EB36" w14:textId="77777777" w:rsidR="00261DA5" w:rsidRDefault="00000000">
      <w:pPr>
        <w:spacing w:after="200" w:line="276" w:lineRule="auto"/>
        <w:jc w:val="both"/>
      </w:pPr>
      <w:r>
        <w:t>The backend exposes a versioned REST API beneath the path prefix /</w:t>
      </w:r>
      <w:proofErr w:type="spellStart"/>
      <w:r>
        <w:t>api</w:t>
      </w:r>
      <w:proofErr w:type="spellEnd"/>
      <w:r>
        <w:t xml:space="preserve">/v1. Every route handler declares an explicit response schema, and every request body is validated against an explicit schema, using the </w:t>
      </w:r>
      <w:proofErr w:type="spellStart"/>
      <w:r>
        <w:t>Pydantic</w:t>
      </w:r>
      <w:proofErr w:type="spellEnd"/>
      <w:r>
        <w:t xml:space="preserve"> data-validation library; a handler never accepts or returns an untyped dictionary. Schemas are organised into one module per functional area beneath backend/app/schemas (for example, attempt, question, lab, assessment, </w:t>
      </w:r>
      <w:proofErr w:type="spellStart"/>
      <w:r>
        <w:t>er_diagram</w:t>
      </w:r>
      <w:proofErr w:type="spellEnd"/>
      <w:r>
        <w:t>), mirroring the organisation of the route-handler modules described in Section A.4.2, rather than being defined inline alongside each individual endpoint.</w:t>
      </w:r>
    </w:p>
    <w:p w14:paraId="7456EB37" w14:textId="77777777" w:rsidR="00261DA5" w:rsidRDefault="00000000">
      <w:pPr>
        <w:spacing w:after="200" w:line="276" w:lineRule="auto"/>
        <w:jc w:val="both"/>
      </w:pPr>
      <w:r>
        <w:t>A recurring convention across these schemas is the use of an optional field, defaulting to a null value, as a mechanism for deliberately withholding a value from a particular caller, rather than omitting the field from the response outright. Where a question is configured to withhold correctness feedback from a student (Section A.9), the corresponding correctness field is present in every response but is populated with a null value for that student, while the true value continues to be recorded server-side for grading and staff analytics. This preserves a single, stable response shape for every caller regardless of role, at the cost of every consumer of the schema needing to treat that field as optional.</w:t>
      </w:r>
    </w:p>
    <w:p w14:paraId="7456EB38" w14:textId="2CFD9488" w:rsidR="00261DA5" w:rsidRDefault="00000000">
      <w:pPr>
        <w:spacing w:after="200" w:line="276" w:lineRule="auto"/>
        <w:jc w:val="both"/>
      </w:pPr>
      <w:r>
        <w:t xml:space="preserve">Table A.3 reproduces, as a representative example, the request and response schema for the endpoint that executes a submitted SQL query against a question's database and records the resulting attempt </w:t>
      </w:r>
      <w:r w:rsidR="00301863">
        <w:t>-</w:t>
      </w:r>
      <w:r>
        <w:t xml:space="preserve"> the single most frequently invoked endpoint in the system, and the one whose response shape most fully illustrates the conventions described above.</w:t>
      </w:r>
    </w:p>
    <w:tbl>
      <w:tblPr>
        <w:tblW w:w="9360"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261DA5" w14:paraId="7456EB47" w14:textId="77777777">
        <w:tblPrEx>
          <w:tblCellMar>
            <w:top w:w="0" w:type="dxa"/>
            <w:bottom w:w="0" w:type="dxa"/>
          </w:tblCellMar>
        </w:tblPrEx>
        <w:tc>
          <w:tcPr>
            <w:tcW w:w="9360" w:type="dxa"/>
            <w:shd w:val="clear" w:color="auto" w:fill="F2F2F2"/>
            <w:tcMar>
              <w:top w:w="160" w:type="dxa"/>
              <w:left w:w="200" w:type="dxa"/>
              <w:bottom w:w="160" w:type="dxa"/>
              <w:right w:w="200" w:type="dxa"/>
            </w:tcMar>
          </w:tcPr>
          <w:p w14:paraId="7456EB39" w14:textId="77777777" w:rsidR="00261DA5" w:rsidRDefault="00000000">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ExecuteRequest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BaseModel</w:t>
            </w:r>
            <w:proofErr w:type="spellEnd"/>
            <w:r>
              <w:rPr>
                <w:rFonts w:ascii="Courier New" w:eastAsia="Courier New" w:hAnsi="Courier New" w:cs="Courier New"/>
                <w:sz w:val="18"/>
                <w:szCs w:val="18"/>
              </w:rPr>
              <w:t>):</w:t>
            </w:r>
          </w:p>
          <w:p w14:paraId="7456EB3A" w14:textId="77777777" w:rsidR="00261DA5"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question_id</w:t>
            </w:r>
            <w:proofErr w:type="spellEnd"/>
            <w:r>
              <w:rPr>
                <w:rFonts w:ascii="Courier New" w:eastAsia="Courier New" w:hAnsi="Courier New" w:cs="Courier New"/>
                <w:sz w:val="18"/>
                <w:szCs w:val="18"/>
              </w:rPr>
              <w:t>: int</w:t>
            </w:r>
          </w:p>
          <w:p w14:paraId="7456EB3B" w14:textId="77777777" w:rsidR="00261DA5" w:rsidRDefault="00000000">
            <w:r>
              <w:rPr>
                <w:rFonts w:ascii="Courier New" w:eastAsia="Courier New" w:hAnsi="Courier New" w:cs="Courier New"/>
                <w:sz w:val="18"/>
                <w:szCs w:val="18"/>
              </w:rPr>
              <w:t xml:space="preserve">    query: str                             # the submitted SQL statement</w:t>
            </w:r>
          </w:p>
          <w:p w14:paraId="7456EB3C" w14:textId="77777777" w:rsidR="00261DA5" w:rsidRDefault="00000000">
            <w:r>
              <w:rPr>
                <w:rFonts w:ascii="Courier New" w:eastAsia="Courier New" w:hAnsi="Courier New" w:cs="Courier New"/>
                <w:sz w:val="18"/>
                <w:szCs w:val="18"/>
              </w:rPr>
              <w:t xml:space="preserve"> </w:t>
            </w:r>
          </w:p>
          <w:p w14:paraId="7456EB3D" w14:textId="77777777" w:rsidR="00261DA5" w:rsidRDefault="00000000">
            <w:r>
              <w:rPr>
                <w:rFonts w:ascii="Courier New" w:eastAsia="Courier New" w:hAnsi="Courier New" w:cs="Courier New"/>
                <w:sz w:val="18"/>
                <w:szCs w:val="18"/>
              </w:rPr>
              <w:t xml:space="preserve">class </w:t>
            </w:r>
            <w:proofErr w:type="spellStart"/>
            <w:proofErr w:type="gramStart"/>
            <w:r>
              <w:rPr>
                <w:rFonts w:ascii="Courier New" w:eastAsia="Courier New" w:hAnsi="Courier New" w:cs="Courier New"/>
                <w:sz w:val="18"/>
                <w:szCs w:val="18"/>
              </w:rPr>
              <w:t>ExecuteResponse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BaseModel</w:t>
            </w:r>
            <w:proofErr w:type="spellEnd"/>
            <w:r>
              <w:rPr>
                <w:rFonts w:ascii="Courier New" w:eastAsia="Courier New" w:hAnsi="Courier New" w:cs="Courier New"/>
                <w:sz w:val="18"/>
                <w:szCs w:val="18"/>
              </w:rPr>
              <w:t>):</w:t>
            </w:r>
          </w:p>
          <w:p w14:paraId="7456EB3E" w14:textId="77777777" w:rsidR="00261DA5"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is_correct</w:t>
            </w:r>
            <w:proofErr w:type="spellEnd"/>
            <w:r>
              <w:rPr>
                <w:rFonts w:ascii="Courier New" w:eastAsia="Courier New" w:hAnsi="Courier New" w:cs="Courier New"/>
                <w:sz w:val="18"/>
                <w:szCs w:val="18"/>
              </w:rPr>
              <w:t>: Optional[bool] = None       # null when correctness is withheld</w:t>
            </w:r>
          </w:p>
          <w:p w14:paraId="7456EB3F" w14:textId="77777777" w:rsidR="00261DA5"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execution_time_ms</w:t>
            </w:r>
            <w:proofErr w:type="spellEnd"/>
            <w:r>
              <w:rPr>
                <w:rFonts w:ascii="Courier New" w:eastAsia="Courier New" w:hAnsi="Courier New" w:cs="Courier New"/>
                <w:sz w:val="18"/>
                <w:szCs w:val="18"/>
              </w:rPr>
              <w:t>: float</w:t>
            </w:r>
          </w:p>
          <w:p w14:paraId="7456EB40" w14:textId="77777777" w:rsidR="00261DA5" w:rsidRDefault="00000000">
            <w:r>
              <w:rPr>
                <w:rFonts w:ascii="Courier New" w:eastAsia="Courier New" w:hAnsi="Courier New" w:cs="Courier New"/>
                <w:sz w:val="18"/>
                <w:szCs w:val="18"/>
              </w:rPr>
              <w:t xml:space="preserve">    results: </w:t>
            </w:r>
            <w:proofErr w:type="gramStart"/>
            <w:r>
              <w:rPr>
                <w:rFonts w:ascii="Courier New" w:eastAsia="Courier New" w:hAnsi="Courier New" w:cs="Courier New"/>
                <w:sz w:val="18"/>
                <w:szCs w:val="18"/>
              </w:rPr>
              <w:t>List[</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str, Any]]</w:t>
            </w:r>
          </w:p>
          <w:p w14:paraId="7456EB41" w14:textId="77777777" w:rsidR="00261DA5" w:rsidRDefault="00000000">
            <w:r>
              <w:rPr>
                <w:rFonts w:ascii="Courier New" w:eastAsia="Courier New" w:hAnsi="Courier New" w:cs="Courier New"/>
                <w:sz w:val="18"/>
                <w:szCs w:val="18"/>
              </w:rPr>
              <w:t xml:space="preserve">    columns: List[str]</w:t>
            </w:r>
          </w:p>
          <w:p w14:paraId="7456EB42" w14:textId="77777777" w:rsidR="00261DA5"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error_message</w:t>
            </w:r>
            <w:proofErr w:type="spellEnd"/>
            <w:r>
              <w:rPr>
                <w:rFonts w:ascii="Courier New" w:eastAsia="Courier New" w:hAnsi="Courier New" w:cs="Courier New"/>
                <w:sz w:val="18"/>
                <w:szCs w:val="18"/>
              </w:rPr>
              <w:t>: Optional[str] = None</w:t>
            </w:r>
          </w:p>
          <w:p w14:paraId="7456EB43" w14:textId="77777777" w:rsidR="00261DA5"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row_count</w:t>
            </w:r>
            <w:proofErr w:type="spellEnd"/>
            <w:r>
              <w:rPr>
                <w:rFonts w:ascii="Courier New" w:eastAsia="Courier New" w:hAnsi="Courier New" w:cs="Courier New"/>
                <w:sz w:val="18"/>
                <w:szCs w:val="18"/>
              </w:rPr>
              <w:t>: int</w:t>
            </w:r>
          </w:p>
          <w:p w14:paraId="7456EB44" w14:textId="77777777" w:rsidR="00261DA5"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assessment_end_time</w:t>
            </w:r>
            <w:proofErr w:type="spellEnd"/>
            <w:r>
              <w:rPr>
                <w:rFonts w:ascii="Courier New" w:eastAsia="Courier New" w:hAnsi="Courier New" w:cs="Courier New"/>
                <w:sz w:val="18"/>
                <w:szCs w:val="18"/>
              </w:rPr>
              <w:t>: Optional[datetime] = None   # credited deadline, if any</w:t>
            </w:r>
          </w:p>
          <w:p w14:paraId="7456EB45" w14:textId="77777777" w:rsidR="00261DA5"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max_queries</w:t>
            </w:r>
            <w:proofErr w:type="spellEnd"/>
            <w:r>
              <w:rPr>
                <w:rFonts w:ascii="Courier New" w:eastAsia="Courier New" w:hAnsi="Courier New" w:cs="Courier New"/>
                <w:sz w:val="18"/>
                <w:szCs w:val="18"/>
              </w:rPr>
              <w:t>: Optional[int] = None       # per-question cap, assessments only</w:t>
            </w:r>
          </w:p>
          <w:p w14:paraId="7456EB46" w14:textId="77777777" w:rsidR="00261DA5"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attempts_used</w:t>
            </w:r>
            <w:proofErr w:type="spellEnd"/>
            <w:r>
              <w:rPr>
                <w:rFonts w:ascii="Courier New" w:eastAsia="Courier New" w:hAnsi="Courier New" w:cs="Courier New"/>
                <w:sz w:val="18"/>
                <w:szCs w:val="18"/>
              </w:rPr>
              <w:t>: Optional[int] = None</w:t>
            </w:r>
          </w:p>
        </w:tc>
      </w:tr>
    </w:tbl>
    <w:p w14:paraId="7456EB48" w14:textId="5587FC43" w:rsidR="00261DA5" w:rsidRDefault="00000000">
      <w:pPr>
        <w:spacing w:before="100" w:after="200"/>
      </w:pPr>
      <w:r>
        <w:rPr>
          <w:i/>
          <w:iCs/>
          <w:sz w:val="21"/>
          <w:szCs w:val="21"/>
        </w:rPr>
        <w:t xml:space="preserve">Table A.3 </w:t>
      </w:r>
      <w:r w:rsidR="00301863">
        <w:rPr>
          <w:i/>
          <w:iCs/>
          <w:sz w:val="21"/>
          <w:szCs w:val="21"/>
        </w:rPr>
        <w:t>-</w:t>
      </w:r>
      <w:r>
        <w:rPr>
          <w:i/>
          <w:iCs/>
          <w:sz w:val="21"/>
          <w:szCs w:val="21"/>
        </w:rPr>
        <w:t xml:space="preserve"> Representative request/response schema (query-execution endpoint, POST /</w:t>
      </w:r>
      <w:proofErr w:type="spellStart"/>
      <w:r>
        <w:rPr>
          <w:i/>
          <w:iCs/>
          <w:sz w:val="21"/>
          <w:szCs w:val="21"/>
        </w:rPr>
        <w:t>api</w:t>
      </w:r>
      <w:proofErr w:type="spellEnd"/>
      <w:r>
        <w:rPr>
          <w:i/>
          <w:iCs/>
          <w:sz w:val="21"/>
          <w:szCs w:val="21"/>
        </w:rPr>
        <w:t>/v1/execute).</w:t>
      </w:r>
    </w:p>
    <w:p w14:paraId="7456EB49" w14:textId="77777777" w:rsidR="00261DA5" w:rsidRDefault="00000000">
      <w:pPr>
        <w:spacing w:after="200" w:line="276" w:lineRule="auto"/>
        <w:jc w:val="both"/>
      </w:pPr>
      <w:r>
        <w:t xml:space="preserve">Two design choices in this schema are illustrative of the API more generally. First, </w:t>
      </w:r>
      <w:proofErr w:type="spellStart"/>
      <w:r>
        <w:t>assessment_end_time</w:t>
      </w:r>
      <w:proofErr w:type="spellEnd"/>
      <w:r>
        <w:t xml:space="preserve"> is returned on every invocation of this endpoint, rather than requiring the </w:t>
      </w:r>
      <w:r>
        <w:lastRenderedPageBreak/>
        <w:t xml:space="preserve">client to make a separate request to learn its updated countdown deadline after query execution time has been credited to it (Section A.7.4); this reflects a general preference, applied throughout the API, for a response to carry any state a client would otherwise need to request separately in the same interaction, minimising round trips during a timed assessment in particular. Second, </w:t>
      </w:r>
      <w:proofErr w:type="spellStart"/>
      <w:r>
        <w:t>max_queries</w:t>
      </w:r>
      <w:proofErr w:type="spellEnd"/>
      <w:r>
        <w:t xml:space="preserve"> and </w:t>
      </w:r>
      <w:proofErr w:type="spellStart"/>
      <w:r>
        <w:t>attempts_used</w:t>
      </w:r>
      <w:proofErr w:type="spellEnd"/>
      <w:r>
        <w:t xml:space="preserve"> are populated only for assessment content subject to a query cap, and remain null otherwise, following the withholding convention described above.</w:t>
      </w:r>
    </w:p>
    <w:p w14:paraId="7456EB4A" w14:textId="77777777" w:rsidR="00261DA5" w:rsidRDefault="00000000">
      <w:pPr>
        <w:spacing w:after="200" w:line="276" w:lineRule="auto"/>
        <w:jc w:val="both"/>
      </w:pPr>
      <w:r>
        <w:t xml:space="preserve">The client application maintains a hand-written TypeScript type for every such schema, matching the corresponding </w:t>
      </w:r>
      <w:proofErr w:type="spellStart"/>
      <w:r>
        <w:t>Pydantic</w:t>
      </w:r>
      <w:proofErr w:type="spellEnd"/>
      <w:r>
        <w:t xml:space="preserve"> model field for field; there is no automated schema-generation step linking the two, which is noted as a maintenance risk in Section A.14.</w:t>
      </w:r>
    </w:p>
    <w:p w14:paraId="7456EB4B" w14:textId="77777777" w:rsidR="00261DA5" w:rsidRDefault="00000000">
      <w:pPr>
        <w:pStyle w:val="Heading1"/>
        <w:spacing w:before="480" w:after="200"/>
      </w:pPr>
      <w:proofErr w:type="gramStart"/>
      <w:r>
        <w:rPr>
          <w:b/>
          <w:bCs/>
          <w:sz w:val="30"/>
          <w:szCs w:val="30"/>
        </w:rPr>
        <w:t>A.12  Deployment</w:t>
      </w:r>
      <w:proofErr w:type="gramEnd"/>
      <w:r>
        <w:rPr>
          <w:b/>
          <w:bCs/>
          <w:sz w:val="30"/>
          <w:szCs w:val="30"/>
        </w:rPr>
        <w:t xml:space="preserve"> and Continuous Integration</w:t>
      </w:r>
    </w:p>
    <w:p w14:paraId="7456EB4C" w14:textId="77777777" w:rsidR="00261DA5" w:rsidRDefault="00000000">
      <w:pPr>
        <w:spacing w:after="200" w:line="276" w:lineRule="auto"/>
        <w:jc w:val="both"/>
      </w:pPr>
      <w:r>
        <w:t>The backend is deployed to Azure App Service, and the frontend to Azure Static Web Apps using its Next.js hybrid-rendering support, under which a genuine Next.js server process runs behind Azure's content-delivery layer rather than the frontend being served as a set of statically pre-rendered files. Both halves of the system are deployed independently via separate GitHub Actions pipelines, triggered on every push to the main integration branch; because the two pipelines are not coordinated, a change spanning both the backend and frontend is deployed non-atomically, which reinforces the backward-compatibility discipline discussed in Section A.4.1. Configuration values exposed to the client bundle are resolved at build time within the frontend pipeline rather than at runtime, a Next.js characteristic that, combined with the platform's connection-pool and worker-concurrency configuration (tuned specifically against the constraints of the production database tier in use), illustrates a recurring theme in the system's configuration surface: several settings exist in matched pairs across the client/server or build-time/runtime boundary and must be changed together, a constraint documented explicitly alongside each such setting to prevent the two halves of a pair drifting out of agreement.</w:t>
      </w:r>
    </w:p>
    <w:p w14:paraId="7456EB4D" w14:textId="77777777" w:rsidR="00261DA5" w:rsidRDefault="00000000">
      <w:pPr>
        <w:pStyle w:val="Heading1"/>
        <w:spacing w:before="480" w:after="200"/>
      </w:pPr>
      <w:proofErr w:type="gramStart"/>
      <w:r>
        <w:rPr>
          <w:b/>
          <w:bCs/>
          <w:sz w:val="30"/>
          <w:szCs w:val="30"/>
        </w:rPr>
        <w:t>A.13  Testing</w:t>
      </w:r>
      <w:proofErr w:type="gramEnd"/>
      <w:r>
        <w:rPr>
          <w:b/>
          <w:bCs/>
          <w:sz w:val="30"/>
          <w:szCs w:val="30"/>
        </w:rPr>
        <w:t xml:space="preserve"> Strategy</w:t>
      </w:r>
    </w:p>
    <w:p w14:paraId="7456EB4E" w14:textId="77777777" w:rsidR="00261DA5" w:rsidRDefault="00000000">
      <w:pPr>
        <w:spacing w:after="200" w:line="276" w:lineRule="auto"/>
        <w:jc w:val="both"/>
      </w:pPr>
      <w:r>
        <w:t xml:space="preserve">Automated backend testing is implemented with </w:t>
      </w:r>
      <w:proofErr w:type="spellStart"/>
      <w:r>
        <w:t>pytest</w:t>
      </w:r>
      <w:proofErr w:type="spellEnd"/>
      <w:r>
        <w:t xml:space="preserve"> against an isolated test database. The learning-analytics extension in particular is covered by a dedicated suite of deterministic tests exercising the mastery-update arithmetic and scaffolding-level transition logic described in Sections A.7.5.1–A.7.5.2 exhaustively and without any dependency on a language model, made possible precisely by the deterministic/non-deterministic separation described in Section A.6.2. Further suites cover assessment scoring and the Timing Gateway, ER-diagram grading concurrency, and platform-usage tracking. The frontend relies on static type-checking and linting rather than an automated test suite at the time of writing; this asymmetry between backend and frontend test coverage is noted as a limitation in Section A.14.</w:t>
      </w:r>
    </w:p>
    <w:p w14:paraId="7456EB57" w14:textId="77777777" w:rsidR="00261DA5" w:rsidRDefault="00000000">
      <w:pPr>
        <w:pStyle w:val="Heading1"/>
        <w:spacing w:before="480" w:after="200"/>
      </w:pPr>
      <w:proofErr w:type="gramStart"/>
      <w:r>
        <w:rPr>
          <w:b/>
          <w:bCs/>
          <w:sz w:val="30"/>
          <w:szCs w:val="30"/>
        </w:rPr>
        <w:lastRenderedPageBreak/>
        <w:t>A.15  Glossary</w:t>
      </w:r>
      <w:proofErr w:type="gramEnd"/>
      <w:r>
        <w:rPr>
          <w:b/>
          <w:bCs/>
          <w:sz w:val="30"/>
          <w:szCs w:val="30"/>
        </w:rPr>
        <w:t xml:space="preserve"> of Terms</w:t>
      </w:r>
    </w:p>
    <w:p w14:paraId="7456EB58" w14:textId="38E5D41A" w:rsidR="00261DA5" w:rsidRDefault="00000000">
      <w:pPr>
        <w:spacing w:before="200" w:after="100"/>
      </w:pPr>
      <w:r>
        <w:rPr>
          <w:i/>
          <w:iCs/>
          <w:sz w:val="21"/>
          <w:szCs w:val="21"/>
        </w:rPr>
        <w:t xml:space="preserve">Table A.4 </w:t>
      </w:r>
      <w:r w:rsidR="00301863">
        <w:rPr>
          <w:i/>
          <w:iCs/>
          <w:sz w:val="21"/>
          <w:szCs w:val="21"/>
        </w:rPr>
        <w:t>-</w:t>
      </w:r>
      <w:r>
        <w:rPr>
          <w:i/>
          <w:iCs/>
          <w:sz w:val="21"/>
          <w:szCs w:val="21"/>
        </w:rPr>
        <w:t xml:space="preserve"> Glossary of project-specific terminology.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61DA5" w14:paraId="7456EB5B" w14:textId="77777777">
        <w:tblPrEx>
          <w:tblCellMar>
            <w:top w:w="0" w:type="dxa"/>
            <w:bottom w:w="0" w:type="dxa"/>
          </w:tblCellMar>
        </w:tblPrEx>
        <w:trPr>
          <w:tblHeader/>
        </w:trPr>
        <w:tc>
          <w:tcPr>
            <w:tcW w:w="2600" w:type="dxa"/>
            <w:shd w:val="clear" w:color="auto" w:fill="D9D9D9"/>
            <w:tcMar>
              <w:top w:w="100" w:type="dxa"/>
              <w:left w:w="120" w:type="dxa"/>
              <w:bottom w:w="100" w:type="dxa"/>
              <w:right w:w="120" w:type="dxa"/>
            </w:tcMar>
            <w:vAlign w:val="center"/>
          </w:tcPr>
          <w:p w14:paraId="7456EB59" w14:textId="77777777" w:rsidR="00261DA5" w:rsidRDefault="00000000">
            <w:r>
              <w:rPr>
                <w:b/>
                <w:bCs/>
                <w:sz w:val="22"/>
                <w:szCs w:val="22"/>
              </w:rPr>
              <w:t>Term</w:t>
            </w:r>
          </w:p>
        </w:tc>
        <w:tc>
          <w:tcPr>
            <w:tcW w:w="6760" w:type="dxa"/>
            <w:shd w:val="clear" w:color="auto" w:fill="D9D9D9"/>
            <w:tcMar>
              <w:top w:w="100" w:type="dxa"/>
              <w:left w:w="120" w:type="dxa"/>
              <w:bottom w:w="100" w:type="dxa"/>
              <w:right w:w="120" w:type="dxa"/>
            </w:tcMar>
            <w:vAlign w:val="center"/>
          </w:tcPr>
          <w:p w14:paraId="7456EB5A" w14:textId="77777777" w:rsidR="00261DA5" w:rsidRDefault="00000000">
            <w:r>
              <w:rPr>
                <w:b/>
                <w:bCs/>
                <w:sz w:val="22"/>
                <w:szCs w:val="22"/>
              </w:rPr>
              <w:t>Definition</w:t>
            </w:r>
          </w:p>
        </w:tc>
      </w:tr>
      <w:tr w:rsidR="00261DA5" w14:paraId="7456EB5E" w14:textId="77777777">
        <w:tblPrEx>
          <w:tblCellMar>
            <w:top w:w="0" w:type="dxa"/>
            <w:bottom w:w="0" w:type="dxa"/>
          </w:tblCellMar>
        </w:tblPrEx>
        <w:tc>
          <w:tcPr>
            <w:tcW w:w="2600" w:type="dxa"/>
            <w:tcMar>
              <w:top w:w="100" w:type="dxa"/>
              <w:left w:w="120" w:type="dxa"/>
              <w:bottom w:w="100" w:type="dxa"/>
              <w:right w:w="120" w:type="dxa"/>
            </w:tcMar>
            <w:vAlign w:val="center"/>
          </w:tcPr>
          <w:p w14:paraId="7456EB5C" w14:textId="77777777" w:rsidR="00261DA5" w:rsidRDefault="00000000">
            <w:r>
              <w:rPr>
                <w:sz w:val="22"/>
                <w:szCs w:val="22"/>
              </w:rPr>
              <w:t>Akela</w:t>
            </w:r>
          </w:p>
        </w:tc>
        <w:tc>
          <w:tcPr>
            <w:tcW w:w="6760" w:type="dxa"/>
            <w:tcMar>
              <w:top w:w="100" w:type="dxa"/>
              <w:left w:w="120" w:type="dxa"/>
              <w:bottom w:w="100" w:type="dxa"/>
              <w:right w:w="120" w:type="dxa"/>
            </w:tcMar>
            <w:vAlign w:val="center"/>
          </w:tcPr>
          <w:p w14:paraId="7456EB5D" w14:textId="77777777" w:rsidR="00261DA5" w:rsidRDefault="00000000">
            <w:r>
              <w:rPr>
                <w:sz w:val="22"/>
                <w:szCs w:val="22"/>
              </w:rPr>
              <w:t xml:space="preserve">Internal project name for the </w:t>
            </w:r>
            <w:proofErr w:type="gramStart"/>
            <w:r>
              <w:rPr>
                <w:sz w:val="22"/>
                <w:szCs w:val="22"/>
              </w:rPr>
              <w:t>platform as a whole</w:t>
            </w:r>
            <w:proofErr w:type="gramEnd"/>
            <w:r>
              <w:rPr>
                <w:sz w:val="22"/>
                <w:szCs w:val="22"/>
              </w:rPr>
              <w:t>.</w:t>
            </w:r>
          </w:p>
        </w:tc>
      </w:tr>
      <w:tr w:rsidR="00261DA5" w14:paraId="7456EB61" w14:textId="77777777">
        <w:tblPrEx>
          <w:tblCellMar>
            <w:top w:w="0" w:type="dxa"/>
            <w:bottom w:w="0" w:type="dxa"/>
          </w:tblCellMar>
        </w:tblPrEx>
        <w:tc>
          <w:tcPr>
            <w:tcW w:w="2600" w:type="dxa"/>
            <w:tcMar>
              <w:top w:w="100" w:type="dxa"/>
              <w:left w:w="120" w:type="dxa"/>
              <w:bottom w:w="100" w:type="dxa"/>
              <w:right w:w="120" w:type="dxa"/>
            </w:tcMar>
            <w:vAlign w:val="center"/>
          </w:tcPr>
          <w:p w14:paraId="7456EB5F" w14:textId="77777777" w:rsidR="00261DA5" w:rsidRDefault="00000000">
            <w:r>
              <w:rPr>
                <w:sz w:val="22"/>
                <w:szCs w:val="22"/>
              </w:rPr>
              <w:t>Bagheera</w:t>
            </w:r>
          </w:p>
        </w:tc>
        <w:tc>
          <w:tcPr>
            <w:tcW w:w="6760" w:type="dxa"/>
            <w:tcMar>
              <w:top w:w="100" w:type="dxa"/>
              <w:left w:w="120" w:type="dxa"/>
              <w:bottom w:w="100" w:type="dxa"/>
              <w:right w:w="120" w:type="dxa"/>
            </w:tcMar>
            <w:vAlign w:val="center"/>
          </w:tcPr>
          <w:p w14:paraId="7456EB60" w14:textId="77777777" w:rsidR="00261DA5" w:rsidRDefault="00000000">
            <w:r>
              <w:rPr>
                <w:sz w:val="22"/>
                <w:szCs w:val="22"/>
              </w:rPr>
              <w:t>Internal name for the AI tutoring feature.</w:t>
            </w:r>
          </w:p>
        </w:tc>
      </w:tr>
      <w:tr w:rsidR="00261DA5" w14:paraId="7456EB64" w14:textId="77777777">
        <w:tblPrEx>
          <w:tblCellMar>
            <w:top w:w="0" w:type="dxa"/>
            <w:bottom w:w="0" w:type="dxa"/>
          </w:tblCellMar>
        </w:tblPrEx>
        <w:tc>
          <w:tcPr>
            <w:tcW w:w="2600" w:type="dxa"/>
            <w:tcMar>
              <w:top w:w="100" w:type="dxa"/>
              <w:left w:w="120" w:type="dxa"/>
              <w:bottom w:w="100" w:type="dxa"/>
              <w:right w:w="120" w:type="dxa"/>
            </w:tcMar>
            <w:vAlign w:val="center"/>
          </w:tcPr>
          <w:p w14:paraId="7456EB62" w14:textId="77777777" w:rsidR="00261DA5" w:rsidRDefault="00000000">
            <w:r>
              <w:rPr>
                <w:sz w:val="22"/>
                <w:szCs w:val="22"/>
              </w:rPr>
              <w:t>LAD</w:t>
            </w:r>
          </w:p>
        </w:tc>
        <w:tc>
          <w:tcPr>
            <w:tcW w:w="6760" w:type="dxa"/>
            <w:tcMar>
              <w:top w:w="100" w:type="dxa"/>
              <w:left w:w="120" w:type="dxa"/>
              <w:bottom w:w="100" w:type="dxa"/>
              <w:right w:w="120" w:type="dxa"/>
            </w:tcMar>
            <w:vAlign w:val="center"/>
          </w:tcPr>
          <w:p w14:paraId="7456EB63" w14:textId="71C98156" w:rsidR="00261DA5" w:rsidRDefault="00000000">
            <w:r>
              <w:rPr>
                <w:sz w:val="22"/>
                <w:szCs w:val="22"/>
              </w:rPr>
              <w:t xml:space="preserve">Learning Analytics Dashboard </w:t>
            </w:r>
            <w:r w:rsidR="00301863">
              <w:rPr>
                <w:sz w:val="22"/>
                <w:szCs w:val="22"/>
              </w:rPr>
              <w:t>-</w:t>
            </w:r>
            <w:r>
              <w:rPr>
                <w:sz w:val="22"/>
                <w:szCs w:val="22"/>
              </w:rPr>
              <w:t xml:space="preserve"> the student-facing view of the mastery model, SOLO classification, and peer benchmarking.</w:t>
            </w:r>
          </w:p>
        </w:tc>
      </w:tr>
      <w:tr w:rsidR="00261DA5" w14:paraId="7456EB67" w14:textId="77777777">
        <w:tblPrEx>
          <w:tblCellMar>
            <w:top w:w="0" w:type="dxa"/>
            <w:bottom w:w="0" w:type="dxa"/>
          </w:tblCellMar>
        </w:tblPrEx>
        <w:tc>
          <w:tcPr>
            <w:tcW w:w="2600" w:type="dxa"/>
            <w:tcMar>
              <w:top w:w="100" w:type="dxa"/>
              <w:left w:w="120" w:type="dxa"/>
              <w:bottom w:w="100" w:type="dxa"/>
              <w:right w:w="120" w:type="dxa"/>
            </w:tcMar>
            <w:vAlign w:val="center"/>
          </w:tcPr>
          <w:p w14:paraId="7456EB65" w14:textId="77777777" w:rsidR="00261DA5" w:rsidRDefault="00000000">
            <w:r>
              <w:rPr>
                <w:sz w:val="22"/>
                <w:szCs w:val="22"/>
              </w:rPr>
              <w:t>SOLO taxonomy</w:t>
            </w:r>
          </w:p>
        </w:tc>
        <w:tc>
          <w:tcPr>
            <w:tcW w:w="6760" w:type="dxa"/>
            <w:tcMar>
              <w:top w:w="100" w:type="dxa"/>
              <w:left w:w="120" w:type="dxa"/>
              <w:bottom w:w="100" w:type="dxa"/>
              <w:right w:w="120" w:type="dxa"/>
            </w:tcMar>
            <w:vAlign w:val="center"/>
          </w:tcPr>
          <w:p w14:paraId="7456EB66" w14:textId="77777777" w:rsidR="00261DA5" w:rsidRDefault="00000000">
            <w:r>
              <w:rPr>
                <w:sz w:val="22"/>
                <w:szCs w:val="22"/>
              </w:rPr>
              <w:t>Structure of the Observed Learning Outcome; a five-level framework (Biggs and Collis) for classifying the structural complexity of a learner's response.</w:t>
            </w:r>
          </w:p>
        </w:tc>
      </w:tr>
      <w:tr w:rsidR="00261DA5" w14:paraId="7456EB6A" w14:textId="77777777">
        <w:tblPrEx>
          <w:tblCellMar>
            <w:top w:w="0" w:type="dxa"/>
            <w:bottom w:w="0" w:type="dxa"/>
          </w:tblCellMar>
        </w:tblPrEx>
        <w:tc>
          <w:tcPr>
            <w:tcW w:w="2600" w:type="dxa"/>
            <w:tcMar>
              <w:top w:w="100" w:type="dxa"/>
              <w:left w:w="120" w:type="dxa"/>
              <w:bottom w:w="100" w:type="dxa"/>
              <w:right w:w="120" w:type="dxa"/>
            </w:tcMar>
            <w:vAlign w:val="center"/>
          </w:tcPr>
          <w:p w14:paraId="7456EB68" w14:textId="77777777" w:rsidR="00261DA5" w:rsidRDefault="00000000">
            <w:r>
              <w:rPr>
                <w:sz w:val="22"/>
                <w:szCs w:val="22"/>
              </w:rPr>
              <w:t>Concept mastery</w:t>
            </w:r>
          </w:p>
        </w:tc>
        <w:tc>
          <w:tcPr>
            <w:tcW w:w="6760" w:type="dxa"/>
            <w:tcMar>
              <w:top w:w="100" w:type="dxa"/>
              <w:left w:w="120" w:type="dxa"/>
              <w:bottom w:w="100" w:type="dxa"/>
              <w:right w:w="120" w:type="dxa"/>
            </w:tcMar>
            <w:vAlign w:val="center"/>
          </w:tcPr>
          <w:p w14:paraId="7456EB69" w14:textId="77777777" w:rsidR="00261DA5" w:rsidRDefault="00000000">
            <w:r>
              <w:rPr>
                <w:sz w:val="22"/>
                <w:szCs w:val="22"/>
              </w:rPr>
              <w:t>A per-student, per-concept, continuous [0, 1] estimate of competence, updated deterministically after each graded attempt.</w:t>
            </w:r>
          </w:p>
        </w:tc>
      </w:tr>
      <w:tr w:rsidR="00261DA5" w14:paraId="7456EB6D" w14:textId="77777777">
        <w:tblPrEx>
          <w:tblCellMar>
            <w:top w:w="0" w:type="dxa"/>
            <w:bottom w:w="0" w:type="dxa"/>
          </w:tblCellMar>
        </w:tblPrEx>
        <w:tc>
          <w:tcPr>
            <w:tcW w:w="2600" w:type="dxa"/>
            <w:tcMar>
              <w:top w:w="100" w:type="dxa"/>
              <w:left w:w="120" w:type="dxa"/>
              <w:bottom w:w="100" w:type="dxa"/>
              <w:right w:w="120" w:type="dxa"/>
            </w:tcMar>
            <w:vAlign w:val="center"/>
          </w:tcPr>
          <w:p w14:paraId="7456EB6B" w14:textId="77777777" w:rsidR="00261DA5" w:rsidRDefault="00000000">
            <w:r>
              <w:rPr>
                <w:sz w:val="22"/>
                <w:szCs w:val="22"/>
              </w:rPr>
              <w:t>Scaffolding level</w:t>
            </w:r>
          </w:p>
        </w:tc>
        <w:tc>
          <w:tcPr>
            <w:tcW w:w="6760" w:type="dxa"/>
            <w:tcMar>
              <w:top w:w="100" w:type="dxa"/>
              <w:left w:w="120" w:type="dxa"/>
              <w:bottom w:w="100" w:type="dxa"/>
              <w:right w:w="120" w:type="dxa"/>
            </w:tcMar>
            <w:vAlign w:val="center"/>
          </w:tcPr>
          <w:p w14:paraId="7456EB6C" w14:textId="77777777" w:rsidR="00261DA5" w:rsidRDefault="00000000">
            <w:r>
              <w:rPr>
                <w:sz w:val="22"/>
                <w:szCs w:val="22"/>
              </w:rPr>
              <w:t>The current degree of tutoring support (full, guided, minimal, independent) provided to a student for a given concept.</w:t>
            </w:r>
          </w:p>
        </w:tc>
      </w:tr>
      <w:tr w:rsidR="00261DA5" w14:paraId="7456EB70" w14:textId="77777777">
        <w:tblPrEx>
          <w:tblCellMar>
            <w:top w:w="0" w:type="dxa"/>
            <w:bottom w:w="0" w:type="dxa"/>
          </w:tblCellMar>
        </w:tblPrEx>
        <w:tc>
          <w:tcPr>
            <w:tcW w:w="2600" w:type="dxa"/>
            <w:tcMar>
              <w:top w:w="100" w:type="dxa"/>
              <w:left w:w="120" w:type="dxa"/>
              <w:bottom w:w="100" w:type="dxa"/>
              <w:right w:w="120" w:type="dxa"/>
            </w:tcMar>
            <w:vAlign w:val="center"/>
          </w:tcPr>
          <w:p w14:paraId="7456EB6E" w14:textId="77777777" w:rsidR="00261DA5" w:rsidRDefault="00000000">
            <w:r>
              <w:rPr>
                <w:sz w:val="22"/>
                <w:szCs w:val="22"/>
              </w:rPr>
              <w:t>Timing Gateway</w:t>
            </w:r>
          </w:p>
        </w:tc>
        <w:tc>
          <w:tcPr>
            <w:tcW w:w="6760" w:type="dxa"/>
            <w:tcMar>
              <w:top w:w="100" w:type="dxa"/>
              <w:left w:w="120" w:type="dxa"/>
              <w:bottom w:w="100" w:type="dxa"/>
              <w:right w:w="120" w:type="dxa"/>
            </w:tcMar>
            <w:vAlign w:val="center"/>
          </w:tcPr>
          <w:p w14:paraId="7456EB6F" w14:textId="77777777" w:rsidR="00261DA5" w:rsidRDefault="00000000">
            <w:r>
              <w:rPr>
                <w:sz w:val="22"/>
                <w:szCs w:val="22"/>
              </w:rPr>
              <w:t>The mechanism by which an assessment's access is restricted to a scheduled window per class group, distinct from a student's personal countdown timer.</w:t>
            </w:r>
          </w:p>
        </w:tc>
      </w:tr>
      <w:tr w:rsidR="00261DA5" w14:paraId="7456EB73" w14:textId="77777777">
        <w:tblPrEx>
          <w:tblCellMar>
            <w:top w:w="0" w:type="dxa"/>
            <w:bottom w:w="0" w:type="dxa"/>
          </w:tblCellMar>
        </w:tblPrEx>
        <w:tc>
          <w:tcPr>
            <w:tcW w:w="2600" w:type="dxa"/>
            <w:tcMar>
              <w:top w:w="100" w:type="dxa"/>
              <w:left w:w="120" w:type="dxa"/>
              <w:bottom w:w="100" w:type="dxa"/>
              <w:right w:w="120" w:type="dxa"/>
            </w:tcMar>
            <w:vAlign w:val="center"/>
          </w:tcPr>
          <w:p w14:paraId="7456EB71" w14:textId="77777777" w:rsidR="00261DA5" w:rsidRDefault="00000000">
            <w:r>
              <w:rPr>
                <w:sz w:val="22"/>
                <w:szCs w:val="22"/>
              </w:rPr>
              <w:t>Assessment clone</w:t>
            </w:r>
          </w:p>
        </w:tc>
        <w:tc>
          <w:tcPr>
            <w:tcW w:w="6760" w:type="dxa"/>
            <w:tcMar>
              <w:top w:w="100" w:type="dxa"/>
              <w:left w:w="120" w:type="dxa"/>
              <w:bottom w:w="100" w:type="dxa"/>
              <w:right w:w="120" w:type="dxa"/>
            </w:tcMar>
            <w:vAlign w:val="center"/>
          </w:tcPr>
          <w:p w14:paraId="7456EB72" w14:textId="77777777" w:rsidR="00261DA5" w:rsidRDefault="00000000">
            <w:r>
              <w:rPr>
                <w:sz w:val="22"/>
                <w:szCs w:val="22"/>
              </w:rPr>
              <w:t>A deep copy of a bank question, lab, or ER-diagram question, created at assessment publication time, to which a student's graded attempt on that assessment is structurally bound.</w:t>
            </w:r>
          </w:p>
        </w:tc>
      </w:tr>
      <w:tr w:rsidR="00261DA5" w14:paraId="7456EB76" w14:textId="77777777">
        <w:tblPrEx>
          <w:tblCellMar>
            <w:top w:w="0" w:type="dxa"/>
            <w:bottom w:w="0" w:type="dxa"/>
          </w:tblCellMar>
        </w:tblPrEx>
        <w:tc>
          <w:tcPr>
            <w:tcW w:w="2600" w:type="dxa"/>
            <w:tcMar>
              <w:top w:w="100" w:type="dxa"/>
              <w:left w:w="120" w:type="dxa"/>
              <w:bottom w:w="100" w:type="dxa"/>
              <w:right w:w="120" w:type="dxa"/>
            </w:tcMar>
            <w:vAlign w:val="center"/>
          </w:tcPr>
          <w:p w14:paraId="7456EB74" w14:textId="77777777" w:rsidR="00261DA5" w:rsidRDefault="00000000">
            <w:r>
              <w:rPr>
                <w:sz w:val="22"/>
                <w:szCs w:val="22"/>
              </w:rPr>
              <w:t>Engine flag</w:t>
            </w:r>
          </w:p>
        </w:tc>
        <w:tc>
          <w:tcPr>
            <w:tcW w:w="6760" w:type="dxa"/>
            <w:tcMar>
              <w:top w:w="100" w:type="dxa"/>
              <w:left w:w="120" w:type="dxa"/>
              <w:bottom w:w="100" w:type="dxa"/>
              <w:right w:w="120" w:type="dxa"/>
            </w:tcMar>
            <w:vAlign w:val="center"/>
          </w:tcPr>
          <w:p w14:paraId="7456EB75" w14:textId="77777777" w:rsidR="00261DA5" w:rsidRDefault="00000000">
            <w:r>
              <w:rPr>
                <w:sz w:val="22"/>
                <w:szCs w:val="22"/>
              </w:rPr>
              <w:t xml:space="preserve">A configuration value selecting between two interchangeable implementations of a subsystem (for example, the legacy and </w:t>
            </w:r>
            <w:proofErr w:type="spellStart"/>
            <w:r>
              <w:rPr>
                <w:sz w:val="22"/>
                <w:szCs w:val="22"/>
              </w:rPr>
              <w:t>LangGraph</w:t>
            </w:r>
            <w:proofErr w:type="spellEnd"/>
            <w:r>
              <w:rPr>
                <w:sz w:val="22"/>
                <w:szCs w:val="22"/>
              </w:rPr>
              <w:t>-based ER-diagram grading engines), used to enable incremental, reversible delivery of a replacement implementation.</w:t>
            </w:r>
          </w:p>
        </w:tc>
      </w:tr>
    </w:tbl>
    <w:p w14:paraId="7456EB77" w14:textId="77777777" w:rsidR="00261DA5" w:rsidRDefault="00261DA5">
      <w:pPr>
        <w:spacing w:after="200"/>
      </w:pPr>
    </w:p>
    <w:sectPr w:rsidR="00261DA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1CBE8" w14:textId="77777777" w:rsidR="00E30F92" w:rsidRDefault="00E30F92">
      <w:r>
        <w:separator/>
      </w:r>
    </w:p>
  </w:endnote>
  <w:endnote w:type="continuationSeparator" w:id="0">
    <w:p w14:paraId="431DD101" w14:textId="77777777" w:rsidR="00E30F92" w:rsidRDefault="00E30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B79" w14:textId="46E98564" w:rsidR="00261DA5" w:rsidRDefault="00000000">
    <w:pPr>
      <w:jc w:val="center"/>
    </w:pPr>
    <w:r>
      <w:rPr>
        <w:sz w:val="18"/>
        <w:szCs w:val="18"/>
      </w:rPr>
      <w:fldChar w:fldCharType="begin"/>
    </w:r>
    <w:r>
      <w:rPr>
        <w:sz w:val="18"/>
        <w:szCs w:val="18"/>
      </w:rPr>
      <w:instrText>PAGE</w:instrText>
    </w:r>
    <w:r>
      <w:rPr>
        <w:sz w:val="18"/>
        <w:szCs w:val="18"/>
      </w:rPr>
      <w:fldChar w:fldCharType="separate"/>
    </w:r>
    <w:r w:rsidR="0030186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C940D" w14:textId="77777777" w:rsidR="00E30F92" w:rsidRDefault="00E30F92">
      <w:r>
        <w:separator/>
      </w:r>
    </w:p>
  </w:footnote>
  <w:footnote w:type="continuationSeparator" w:id="0">
    <w:p w14:paraId="1BBFE068" w14:textId="77777777" w:rsidR="00E30F92" w:rsidRDefault="00E30F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B78" w14:textId="485435AE" w:rsidR="00261DA5" w:rsidRDefault="00000000">
    <w:pPr>
      <w:jc w:val="right"/>
    </w:pPr>
    <w:r>
      <w:rPr>
        <w:i/>
        <w:iCs/>
        <w:sz w:val="18"/>
        <w:szCs w:val="18"/>
      </w:rPr>
      <w:t xml:space="preserve">Technical Appendix </w:t>
    </w:r>
    <w:r w:rsidR="00301863">
      <w:rPr>
        <w:i/>
        <w:iCs/>
        <w:sz w:val="18"/>
        <w:szCs w:val="18"/>
      </w:rPr>
      <w:t>-</w:t>
    </w:r>
    <w:r>
      <w:rPr>
        <w:i/>
        <w:iCs/>
        <w:sz w:val="18"/>
        <w:szCs w:val="18"/>
      </w:rPr>
      <w:t xml:space="preserve"> Akela SQL Learning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E475D"/>
    <w:multiLevelType w:val="hybridMultilevel"/>
    <w:tmpl w:val="9B3E30C4"/>
    <w:lvl w:ilvl="0" w:tplc="45925958">
      <w:start w:val="1"/>
      <w:numFmt w:val="bullet"/>
      <w:lvlText w:val="●"/>
      <w:lvlJc w:val="left"/>
      <w:pPr>
        <w:ind w:left="720" w:hanging="360"/>
      </w:pPr>
    </w:lvl>
    <w:lvl w:ilvl="1" w:tplc="E898B9F0">
      <w:start w:val="1"/>
      <w:numFmt w:val="bullet"/>
      <w:lvlText w:val="○"/>
      <w:lvlJc w:val="left"/>
      <w:pPr>
        <w:ind w:left="1440" w:hanging="360"/>
      </w:pPr>
    </w:lvl>
    <w:lvl w:ilvl="2" w:tplc="D492704E">
      <w:start w:val="1"/>
      <w:numFmt w:val="bullet"/>
      <w:lvlText w:val="■"/>
      <w:lvlJc w:val="left"/>
      <w:pPr>
        <w:ind w:left="2160" w:hanging="360"/>
      </w:pPr>
    </w:lvl>
    <w:lvl w:ilvl="3" w:tplc="FD0A06AC">
      <w:start w:val="1"/>
      <w:numFmt w:val="bullet"/>
      <w:lvlText w:val="●"/>
      <w:lvlJc w:val="left"/>
      <w:pPr>
        <w:ind w:left="2880" w:hanging="360"/>
      </w:pPr>
    </w:lvl>
    <w:lvl w:ilvl="4" w:tplc="2CC03506">
      <w:start w:val="1"/>
      <w:numFmt w:val="bullet"/>
      <w:lvlText w:val="○"/>
      <w:lvlJc w:val="left"/>
      <w:pPr>
        <w:ind w:left="3600" w:hanging="360"/>
      </w:pPr>
    </w:lvl>
    <w:lvl w:ilvl="5" w:tplc="B46E4E60">
      <w:start w:val="1"/>
      <w:numFmt w:val="bullet"/>
      <w:lvlText w:val="■"/>
      <w:lvlJc w:val="left"/>
      <w:pPr>
        <w:ind w:left="4320" w:hanging="360"/>
      </w:pPr>
    </w:lvl>
    <w:lvl w:ilvl="6" w:tplc="1E68FA7E">
      <w:start w:val="1"/>
      <w:numFmt w:val="bullet"/>
      <w:lvlText w:val="●"/>
      <w:lvlJc w:val="left"/>
      <w:pPr>
        <w:ind w:left="5040" w:hanging="360"/>
      </w:pPr>
    </w:lvl>
    <w:lvl w:ilvl="7" w:tplc="806061FE">
      <w:start w:val="1"/>
      <w:numFmt w:val="bullet"/>
      <w:lvlText w:val="●"/>
      <w:lvlJc w:val="left"/>
      <w:pPr>
        <w:ind w:left="5760" w:hanging="360"/>
      </w:pPr>
    </w:lvl>
    <w:lvl w:ilvl="8" w:tplc="B4FEFE54">
      <w:start w:val="1"/>
      <w:numFmt w:val="bullet"/>
      <w:lvlText w:val="●"/>
      <w:lvlJc w:val="left"/>
      <w:pPr>
        <w:ind w:left="6480" w:hanging="360"/>
      </w:pPr>
    </w:lvl>
  </w:abstractNum>
  <w:num w:numId="1" w16cid:durableId="1329291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DA5"/>
    <w:rsid w:val="00261DA5"/>
    <w:rsid w:val="00301863"/>
    <w:rsid w:val="0053196F"/>
    <w:rsid w:val="00796843"/>
    <w:rsid w:val="00DF4BF8"/>
    <w:rsid w:val="00E30F9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EA7E"/>
  <w15:docId w15:val="{2C4F6041-7DC3-470A-9A13-A96E096F5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8131</Words>
  <Characters>46351</Characters>
  <Application>Microsoft Office Word</Application>
  <DocSecurity>0</DocSecurity>
  <Lines>386</Lines>
  <Paragraphs>108</Paragraphs>
  <ScaleCrop>false</ScaleCrop>
  <Company/>
  <LinksUpToDate>false</LinksUpToDate>
  <CharactersWithSpaces>54374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ponmurugu</cp:lastModifiedBy>
  <cp:revision>4</cp:revision>
  <dcterms:created xsi:type="dcterms:W3CDTF">2026-08-23T10:30:00Z</dcterms:created>
  <dcterms:modified xsi:type="dcterms:W3CDTF">2026-08-23T10:37:00Z</dcterms:modified>
</cp:coreProperties>
</file>