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B35F00"/>
          <w:spacing w:val="40"/>
          <w:sz w:val="20"/>
          <w:szCs w:val="20"/>
        </w:rPr>
        <w:t xml:space="preserve">FINAL YEAR PROJECT  ·  PROGRESS DOCUMENTATION</w:t>
      </w:r>
    </w:p>
    <w:p>
      <w:pPr>
        <w:pBdr>
          <w:bottom w:val="single" w:color="1F3A5F" w:sz="12" w:space="8"/>
        </w:pBdr>
        <w:spacing w:after="200"/>
      </w:pPr>
      <w:r>
        <w:rPr>
          <w:b/>
          <w:bCs/>
          <w:color w:val="1F3A5F"/>
          <w:sz w:val="52"/>
          <w:szCs w:val="52"/>
        </w:rPr>
        <w:t xml:space="preserve">Timeline, Risks and Open Questions</w:t>
      </w:r>
    </w:p>
    <w:p>
      <w:pPr>
        <w:spacing w:after="600"/>
      </w:pPr>
      <w:r>
        <w:rPr>
          <w:color w:val="5B6675"/>
          <w:sz w:val="26"/>
          <w:szCs w:val="26"/>
        </w:rPr>
        <w:t xml:space="preserve">The plan for the rest of the project, what could go wrong and how I will handle it, and the decisions I need from my supervisor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7"/>
        <w:gridCol w:w="6419"/>
      </w:tblGrid>
      <w:tr>
        <w:trPr>
          <w:tblHeader/>
        </w:trPr>
        <w:tc>
          <w:tcPr>
            <w:tcW w:type="dxa" w:w="2607"/>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Item</w:t>
            </w:r>
          </w:p>
        </w:tc>
        <w:tc>
          <w:tcPr>
            <w:tcW w:type="dxa" w:w="6419"/>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Detail</w:t>
            </w:r>
          </w:p>
        </w:tc>
      </w:tr>
      <w:tr>
        <w:trPr>
          <w:cantSplit/>
        </w:trPr>
        <w:tc>
          <w:tcPr>
            <w:tcW w:type="dxa" w:w="2607"/>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Project</w:t>
            </w:r>
          </w:p>
        </w:tc>
        <w:tc>
          <w:tcPr>
            <w:tcW w:type="dxa" w:w="6419"/>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Extending the Akela database-education platform with </w:t>
            </w:r>
            <w:r>
              <w:rPr>
                <w:b/>
                <w:bCs/>
                <w:sz w:val="18"/>
                <w:szCs w:val="18"/>
              </w:rPr>
              <w:t xml:space="preserve">Relational Algebra</w:t>
            </w:r>
            <w:r>
              <w:rPr>
                <w:sz w:val="18"/>
                <w:szCs w:val="18"/>
              </w:rPr>
              <w:t xml:space="preserve"> and </w:t>
            </w:r>
            <w:r>
              <w:rPr>
                <w:b/>
                <w:bCs/>
                <w:sz w:val="18"/>
                <w:szCs w:val="18"/>
              </w:rPr>
              <w:t xml:space="preserve">Vector Database</w:t>
            </w:r>
            <w:r>
              <w:rPr>
                <w:sz w:val="18"/>
                <w:szCs w:val="18"/>
              </w:rPr>
              <w:t xml:space="preserve"> learning modules</w:t>
            </w:r>
          </w:p>
        </w:tc>
      </w:tr>
      <w:tr>
        <w:trPr>
          <w:cantSplit/>
        </w:trPr>
        <w:tc>
          <w:tcPr>
            <w:tcW w:type="dxa" w:w="2607"/>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Document</w:t>
            </w:r>
          </w:p>
        </w:tc>
        <w:tc>
          <w:tcPr>
            <w:tcW w:type="dxa" w:w="6419"/>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04 — Project Timeline, Risk Register and Open Questions</w:t>
            </w:r>
          </w:p>
        </w:tc>
      </w:tr>
      <w:tr>
        <w:trPr>
          <w:cantSplit/>
        </w:trPr>
        <w:tc>
          <w:tcPr>
            <w:tcW w:type="dxa" w:w="2607"/>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Prepared by</w:t>
            </w:r>
          </w:p>
        </w:tc>
        <w:tc>
          <w:tcPr>
            <w:tcW w:type="dxa" w:w="6419"/>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Sanjana Yalamanchili</w:t>
            </w:r>
          </w:p>
        </w:tc>
      </w:tr>
      <w:tr>
        <w:trPr>
          <w:cantSplit/>
        </w:trPr>
        <w:tc>
          <w:tcPr>
            <w:tcW w:type="dxa" w:w="2607"/>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Supervisor</w:t>
            </w:r>
          </w:p>
        </w:tc>
        <w:tc>
          <w:tcPr>
            <w:tcW w:type="dxa" w:w="6419"/>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[Supervisor name]</w:t>
            </w:r>
          </w:p>
        </w:tc>
      </w:tr>
      <w:tr>
        <w:trPr>
          <w:cantSplit/>
        </w:trPr>
        <w:tc>
          <w:tcPr>
            <w:tcW w:type="dxa" w:w="2607"/>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Date / version</w:t>
            </w:r>
          </w:p>
        </w:tc>
        <w:tc>
          <w:tcPr>
            <w:tcW w:type="dxa" w:w="6419"/>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25 September 2026 · v1.0 (for the Week-2 progress review)</w:t>
            </w:r>
          </w:p>
        </w:tc>
      </w:tr>
      <w:tr>
        <w:trPr>
          <w:cantSplit/>
        </w:trPr>
        <w:tc>
          <w:tcPr>
            <w:tcW w:type="dxa" w:w="2607"/>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Planning horizon</w:t>
            </w:r>
          </w:p>
        </w:tc>
        <w:tc>
          <w:tcPr>
            <w:tcW w:type="dxa" w:w="6419"/>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30 weeks: Monday 14 Sep 2026 (Week 1) → Sunday 11 Apr 2027 (Week 30)</w:t>
            </w:r>
          </w:p>
        </w:tc>
      </w:tr>
    </w:tbl>
    <w:p>
      <w:pPr>
        <w:spacing w:after="100"/>
      </w:pPr>
    </w:p>
    <w:p>
      <w:pPr>
        <w:spacing w:before="400"/>
      </w:pPr>
      <w:r>
        <w:rPr>
          <w:color w:val="5B6675"/>
          <w:sz w:val="18"/>
          <w:szCs w:val="18"/>
        </w:rPr>
        <w:t xml:space="preserve">Document ID: FYP-PLAN-04</w:t>
      </w:r>
    </w:p>
    <w:p>
      <w:r>
        <w:br w:type="page"/>
      </w:r>
    </w:p>
    <w:p>
      <w:pPr>
        <w:spacing w:after="200"/>
      </w:pPr>
      <w:r>
        <w:rPr>
          <w:b/>
          <w:bCs/>
          <w:color w:val="1F3A5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5B6675"/>
          <w:sz w:val="16"/>
          <w:szCs w:val="16"/>
        </w:rPr>
        <w:t xml:space="preserve">If the table of contents appears empty, right-click it in Word and choose “Update Field”.</w:t>
      </w:r>
    </w:p>
    <w:p>
      <w:pPr>
        <w:pStyle w:val="Heading1"/>
        <w:pageBreakBefore/>
      </w:pPr>
      <w:r>
        <w:t xml:space="preserve">1. Purpose and planning assumptions</w:t>
      </w:r>
    </w:p>
    <w:p>
      <w:pPr>
        <w:spacing w:after="120" w:line="276"/>
      </w:pPr>
      <w:r>
        <w:t xml:space="preserve">This document turns the two designs (Documents 02 and 03) into a dated plan with milestones and measurable exit criteria. It lists the project risks with their mitigations and gathers the questions only my supervisor or the course team can answer. It is a living document: I will update it after every supervisor meeting.</w:t>
      </w:r>
    </w:p>
    <w:p>
      <w:pPr>
        <w:spacing w:after="60" w:before="120"/>
      </w:pPr>
      <w:r>
        <w:rPr>
          <w:b/>
          <w:bCs/>
          <w:color w:val="1F3A5F"/>
          <w:sz w:val="18"/>
          <w:szCs w:val="18"/>
        </w:rPr>
        <w:t xml:space="preserve">Table 1. </w:t>
      </w:r>
      <w:r>
        <w:rPr>
          <w:color w:val="1F3A5F"/>
          <w:sz w:val="18"/>
          <w:szCs w:val="18"/>
        </w:rPr>
        <w:t xml:space="preserve">Planning assumptions (to confirm at this meeting)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1"/>
        <w:gridCol w:w="5014"/>
        <w:gridCol w:w="3411"/>
      </w:tblGrid>
      <w:tr>
        <w:trPr>
          <w:tblHeader/>
        </w:trPr>
        <w:tc>
          <w:tcPr>
            <w:tcW w:type="dxa" w:w="601"/>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w:t>
            </w:r>
          </w:p>
        </w:tc>
        <w:tc>
          <w:tcPr>
            <w:tcW w:type="dxa" w:w="5014"/>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Assumption</w:t>
            </w:r>
          </w:p>
        </w:tc>
        <w:tc>
          <w:tcPr>
            <w:tcW w:type="dxa" w:w="3411"/>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If it is wrong…</w:t>
            </w:r>
          </w:p>
        </w:tc>
      </w:tr>
      <w:tr>
        <w:trPr>
          <w:cantSplit/>
        </w:trPr>
        <w:tc>
          <w:tcPr>
            <w:tcW w:type="dxa" w:w="601"/>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A1</w:t>
            </w:r>
          </w:p>
        </w:tc>
        <w:tc>
          <w:tcPr>
            <w:tcW w:type="dxa" w:w="501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Week 1 started Monday 14 Sep 2026; final submission is around the end of Week 30 (≈ 9–11 Apr 2027)</w:t>
            </w:r>
          </w:p>
        </w:tc>
        <w:tc>
          <w:tcPr>
            <w:tcW w:type="dxa" w:w="3411"/>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Shift all dates; the order of phases stays the same</w:t>
            </w:r>
          </w:p>
        </w:tc>
      </w:tr>
      <w:tr>
        <w:trPr>
          <w:cantSplit/>
        </w:trPr>
        <w:tc>
          <w:tcPr>
            <w:tcW w:type="dxa" w:w="601"/>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A2</w:t>
            </w:r>
          </w:p>
        </w:tc>
        <w:tc>
          <w:tcPr>
            <w:tcW w:type="dxa" w:w="5014"/>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Weeks 11–14 (23 Nov – 20 Dec 2026) are an exam period with reduced FYP time</w:t>
            </w:r>
          </w:p>
        </w:tc>
        <w:tc>
          <w:tcPr>
            <w:tcW w:type="dxa" w:w="3411"/>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Pull the vector spike earlier (see §3.3)</w:t>
            </w:r>
          </w:p>
        </w:tc>
      </w:tr>
      <w:tr>
        <w:trPr>
          <w:cantSplit/>
        </w:trPr>
        <w:tc>
          <w:tcPr>
            <w:tcW w:type="dxa" w:w="601"/>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A3</w:t>
            </w:r>
          </w:p>
        </w:tc>
        <w:tc>
          <w:tcPr>
            <w:tcW w:type="dxa" w:w="501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About 15–20 hours per week of FYP work during semester, more during the vacation</w:t>
            </w:r>
          </w:p>
        </w:tc>
        <w:tc>
          <w:tcPr>
            <w:tcW w:type="dxa" w:w="3411"/>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Cut “Could” requirements first (§3.4)</w:t>
            </w:r>
          </w:p>
        </w:tc>
      </w:tr>
      <w:tr>
        <w:trPr>
          <w:cantSplit/>
        </w:trPr>
        <w:tc>
          <w:tcPr>
            <w:tcW w:type="dxa" w:w="601"/>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A4</w:t>
            </w:r>
          </w:p>
        </w:tc>
        <w:tc>
          <w:tcPr>
            <w:tcW w:type="dxa" w:w="5014"/>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I can run the full stack locally; staging/production access is granted by Week 15</w:t>
            </w:r>
          </w:p>
        </w:tc>
        <w:tc>
          <w:tcPr>
            <w:tcW w:type="dxa" w:w="3411"/>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Demonstrate locally; production pilot becomes optional</w:t>
            </w:r>
          </w:p>
        </w:tc>
      </w:tr>
      <w:tr>
        <w:trPr>
          <w:cantSplit/>
        </w:trPr>
        <w:tc>
          <w:tcPr>
            <w:tcW w:type="dxa" w:w="601"/>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A5</w:t>
            </w:r>
          </w:p>
        </w:tc>
        <w:tc>
          <w:tcPr>
            <w:tcW w:type="dxa" w:w="501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A student pilot for evaluation can run in Weeks 23–26 with ethics approval</w:t>
            </w:r>
          </w:p>
        </w:tc>
        <w:tc>
          <w:tcPr>
            <w:tcW w:type="dxa" w:w="3411"/>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Evaluate with staff/peer testers and a think-aloud study instead</w:t>
            </w:r>
          </w:p>
        </w:tc>
      </w:tr>
    </w:tbl>
    <w:p>
      <w:pPr>
        <w:spacing w:after="100"/>
      </w:pPr>
    </w:p>
    <w:p>
      <w:pPr>
        <w:pStyle w:val="Heading1"/>
        <w:pageBreakBefore/>
      </w:pPr>
      <w:r>
        <w:t xml:space="preserve">2. Progress to date (Weeks 1–2)</w:t>
      </w:r>
    </w:p>
    <w:p>
      <w:pPr>
        <w:spacing w:after="120" w:line="276"/>
      </w:pPr>
      <w:r>
        <w:t xml:space="preserve">The first two weeks were for understanding the inherited system and designing the extension </w:t>
      </w:r>
      <w:r>
        <w:rPr>
          <w:b/>
          <w:bCs/>
        </w:rPr>
        <w:t xml:space="preserve">before</w:t>
      </w:r>
      <w:r>
        <w:t xml:space="preserve"> changing any production code. This is deliberate: the codebase is large (the backend endpoint modules alone are about 11,500 lines, and </w:t>
      </w:r>
      <w:r>
        <w:rPr>
          <w:rFonts w:ascii="Consolas" w:cs="Consolas" w:eastAsia="Consolas" w:hAnsi="Consolas"/>
          <w:color w:val="8A3B12"/>
          <w:sz w:val="19"/>
          <w:szCs w:val="19"/>
        </w:rPr>
        <w:t xml:space="preserve">labs.py</w:t>
      </w:r>
      <w:r>
        <w:t xml:space="preserve"> is 2,192 lines) and runs in production, so changing it before understanding it would be risky.</w:t>
      </w:r>
    </w:p>
    <w:p>
      <w:pPr>
        <w:spacing w:after="60" w:before="120"/>
      </w:pPr>
      <w:r>
        <w:rPr>
          <w:b/>
          <w:bCs/>
          <w:color w:val="1F3A5F"/>
          <w:sz w:val="18"/>
          <w:szCs w:val="18"/>
        </w:rPr>
        <w:t xml:space="preserve">Table 2. </w:t>
      </w:r>
      <w:r>
        <w:rPr>
          <w:color w:val="1F3A5F"/>
          <w:sz w:val="18"/>
          <w:szCs w:val="18"/>
        </w:rPr>
        <w:t xml:space="preserve">Weeks 1–2 work and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9"/>
        <w:gridCol w:w="4212"/>
        <w:gridCol w:w="1405"/>
      </w:tblGrid>
      <w:tr>
        <w:trPr>
          <w:tblHeader/>
        </w:trPr>
        <w:tc>
          <w:tcPr>
            <w:tcW w:type="dxa" w:w="3409"/>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Activity</w:t>
            </w:r>
          </w:p>
        </w:tc>
        <w:tc>
          <w:tcPr>
            <w:tcW w:type="dxa" w:w="4212"/>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Output / evidence</w:t>
            </w:r>
          </w:p>
        </w:tc>
        <w:tc>
          <w:tcPr>
            <w:tcW w:type="dxa" w:w="1405"/>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Status</w:t>
            </w:r>
          </w:p>
        </w:tc>
      </w:tr>
      <w:tr>
        <w:trPr>
          <w:cantSplit/>
        </w:trPr>
        <w:tc>
          <w:tcPr>
            <w:tcW w:type="dxa" w:w="3409"/>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Read </w:t>
            </w:r>
            <w:r>
              <w:rPr>
                <w:rFonts w:ascii="Consolas" w:cs="Consolas" w:eastAsia="Consolas" w:hAnsi="Consolas"/>
                <w:color w:val="8A3B12"/>
                <w:sz w:val="18"/>
                <w:szCs w:val="18"/>
              </w:rPr>
              <w:t xml:space="preserve">HANDOFF.md</w:t>
            </w:r>
            <w:r>
              <w:rPr>
                <w:sz w:val="18"/>
                <w:szCs w:val="18"/>
              </w:rPr>
              <w:t xml:space="preserve">, </w:t>
            </w:r>
            <w:r>
              <w:rPr>
                <w:rFonts w:ascii="Consolas" w:cs="Consolas" w:eastAsia="Consolas" w:hAnsi="Consolas"/>
                <w:color w:val="8A3B12"/>
                <w:sz w:val="18"/>
                <w:szCs w:val="18"/>
              </w:rPr>
              <w:t xml:space="preserve">README.md</w:t>
            </w:r>
            <w:r>
              <w:rPr>
                <w:sz w:val="18"/>
                <w:szCs w:val="18"/>
              </w:rPr>
              <w:t xml:space="preserve"> and the core backend/frontend code paths</w:t>
            </w:r>
          </w:p>
        </w:tc>
        <w:tc>
          <w:tcPr>
            <w:tcW w:type="dxa" w:w="4212"/>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Document 01 §2–6 (architecture of the inherited system, with file references)</w:t>
            </w:r>
          </w:p>
        </w:tc>
        <w:tc>
          <w:tcPr>
            <w:tcW w:type="dxa" w:w="140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 Done</w:t>
            </w:r>
          </w:p>
        </w:tc>
      </w:tr>
      <w:tr>
        <w:trPr>
          <w:cantSplit/>
        </w:trPr>
        <w:tc>
          <w:tcPr>
            <w:tcW w:type="dxa" w:w="3409"/>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Traced the SQL-question grading flow end to end</w:t>
            </w:r>
          </w:p>
        </w:tc>
        <w:tc>
          <w:tcPr>
            <w:tcW w:type="dxa" w:w="4212"/>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Figure: SQL question sequence (Doc 01 §5.1)</w:t>
            </w:r>
          </w:p>
        </w:tc>
        <w:tc>
          <w:tcPr>
            <w:tcW w:type="dxa" w:w="140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 Done</w:t>
            </w:r>
          </w:p>
        </w:tc>
      </w:tr>
      <w:tr>
        <w:trPr>
          <w:cantSplit/>
        </w:trPr>
        <w:tc>
          <w:tcPr>
            <w:tcW w:type="dxa" w:w="3409"/>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Traced the lab template/session pattern and how Graph Labs extend it</w:t>
            </w:r>
          </w:p>
        </w:tc>
        <w:tc>
          <w:tcPr>
            <w:tcW w:type="dxa" w:w="4212"/>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Figure: lab pattern (Doc 01 §5.2); found 9 lab-type branch points → registry refactor proposal</w:t>
            </w:r>
          </w:p>
        </w:tc>
        <w:tc>
          <w:tcPr>
            <w:tcW w:type="dxa" w:w="140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 Done</w:t>
            </w:r>
          </w:p>
        </w:tc>
      </w:tr>
      <w:tr>
        <w:trPr>
          <w:cantSplit/>
        </w:trPr>
        <w:tc>
          <w:tcPr>
            <w:tcW w:type="dxa" w:w="3409"/>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Identified integration points and options for both features</w:t>
            </w:r>
          </w:p>
        </w:tc>
        <w:tc>
          <w:tcPr>
            <w:tcW w:type="dxa" w:w="4212"/>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Doc 01 §7 (options table, component inventory, data-model and API changes)</w:t>
            </w:r>
          </w:p>
        </w:tc>
        <w:tc>
          <w:tcPr>
            <w:tcW w:type="dxa" w:w="140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 Done</w:t>
            </w:r>
          </w:p>
        </w:tc>
      </w:tr>
      <w:tr>
        <w:trPr>
          <w:cantSplit/>
        </w:trPr>
        <w:tc>
          <w:tcPr>
            <w:tcW w:type="dxa" w:w="3409"/>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Relational Algebra design</w:t>
            </w:r>
          </w:p>
        </w:tc>
        <w:tc>
          <w:tcPr>
            <w:tcW w:type="dxa" w:w="4212"/>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Document 02 (language spec, grammar, translation scheme, error catalogue, tests, evaluation)</w:t>
            </w:r>
          </w:p>
        </w:tc>
        <w:tc>
          <w:tcPr>
            <w:tcW w:type="dxa" w:w="140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 Done</w:t>
            </w:r>
          </w:p>
        </w:tc>
      </w:tr>
      <w:tr>
        <w:trPr>
          <w:cantSplit/>
        </w:trPr>
        <w:tc>
          <w:tcPr>
            <w:tcW w:type="dxa" w:w="3409"/>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Vector Database design</w:t>
            </w:r>
          </w:p>
        </w:tc>
        <w:tc>
          <w:tcPr>
            <w:tcW w:type="dxa" w:w="4212"/>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Document 03 (technology evaluation, grading design, sample lab with verified expected outputs)</w:t>
            </w:r>
          </w:p>
        </w:tc>
        <w:tc>
          <w:tcPr>
            <w:tcW w:type="dxa" w:w="140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 Done</w:t>
            </w:r>
          </w:p>
        </w:tc>
      </w:tr>
      <w:tr>
        <w:trPr>
          <w:cantSplit/>
        </w:trPr>
        <w:tc>
          <w:tcPr>
            <w:tcW w:type="dxa" w:w="3409"/>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Early technical risk check</w:t>
            </w:r>
          </w:p>
        </w:tc>
        <w:tc>
          <w:tcPr>
            <w:tcW w:type="dxa" w:w="4212"/>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Found that the dev machine’s Python cannot load SQLite extensions (Doc 03 §3); found the −0.0 hashing edge case (Doc 03 §4.3)</w:t>
            </w:r>
          </w:p>
        </w:tc>
        <w:tc>
          <w:tcPr>
            <w:tcW w:type="dxa" w:w="140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 Done</w:t>
            </w:r>
          </w:p>
        </w:tc>
      </w:tr>
      <w:tr>
        <w:trPr>
          <w:cantSplit/>
        </w:trPr>
        <w:tc>
          <w:tcPr>
            <w:tcW w:type="dxa" w:w="3409"/>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Plan, risks, open questions</w:t>
            </w:r>
          </w:p>
        </w:tc>
        <w:tc>
          <w:tcPr>
            <w:tcW w:type="dxa" w:w="4212"/>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This document</w:t>
            </w:r>
          </w:p>
        </w:tc>
        <w:tc>
          <w:tcPr>
            <w:tcW w:type="dxa" w:w="140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 Done</w:t>
            </w:r>
          </w:p>
        </w:tc>
      </w:tr>
      <w:tr>
        <w:trPr>
          <w:cantSplit/>
        </w:trPr>
        <w:tc>
          <w:tcPr>
            <w:tcW w:type="dxa" w:w="3409"/>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Run the full stack locally and capture screenshots of each existing feature (student + staff)</w:t>
            </w:r>
          </w:p>
        </w:tc>
        <w:tc>
          <w:tcPr>
            <w:tcW w:type="dxa" w:w="4212"/>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Screenshot pack / short screen recording</w:t>
            </w:r>
          </w:p>
        </w:tc>
        <w:tc>
          <w:tcPr>
            <w:tcW w:type="dxa" w:w="140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 Complete before the meeting</w:t>
            </w:r>
          </w:p>
        </w:tc>
      </w:tr>
      <w:tr>
        <w:trPr>
          <w:cantSplit/>
        </w:trPr>
        <w:tc>
          <w:tcPr>
            <w:tcW w:type="dxa" w:w="3409"/>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Tag the inherited baseline: </w:t>
            </w:r>
            <w:r>
              <w:rPr>
                <w:rFonts w:ascii="Consolas" w:cs="Consolas" w:eastAsia="Consolas" w:hAnsi="Consolas"/>
                <w:color w:val="8A3B12"/>
                <w:sz w:val="18"/>
                <w:szCs w:val="18"/>
              </w:rPr>
              <w:t xml:space="preserve">git tag baseline-inherited b917118</w:t>
            </w:r>
          </w:p>
        </w:tc>
        <w:tc>
          <w:tcPr>
            <w:tcW w:type="dxa" w:w="4212"/>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Tag visible in the repository</w:t>
            </w:r>
          </w:p>
        </w:tc>
        <w:tc>
          <w:tcPr>
            <w:tcW w:type="dxa" w:w="140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 Complete before the meeting</w:t>
            </w:r>
          </w:p>
        </w:tc>
      </w:tr>
    </w:tbl>
    <w:p>
      <w:pPr>
        <w:spacing w:after="100"/>
      </w:pPr>
    </w:p>
    <w:p>
      <w:pPr>
        <w:pStyle w:val="Heading1"/>
        <w:pageBreakBefore/>
      </w:pPr>
      <w:r>
        <w:t xml:space="preserve">3. Timeline</w:t>
      </w:r>
    </w:p>
    <w:p>
      <w:pPr>
        <w:keepNext/>
        <w:spacing w:after="40" w:before="120"/>
        <w:jc w:val="center"/>
      </w:pPr>
      <w:r>
        <w:drawing>
          <wp:inline distT="0" distB="0" distL="0" distR="0">
            <wp:extent cx="5734050" cy="3095625"/>
            <wp:effectExtent t="0" r="0" b="0" l="0"/>
            <wp:docPr id="1" name="fig_gantt.png" descr="Gantt chart for the 30-week project (dates follow assumptions A1–A2)" title="Gantt chart for the 30-week project (dates follow assumptions A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3095625"/>
                    </a:xfrm>
                    <a:prstGeom prst="rect">
                      <a:avLst/>
                    </a:prstGeom>
                  </pic:spPr>
                </pic:pic>
              </a:graphicData>
            </a:graphic>
          </wp:inline>
        </w:drawing>
      </w:r>
    </w:p>
    <w:p>
      <w:pPr>
        <w:spacing w:after="180"/>
        <w:jc w:val="center"/>
      </w:pPr>
      <w:r>
        <w:rPr>
          <w:b/>
          <w:bCs/>
          <w:color w:val="1F3A5F"/>
          <w:sz w:val="18"/>
          <w:szCs w:val="18"/>
        </w:rPr>
        <w:t xml:space="preserve">Figure 1. </w:t>
      </w:r>
      <w:r>
        <w:rPr>
          <w:color w:val="5B6675"/>
          <w:sz w:val="18"/>
          <w:szCs w:val="18"/>
        </w:rPr>
        <w:t xml:space="preserve">Gantt chart for the 30-week project (dates follow assumptions A1–A2)</w:t>
      </w:r>
    </w:p>
    <w:p>
      <w:pPr>
        <w:pStyle w:val="Heading2"/>
      </w:pPr>
      <w:r>
        <w:t xml:space="preserve">3.1 Phase-by-phase plan</w:t>
      </w:r>
    </w:p>
    <w:p>
      <w:pPr>
        <w:spacing w:after="60" w:before="120"/>
      </w:pPr>
      <w:r>
        <w:rPr>
          <w:b/>
          <w:bCs/>
          <w:color w:val="1F3A5F"/>
          <w:sz w:val="18"/>
          <w:szCs w:val="18"/>
        </w:rPr>
        <w:t xml:space="preserve">Table 3. </w:t>
      </w:r>
      <w:r>
        <w:rPr>
          <w:color w:val="1F3A5F"/>
          <w:sz w:val="18"/>
          <w:szCs w:val="18"/>
        </w:rPr>
        <w:t xml:space="preserve">Detailed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4"/>
        <w:gridCol w:w="1805"/>
        <w:gridCol w:w="3510"/>
        <w:gridCol w:w="2007"/>
      </w:tblGrid>
      <w:tr>
        <w:trPr>
          <w:tblHeader/>
        </w:trPr>
        <w:tc>
          <w:tcPr>
            <w:tcW w:type="dxa" w:w="1704"/>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Phase</w:t>
            </w:r>
          </w:p>
        </w:tc>
        <w:tc>
          <w:tcPr>
            <w:tcW w:type="dxa" w:w="1805"/>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Weeks (dates)</w:t>
            </w:r>
          </w:p>
        </w:tc>
        <w:tc>
          <w:tcPr>
            <w:tcW w:type="dxa" w:w="351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Main tasks</w:t>
            </w:r>
          </w:p>
        </w:tc>
        <w:tc>
          <w:tcPr>
            <w:tcW w:type="dxa" w:w="2007"/>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Exit criteria</w:t>
            </w:r>
          </w:p>
        </w:tc>
      </w:tr>
      <w:tr>
        <w:trPr>
          <w:cantSplit/>
        </w:trPr>
        <w:tc>
          <w:tcPr>
            <w:tcW w:type="dxa" w:w="170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P0 Onboarding &amp; design</w:t>
            </w:r>
          </w:p>
        </w:tc>
        <w:tc>
          <w:tcPr>
            <w:tcW w:type="dxa" w:w="180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W1–W2 (14–27 Sep 2026)</w:t>
            </w:r>
          </w:p>
        </w:tc>
        <w:tc>
          <w:tcPr>
            <w:tcW w:type="dxa" w:w="351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Study codebase; architecture and design documents; plan</w:t>
            </w:r>
          </w:p>
        </w:tc>
        <w:tc>
          <w:tcPr>
            <w:tcW w:type="dxa" w:w="2007"/>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Documents 01–04 reviewed by supervisor</w:t>
            </w:r>
          </w:p>
        </w:tc>
      </w:tr>
      <w:tr>
        <w:trPr>
          <w:cantSplit/>
        </w:trPr>
        <w:tc>
          <w:tcPr>
            <w:tcW w:type="dxa" w:w="1704"/>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P1 Foundations</w:t>
            </w:r>
          </w:p>
        </w:tc>
        <w:tc>
          <w:tcPr>
            <w:tcW w:type="dxa" w:w="180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W3–W5 (28 Sep–18 Oct)</w:t>
            </w:r>
          </w:p>
        </w:tc>
        <w:tc>
          <w:tcPr>
            <w:tcW w:type="dxa" w:w="3510"/>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Lab-engine registry refactor + regression tests; RA grammar, parser, AST, golden tests</w:t>
            </w:r>
          </w:p>
        </w:tc>
        <w:tc>
          <w:tcPr>
            <w:tcW w:type="dxa" w:w="2007"/>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Refactor merged with all existing behaviour unchanged; parser handles every operator in both notations</w:t>
            </w:r>
          </w:p>
        </w:tc>
      </w:tr>
      <w:tr>
        <w:trPr>
          <w:cantSplit/>
        </w:trPr>
        <w:tc>
          <w:tcPr>
            <w:tcW w:type="dxa" w:w="170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P2 RA backend</w:t>
            </w:r>
          </w:p>
        </w:tc>
        <w:tc>
          <w:tcPr>
            <w:tcW w:type="dxa" w:w="180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W5–W8 (12 Oct–8 Nov)</w:t>
            </w:r>
          </w:p>
        </w:tc>
        <w:tc>
          <w:tcPr>
            <w:tcW w:type="dxa" w:w="351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Checker, SQL generator, error catalogue; equivalence + property tests; </w:t>
            </w:r>
            <w:r>
              <w:rPr>
                <w:rFonts w:ascii="Consolas" w:cs="Consolas" w:eastAsia="Consolas" w:hAnsi="Consolas"/>
                <w:color w:val="8A3B12"/>
                <w:sz w:val="18"/>
                <w:szCs w:val="18"/>
              </w:rPr>
              <w:t xml:space="preserve">query_language</w:t>
            </w:r>
            <w:r>
              <w:rPr>
                <w:sz w:val="18"/>
                <w:szCs w:val="18"/>
              </w:rPr>
              <w:t xml:space="preserve"> column + migration; </w:t>
            </w:r>
            <w:r>
              <w:rPr>
                <w:rFonts w:ascii="Consolas" w:cs="Consolas" w:eastAsia="Consolas" w:hAnsi="Consolas"/>
                <w:color w:val="8A3B12"/>
                <w:sz w:val="18"/>
                <w:szCs w:val="18"/>
              </w:rPr>
              <w:t xml:space="preserve">questions.py</w:t>
            </w:r>
            <w:r>
              <w:rPr>
                <w:sz w:val="18"/>
                <w:szCs w:val="18"/>
              </w:rPr>
              <w:t xml:space="preserve">/</w:t>
            </w:r>
            <w:r>
              <w:rPr>
                <w:rFonts w:ascii="Consolas" w:cs="Consolas" w:eastAsia="Consolas" w:hAnsi="Consolas"/>
                <w:color w:val="8A3B12"/>
                <w:sz w:val="18"/>
                <w:szCs w:val="18"/>
              </w:rPr>
              <w:t xml:space="preserve">execute.py</w:t>
            </w:r>
            <w:r>
              <w:rPr>
                <w:sz w:val="18"/>
                <w:szCs w:val="18"/>
              </w:rPr>
              <w:t xml:space="preserve"> integration; </w:t>
            </w:r>
            <w:r>
              <w:rPr>
                <w:rFonts w:ascii="Consolas" w:cs="Consolas" w:eastAsia="Consolas" w:hAnsi="Consolas"/>
                <w:color w:val="8A3B12"/>
                <w:sz w:val="18"/>
                <w:szCs w:val="18"/>
              </w:rPr>
              <w:t xml:space="preserve">/ra/parse</w:t>
            </w:r>
          </w:p>
        </w:tc>
        <w:tc>
          <w:tcPr>
            <w:tcW w:type="dxa" w:w="2007"/>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RA questions can be created and graded through the API; all RA tests green</w:t>
            </w:r>
          </w:p>
        </w:tc>
      </w:tr>
      <w:tr>
        <w:trPr>
          <w:cantSplit/>
        </w:trPr>
        <w:tc>
          <w:tcPr>
            <w:tcW w:type="dxa" w:w="1704"/>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P3 RA frontend + content</w:t>
            </w:r>
          </w:p>
        </w:tc>
        <w:tc>
          <w:tcPr>
            <w:tcW w:type="dxa" w:w="180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W8–W11 (2 Nov–29 Nov)</w:t>
            </w:r>
          </w:p>
        </w:tc>
        <w:tc>
          <w:tcPr>
            <w:tcW w:type="dxa" w:w="3510"/>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RaEditor, palette, tree view, SQL tab, QuestionForm toggle; ≈ 20 questions; tutor prompts; LAD concepts</w:t>
            </w:r>
          </w:p>
        </w:tc>
        <w:tc>
          <w:tcPr>
            <w:tcW w:type="dxa" w:w="2007"/>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b/>
                <w:bCs/>
                <w:sz w:val="18"/>
                <w:szCs w:val="18"/>
              </w:rPr>
              <w:t xml:space="preserve">M1</w:t>
            </w:r>
            <w:r>
              <w:rPr>
                <w:sz w:val="18"/>
                <w:szCs w:val="18"/>
              </w:rPr>
              <w:t xml:space="preserve">: end-to-end RA demo in the browser</w:t>
            </w:r>
          </w:p>
        </w:tc>
      </w:tr>
      <w:tr>
        <w:trPr>
          <w:cantSplit/>
        </w:trPr>
        <w:tc>
          <w:tcPr>
            <w:tcW w:type="dxa" w:w="170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 Exam period</w:t>
            </w:r>
          </w:p>
        </w:tc>
        <w:tc>
          <w:tcPr>
            <w:tcW w:type="dxa" w:w="180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W11–W14 (23 Nov–20 Dec)</w:t>
            </w:r>
          </w:p>
        </w:tc>
        <w:tc>
          <w:tcPr>
            <w:tcW w:type="dxa" w:w="351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Reduced load: bug fixes, documentation, literature review for the report</w:t>
            </w:r>
          </w:p>
        </w:tc>
        <w:tc>
          <w:tcPr>
            <w:tcW w:type="dxa" w:w="2007"/>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Interim notes written</w:t>
            </w:r>
          </w:p>
        </w:tc>
      </w:tr>
      <w:tr>
        <w:trPr>
          <w:cantSplit/>
        </w:trPr>
        <w:tc>
          <w:tcPr>
            <w:tcW w:type="dxa" w:w="1704"/>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P4 Vector backend</w:t>
            </w:r>
          </w:p>
        </w:tc>
        <w:tc>
          <w:tcPr>
            <w:tcW w:type="dxa" w:w="180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W15–W18 (21 Dec–17 Jan 2027)</w:t>
            </w:r>
          </w:p>
        </w:tc>
        <w:tc>
          <w:tcPr>
            <w:tcW w:type="dxa" w:w="3510"/>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sqlite-vec spike (dev + Azure staging); </w:t>
            </w:r>
            <w:r>
              <w:rPr>
                <w:rFonts w:ascii="Consolas" w:cs="Consolas" w:eastAsia="Consolas" w:hAnsi="Consolas"/>
                <w:color w:val="8A3B12"/>
                <w:sz w:val="18"/>
                <w:szCs w:val="18"/>
              </w:rPr>
              <w:t xml:space="preserve">vector_db_manager</w:t>
            </w:r>
            <w:r>
              <w:rPr>
                <w:sz w:val="18"/>
                <w:szCs w:val="18"/>
              </w:rPr>
              <w:t xml:space="preserve">, </w:t>
            </w:r>
            <w:r>
              <w:rPr>
                <w:rFonts w:ascii="Consolas" w:cs="Consolas" w:eastAsia="Consolas" w:hAnsi="Consolas"/>
                <w:color w:val="8A3B12"/>
                <w:sz w:val="18"/>
                <w:szCs w:val="18"/>
              </w:rPr>
              <w:t xml:space="preserve">VectorQueryExecutor</w:t>
            </w:r>
            <w:r>
              <w:rPr>
                <w:sz w:val="18"/>
                <w:szCs w:val="18"/>
              </w:rPr>
              <w:t xml:space="preserve">; normalisation; grading modes; server-side re-execution; near-tie guard</w:t>
            </w:r>
          </w:p>
        </w:tc>
        <w:tc>
          <w:tcPr>
            <w:tcW w:type="dxa" w:w="2007"/>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Vector labs can be created and graded through the API on the target runtime</w:t>
            </w:r>
          </w:p>
        </w:tc>
      </w:tr>
      <w:tr>
        <w:trPr>
          <w:cantSplit/>
        </w:trPr>
        <w:tc>
          <w:tcPr>
            <w:tcW w:type="dxa" w:w="170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P5 Vector frontend + content</w:t>
            </w:r>
          </w:p>
        </w:tc>
        <w:tc>
          <w:tcPr>
            <w:tcW w:type="dxa" w:w="180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W18–W21 (11 Jan–7 Feb)</w:t>
            </w:r>
          </w:p>
        </w:tc>
        <w:tc>
          <w:tcPr>
            <w:tcW w:type="dxa" w:w="351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Wizard option, workspace plot + projection endpoint, </w:t>
            </w:r>
            <w:r>
              <w:rPr>
                <w:rFonts w:ascii="Consolas" w:cs="Consolas" w:eastAsia="Consolas" w:hAnsi="Consolas"/>
                <w:color w:val="8A3B12"/>
                <w:sz w:val="18"/>
                <w:szCs w:val="18"/>
              </w:rPr>
              <w:t xml:space="preserve">vector_lab</w:t>
            </w:r>
            <w:r>
              <w:rPr>
                <w:sz w:val="18"/>
                <w:szCs w:val="18"/>
              </w:rPr>
              <w:t xml:space="preserve"> assessment item; 2–3 labs (≈ 12 tasks)</w:t>
            </w:r>
          </w:p>
        </w:tc>
        <w:tc>
          <w:tcPr>
            <w:tcW w:type="dxa" w:w="2007"/>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b/>
                <w:bCs/>
                <w:sz w:val="18"/>
                <w:szCs w:val="18"/>
              </w:rPr>
              <w:t xml:space="preserve">M2</w:t>
            </w:r>
            <w:r>
              <w:rPr>
                <w:sz w:val="18"/>
                <w:szCs w:val="18"/>
              </w:rPr>
              <w:t xml:space="preserve">: end-to-end vector-lab demo</w:t>
            </w:r>
          </w:p>
        </w:tc>
      </w:tr>
      <w:tr>
        <w:trPr>
          <w:cantSplit/>
        </w:trPr>
        <w:tc>
          <w:tcPr>
            <w:tcW w:type="dxa" w:w="1704"/>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P6 Integration</w:t>
            </w:r>
          </w:p>
        </w:tc>
        <w:tc>
          <w:tcPr>
            <w:tcW w:type="dxa" w:w="180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W21–W23 (1 Feb–21 Feb)</w:t>
            </w:r>
          </w:p>
        </w:tc>
        <w:tc>
          <w:tcPr>
            <w:tcW w:type="dxa" w:w="3510"/>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Assessments for both, tutor context, LAD concepts, analytics filters, feature-flag rollout on staging</w:t>
            </w:r>
          </w:p>
        </w:tc>
        <w:tc>
          <w:tcPr>
            <w:tcW w:type="dxa" w:w="2007"/>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b/>
                <w:bCs/>
                <w:sz w:val="18"/>
                <w:szCs w:val="18"/>
              </w:rPr>
              <w:t xml:space="preserve">M3</w:t>
            </w:r>
            <w:r>
              <w:rPr>
                <w:sz w:val="18"/>
                <w:szCs w:val="18"/>
              </w:rPr>
              <w:t xml:space="preserve"> (W24): feature freeze; both flags can be enabled on staging</w:t>
            </w:r>
          </w:p>
        </w:tc>
      </w:tr>
      <w:tr>
        <w:trPr>
          <w:cantSplit/>
        </w:trPr>
        <w:tc>
          <w:tcPr>
            <w:tcW w:type="dxa" w:w="170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P7 Evaluation</w:t>
            </w:r>
          </w:p>
        </w:tc>
        <w:tc>
          <w:tcPr>
            <w:tcW w:type="dxa" w:w="180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W23–W26 (15 Feb–14 Mar)</w:t>
            </w:r>
          </w:p>
        </w:tc>
        <w:tc>
          <w:tcPr>
            <w:tcW w:type="dxa" w:w="351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Pilot with students (or fallback study); pre/post quizzes; SUS; telemetry analysis</w:t>
            </w:r>
          </w:p>
        </w:tc>
        <w:tc>
          <w:tcPr>
            <w:tcW w:type="dxa" w:w="2007"/>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Evaluation data collected and analysed</w:t>
            </w:r>
          </w:p>
        </w:tc>
      </w:tr>
      <w:tr>
        <w:trPr>
          <w:cantSplit/>
        </w:trPr>
        <w:tc>
          <w:tcPr>
            <w:tcW w:type="dxa" w:w="1704"/>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P8 Write-up</w:t>
            </w:r>
          </w:p>
        </w:tc>
        <w:tc>
          <w:tcPr>
            <w:tcW w:type="dxa" w:w="180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W25–W30 (1 Mar–11 Apr)</w:t>
            </w:r>
          </w:p>
        </w:tc>
        <w:tc>
          <w:tcPr>
            <w:tcW w:type="dxa" w:w="3510"/>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Final report, demo video, presentation; handoff notes for the next maintainer</w:t>
            </w:r>
          </w:p>
        </w:tc>
        <w:tc>
          <w:tcPr>
            <w:tcW w:type="dxa" w:w="2007"/>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b/>
                <w:bCs/>
                <w:sz w:val="18"/>
                <w:szCs w:val="18"/>
              </w:rPr>
              <w:t xml:space="preserve">M4</w:t>
            </w:r>
            <w:r>
              <w:rPr>
                <w:sz w:val="18"/>
                <w:szCs w:val="18"/>
              </w:rPr>
              <w:t xml:space="preserve">: final submission</w:t>
            </w:r>
          </w:p>
        </w:tc>
      </w:tr>
    </w:tbl>
    <w:p>
      <w:pPr>
        <w:spacing w:after="100"/>
      </w:pPr>
    </w:p>
    <w:p>
      <w:pPr>
        <w:pStyle w:val="Heading2"/>
      </w:pPr>
      <w:r>
        <w:t xml:space="preserve">3.2 Milestones</w:t>
      </w:r>
    </w:p>
    <w:p>
      <w:pPr>
        <w:spacing w:after="60" w:before="120"/>
      </w:pPr>
      <w:r>
        <w:rPr>
          <w:b/>
          <w:bCs/>
          <w:color w:val="1F3A5F"/>
          <w:sz w:val="18"/>
          <w:szCs w:val="18"/>
        </w:rPr>
        <w:t xml:space="preserve">Table 4. </w:t>
      </w:r>
      <w:r>
        <w:rPr>
          <w:color w:val="1F3A5F"/>
          <w:sz w:val="18"/>
          <w:szCs w:val="18"/>
        </w:rPr>
        <w:t xml:space="preserve">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2306"/>
        <w:gridCol w:w="4514"/>
      </w:tblGrid>
      <w:tr>
        <w:trPr>
          <w:tblHeader/>
        </w:trPr>
        <w:tc>
          <w:tcPr>
            <w:tcW w:type="dxa" w:w="2206"/>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Milestone</w:t>
            </w:r>
          </w:p>
        </w:tc>
        <w:tc>
          <w:tcPr>
            <w:tcW w:type="dxa" w:w="2306"/>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Target date</w:t>
            </w:r>
          </w:p>
        </w:tc>
        <w:tc>
          <w:tcPr>
            <w:tcW w:type="dxa" w:w="4514"/>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What I will demonstrate</w:t>
            </w:r>
          </w:p>
        </w:tc>
      </w:tr>
      <w:tr>
        <w:trPr>
          <w:cantSplit/>
        </w:trPr>
        <w:tc>
          <w:tcPr>
            <w:tcW w:type="dxa" w:w="22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M0 Progress review</w:t>
            </w:r>
          </w:p>
        </w:tc>
        <w:tc>
          <w:tcPr>
            <w:tcW w:type="dxa" w:w="23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Fri 25 Sep 2026 (W2)</w:t>
            </w:r>
          </w:p>
        </w:tc>
        <w:tc>
          <w:tcPr>
            <w:tcW w:type="dxa" w:w="451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Documents 01–04; inherited system running locally; design walkthrough</w:t>
            </w:r>
          </w:p>
        </w:tc>
      </w:tr>
      <w:tr>
        <w:trPr>
          <w:cantSplit/>
        </w:trPr>
        <w:tc>
          <w:tcPr>
            <w:tcW w:type="dxa" w:w="22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M1 RA feature complete</w:t>
            </w:r>
          </w:p>
        </w:tc>
        <w:tc>
          <w:tcPr>
            <w:tcW w:type="dxa" w:w="23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Fri 20 Nov 2026 (W10)</w:t>
            </w:r>
          </w:p>
        </w:tc>
        <w:tc>
          <w:tcPr>
            <w:tcW w:type="dxa" w:w="4514"/>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Staff creates an RA question; student solves it with the palette; tree view; RA errors; the question inside an assessment</w:t>
            </w:r>
          </w:p>
        </w:tc>
      </w:tr>
      <w:tr>
        <w:trPr>
          <w:cantSplit/>
        </w:trPr>
        <w:tc>
          <w:tcPr>
            <w:tcW w:type="dxa" w:w="22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M2 Vector feature complete</w:t>
            </w:r>
          </w:p>
        </w:tc>
        <w:tc>
          <w:tcPr>
            <w:tcW w:type="dxa" w:w="23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Fri 29 Jan 2027 (W20)</w:t>
            </w:r>
          </w:p>
        </w:tc>
        <w:tc>
          <w:tcPr>
            <w:tcW w:type="dxa" w:w="451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Staff creates the “Hawker flavour space” lab; student completes its tasks; plot; grading modes</w:t>
            </w:r>
          </w:p>
        </w:tc>
      </w:tr>
      <w:tr>
        <w:trPr>
          <w:cantSplit/>
        </w:trPr>
        <w:tc>
          <w:tcPr>
            <w:tcW w:type="dxa" w:w="22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M3 Feature freeze</w:t>
            </w:r>
          </w:p>
        </w:tc>
        <w:tc>
          <w:tcPr>
            <w:tcW w:type="dxa" w:w="23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Fri 26 Feb 2027 (W24)</w:t>
            </w:r>
          </w:p>
        </w:tc>
        <w:tc>
          <w:tcPr>
            <w:tcW w:type="dxa" w:w="4514"/>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Both features behind flags on staging; test report</w:t>
            </w:r>
          </w:p>
        </w:tc>
      </w:tr>
      <w:tr>
        <w:trPr>
          <w:cantSplit/>
        </w:trPr>
        <w:tc>
          <w:tcPr>
            <w:tcW w:type="dxa" w:w="22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M4 Final submission</w:t>
            </w:r>
          </w:p>
        </w:tc>
        <w:tc>
          <w:tcPr>
            <w:tcW w:type="dxa" w:w="23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 Fri 9 Apr 2027 (W30)</w:t>
            </w:r>
          </w:p>
        </w:tc>
        <w:tc>
          <w:tcPr>
            <w:tcW w:type="dxa" w:w="451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Report, video, presentation, code tagged </w:t>
            </w:r>
            <w:r>
              <w:rPr>
                <w:rFonts w:ascii="Consolas" w:cs="Consolas" w:eastAsia="Consolas" w:hAnsi="Consolas"/>
                <w:color w:val="8A3B12"/>
                <w:sz w:val="18"/>
                <w:szCs w:val="18"/>
              </w:rPr>
              <w:t xml:space="preserve">fyp-final</w:t>
            </w:r>
          </w:p>
        </w:tc>
      </w:tr>
    </w:tbl>
    <w:p>
      <w:pPr>
        <w:spacing w:after="100"/>
      </w:pPr>
    </w:p>
    <w:p>
      <w:pPr>
        <w:pStyle w:val="Heading2"/>
      </w:pPr>
      <w:r>
        <w:t xml:space="preserve">3.3 Schedule buffers and re-planning rules</w:t>
      </w:r>
    </w:p>
    <w:p>
      <w:pPr>
        <w:pStyle w:val="ListParagraph"/>
        <w:numPr>
          <w:ilvl w:val="0"/>
          <w:numId w:val="2"/>
        </w:numPr>
        <w:spacing w:after="60" w:line="264"/>
      </w:pPr>
      <w:r>
        <w:t xml:space="preserve">The </w:t>
      </w:r>
      <w:r>
        <w:rPr>
          <w:b/>
          <w:bCs/>
        </w:rPr>
        <w:t xml:space="preserve">vector spike can move earlier</w:t>
      </w:r>
      <w:r>
        <w:t xml:space="preserve"> (e.g. to Week 6, as a half-day task) so R1 is settled before the exam period. I recommend doing this.</w:t>
      </w:r>
    </w:p>
    <w:p>
      <w:pPr>
        <w:pStyle w:val="ListParagraph"/>
        <w:numPr>
          <w:ilvl w:val="0"/>
          <w:numId w:val="2"/>
        </w:numPr>
        <w:spacing w:after="60" w:line="264"/>
      </w:pPr>
      <w:r>
        <w:t xml:space="preserve">Each phase ends with its exit criteria. If a phase overruns by more than one week, I cut scope from that module’s “Could” list rather than delaying the next module.</w:t>
      </w:r>
    </w:p>
    <w:p>
      <w:pPr>
        <w:pStyle w:val="ListParagraph"/>
        <w:numPr>
          <w:ilvl w:val="0"/>
          <w:numId w:val="2"/>
        </w:numPr>
        <w:spacing w:after="60" w:line="264"/>
      </w:pPr>
      <w:r>
        <w:t xml:space="preserve">Weeks 11–14 act as a buffer for RA overruns.</w:t>
      </w:r>
    </w:p>
    <w:p>
      <w:pPr>
        <w:pStyle w:val="ListParagraph"/>
        <w:numPr>
          <w:ilvl w:val="0"/>
          <w:numId w:val="2"/>
        </w:numPr>
        <w:spacing w:after="60" w:line="264"/>
      </w:pPr>
      <w:r>
        <w:t xml:space="preserve">Evaluation (P7) can start with RA alone if the vector module is late, so the report always has an evaluated contribution.</w:t>
      </w:r>
    </w:p>
    <w:p>
      <w:pPr>
        <w:pStyle w:val="Heading2"/>
      </w:pPr>
      <w:r>
        <w:t xml:space="preserve">3.4 Scope ladder (what gets cut first)</w:t>
      </w:r>
    </w:p>
    <w:p>
      <w:pPr>
        <w:spacing w:after="60" w:before="120"/>
      </w:pPr>
      <w:r>
        <w:rPr>
          <w:b/>
          <w:bCs/>
          <w:color w:val="1F3A5F"/>
          <w:sz w:val="18"/>
          <w:szCs w:val="18"/>
        </w:rPr>
        <w:t xml:space="preserve">Table 5. </w:t>
      </w:r>
      <w:r>
        <w:rPr>
          <w:color w:val="1F3A5F"/>
          <w:sz w:val="18"/>
          <w:szCs w:val="18"/>
        </w:rPr>
        <w:t xml:space="preserve">Scope ladder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5816"/>
        <w:gridCol w:w="1706"/>
      </w:tblGrid>
      <w:tr>
        <w:trPr>
          <w:tblHeader/>
        </w:trPr>
        <w:tc>
          <w:tcPr>
            <w:tcW w:type="dxa" w:w="1504"/>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Order to cut</w:t>
            </w:r>
          </w:p>
        </w:tc>
        <w:tc>
          <w:tcPr>
            <w:tcW w:type="dxa" w:w="5816"/>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Item</w:t>
            </w:r>
          </w:p>
        </w:tc>
        <w:tc>
          <w:tcPr>
            <w:tcW w:type="dxa" w:w="1706"/>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Module</w:t>
            </w:r>
          </w:p>
        </w:tc>
      </w:tr>
      <w:tr>
        <w:trPr>
          <w:cantSplit/>
        </w:trPr>
        <w:tc>
          <w:tcPr>
            <w:tcW w:type="dxa" w:w="150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1</w:t>
            </w:r>
          </w:p>
        </w:tc>
        <w:tc>
          <w:tcPr>
            <w:tcW w:type="dxa" w:w="581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Live-embedding demo box (FR-VEC-12)</w:t>
            </w:r>
          </w:p>
        </w:tc>
        <w:tc>
          <w:tcPr>
            <w:tcW w:type="dxa" w:w="17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Vector</w:t>
            </w:r>
          </w:p>
        </w:tc>
      </w:tr>
      <w:tr>
        <w:trPr>
          <w:cantSplit/>
        </w:trPr>
        <w:tc>
          <w:tcPr>
            <w:tcW w:type="dxa" w:w="1504"/>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2</w:t>
            </w:r>
          </w:p>
        </w:tc>
        <w:tc>
          <w:tcPr>
            <w:tcW w:type="dxa" w:w="581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Extended RA operators γ, outer joins (FR-RA-10)</w:t>
            </w:r>
          </w:p>
        </w:tc>
        <w:tc>
          <w:tcPr>
            <w:tcW w:type="dxa" w:w="17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RA</w:t>
            </w:r>
          </w:p>
        </w:tc>
      </w:tr>
      <w:tr>
        <w:trPr>
          <w:cantSplit/>
        </w:trPr>
        <w:tc>
          <w:tcPr>
            <w:tcW w:type="dxa" w:w="150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3</w:t>
            </w:r>
          </w:p>
        </w:tc>
        <w:tc>
          <w:tcPr>
            <w:tcW w:type="dxa" w:w="581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Autocomplete (FR-RA-11)</w:t>
            </w:r>
          </w:p>
        </w:tc>
        <w:tc>
          <w:tcPr>
            <w:tcW w:type="dxa" w:w="17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RA</w:t>
            </w:r>
          </w:p>
        </w:tc>
      </w:tr>
      <w:tr>
        <w:trPr>
          <w:cantSplit/>
        </w:trPr>
        <w:tc>
          <w:tcPr>
            <w:tcW w:type="dxa" w:w="1504"/>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4</w:t>
            </w:r>
          </w:p>
        </w:tc>
        <w:tc>
          <w:tcPr>
            <w:tcW w:type="dxa" w:w="581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Click-to-inspect intermediate results (FR-RA-08)</w:t>
            </w:r>
          </w:p>
        </w:tc>
        <w:tc>
          <w:tcPr>
            <w:tcW w:type="dxa" w:w="17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RA</w:t>
            </w:r>
          </w:p>
        </w:tc>
      </w:tr>
      <w:tr>
        <w:trPr>
          <w:cantSplit/>
        </w:trPr>
        <w:tc>
          <w:tcPr>
            <w:tcW w:type="dxa" w:w="150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5</w:t>
            </w:r>
          </w:p>
        </w:tc>
        <w:tc>
          <w:tcPr>
            <w:tcW w:type="dxa" w:w="581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Tier-2 real-embedding lab (keep the Tier-1 lab)</w:t>
            </w:r>
          </w:p>
        </w:tc>
        <w:tc>
          <w:tcPr>
            <w:tcW w:type="dxa" w:w="17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Vector</w:t>
            </w:r>
          </w:p>
        </w:tc>
      </w:tr>
      <w:tr>
        <w:trPr>
          <w:cantSplit/>
        </w:trPr>
        <w:tc>
          <w:tcPr>
            <w:tcW w:type="dxa" w:w="1504"/>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6</w:t>
            </w:r>
          </w:p>
        </w:tc>
        <w:tc>
          <w:tcPr>
            <w:tcW w:type="dxa" w:w="581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vec0</w:t>
            </w:r>
            <w:r>
              <w:rPr>
                <w:sz w:val="18"/>
                <w:szCs w:val="18"/>
              </w:rPr>
              <w:t xml:space="preserve"> index tasks — keep scalar-function tasks (fallback-compatible)</w:t>
            </w:r>
          </w:p>
        </w:tc>
        <w:tc>
          <w:tcPr>
            <w:tcW w:type="dxa" w:w="1706"/>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Vector</w:t>
            </w:r>
          </w:p>
        </w:tc>
      </w:tr>
      <w:tr>
        <w:trPr>
          <w:cantSplit/>
        </w:trPr>
        <w:tc>
          <w:tcPr>
            <w:tcW w:type="dxa" w:w="1504"/>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Never cut</w:t>
            </w:r>
          </w:p>
        </w:tc>
        <w:tc>
          <w:tcPr>
            <w:tcW w:type="dxa" w:w="581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Correct grading, security guards, tests, feature flags, Tier-1 vector lab, core RA operators</w:t>
            </w:r>
          </w:p>
        </w:tc>
        <w:tc>
          <w:tcPr>
            <w:tcW w:type="dxa" w:w="1706"/>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Both</w:t>
            </w:r>
          </w:p>
        </w:tc>
      </w:tr>
    </w:tbl>
    <w:p>
      <w:pPr>
        <w:spacing w:after="100"/>
      </w:pPr>
    </w:p>
    <w:p>
      <w:pPr>
        <w:pStyle w:val="Heading2"/>
      </w:pPr>
      <w:r>
        <w:t xml:space="preserve">3.5 Working rhythm</w:t>
      </w:r>
    </w:p>
    <w:p>
      <w:pPr>
        <w:pStyle w:val="ListParagraph"/>
        <w:numPr>
          <w:ilvl w:val="0"/>
          <w:numId w:val="2"/>
        </w:numPr>
        <w:spacing w:after="60" w:line="264"/>
      </w:pPr>
      <w:r>
        <w:rPr>
          <w:b/>
          <w:bCs/>
        </w:rPr>
        <w:t xml:space="preserve">Supervisor meetings</w:t>
      </w:r>
      <w:r>
        <w:t xml:space="preserve"> every two weeks (proposed), each with a short demo and an update of this document.</w:t>
      </w:r>
    </w:p>
    <w:p>
      <w:pPr>
        <w:pStyle w:val="ListParagraph"/>
        <w:numPr>
          <w:ilvl w:val="0"/>
          <w:numId w:val="2"/>
        </w:numPr>
        <w:spacing w:after="60" w:line="264"/>
      </w:pPr>
      <w:r>
        <w:rPr>
          <w:b/>
          <w:bCs/>
        </w:rPr>
        <w:t xml:space="preserve">Weekly log</w:t>
      </w:r>
      <w:r>
        <w:t xml:space="preserve"> (</w:t>
      </w:r>
      <w:r>
        <w:rPr>
          <w:rFonts w:ascii="Consolas" w:cs="Consolas" w:eastAsia="Consolas" w:hAnsi="Consolas"/>
          <w:color w:val="8A3B12"/>
          <w:sz w:val="19"/>
          <w:szCs w:val="19"/>
        </w:rPr>
        <w:t xml:space="preserve">FYP_CHANGELOG.md</w:t>
      </w:r>
      <w:r>
        <w:t xml:space="preserve">): what I did, the related requirement IDs, decisions and blockers. It is the raw material for the final report.</w:t>
      </w:r>
    </w:p>
    <w:p>
      <w:pPr>
        <w:pStyle w:val="ListParagraph"/>
        <w:numPr>
          <w:ilvl w:val="0"/>
          <w:numId w:val="2"/>
        </w:numPr>
        <w:spacing w:after="60" w:line="264"/>
      </w:pPr>
      <w:r>
        <w:rPr>
          <w:b/>
          <w:bCs/>
        </w:rPr>
        <w:t xml:space="preserve">Definition of done</w:t>
      </w:r>
      <w:r>
        <w:t xml:space="preserve"> for any feature: code + tests + behind a flag + short documentation entry + screenshot/video evidence.</w:t>
      </w:r>
    </w:p>
    <w:p>
      <w:pPr>
        <w:pStyle w:val="Heading1"/>
        <w:pageBreakBefore/>
      </w:pPr>
      <w:r>
        <w:t xml:space="preserve">4. Risk register</w:t>
      </w:r>
    </w:p>
    <w:p>
      <w:pPr>
        <w:keepNext/>
        <w:spacing w:after="40" w:before="120"/>
        <w:jc w:val="center"/>
      </w:pPr>
      <w:r>
        <w:drawing>
          <wp:inline distT="0" distB="0" distL="0" distR="0">
            <wp:extent cx="4019550" cy="3286125"/>
            <wp:effectExtent t="0" r="0" b="0" l="0"/>
            <wp:docPr id="1" name="fig_risk_matrix.png" descr="Risk heat map" title="Risk heat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19550" cy="3286125"/>
                    </a:xfrm>
                    <a:prstGeom prst="rect">
                      <a:avLst/>
                    </a:prstGeom>
                  </pic:spPr>
                </pic:pic>
              </a:graphicData>
            </a:graphic>
          </wp:inline>
        </w:drawing>
      </w:r>
    </w:p>
    <w:p>
      <w:pPr>
        <w:spacing w:after="180"/>
        <w:jc w:val="center"/>
      </w:pPr>
      <w:r>
        <w:rPr>
          <w:b/>
          <w:bCs/>
          <w:color w:val="1F3A5F"/>
          <w:sz w:val="18"/>
          <w:szCs w:val="18"/>
        </w:rPr>
        <w:t xml:space="preserve">Figure 2. </w:t>
      </w:r>
      <w:r>
        <w:rPr>
          <w:color w:val="5B6675"/>
          <w:sz w:val="18"/>
          <w:szCs w:val="18"/>
        </w:rPr>
        <w:t xml:space="preserve">Risk heat map</w:t>
      </w:r>
    </w:p>
    <w:p>
      <w:pPr>
        <w:spacing w:after="60" w:before="120"/>
      </w:pPr>
      <w:r>
        <w:rPr>
          <w:b/>
          <w:bCs/>
          <w:color w:val="1F3A5F"/>
          <w:sz w:val="18"/>
          <w:szCs w:val="18"/>
        </w:rPr>
        <w:t xml:space="preserve">Table 6. </w:t>
      </w:r>
      <w:r>
        <w:rPr>
          <w:color w:val="1F3A5F"/>
          <w:sz w:val="18"/>
          <w:szCs w:val="18"/>
        </w:rPr>
        <w:t xml:space="preserve">Risk register (L = likelihood, I = impact; H/M/L)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
        <w:gridCol w:w="1855"/>
        <w:gridCol w:w="461"/>
        <w:gridCol w:w="461"/>
        <w:gridCol w:w="2055"/>
        <w:gridCol w:w="1955"/>
        <w:gridCol w:w="1738"/>
      </w:tblGrid>
      <w:tr>
        <w:trPr>
          <w:tblHeader/>
        </w:trPr>
        <w:tc>
          <w:tcPr>
            <w:tcW w:type="dxa" w:w="501"/>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ID</w:t>
            </w:r>
          </w:p>
        </w:tc>
        <w:tc>
          <w:tcPr>
            <w:tcW w:type="dxa" w:w="1855"/>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Risk</w:t>
            </w:r>
          </w:p>
        </w:tc>
        <w:tc>
          <w:tcPr>
            <w:tcW w:type="dxa" w:w="461"/>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L</w:t>
            </w:r>
          </w:p>
        </w:tc>
        <w:tc>
          <w:tcPr>
            <w:tcW w:type="dxa" w:w="461"/>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I</w:t>
            </w:r>
          </w:p>
        </w:tc>
        <w:tc>
          <w:tcPr>
            <w:tcW w:type="dxa" w:w="2055"/>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Mitigation (reduce likelihood)</w:t>
            </w:r>
          </w:p>
        </w:tc>
        <w:tc>
          <w:tcPr>
            <w:tcW w:type="dxa" w:w="1955"/>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Contingency (if it happens)</w:t>
            </w:r>
          </w:p>
        </w:tc>
        <w:tc>
          <w:tcPr>
            <w:tcW w:type="dxa" w:w="1738"/>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Early warning</w:t>
            </w:r>
          </w:p>
        </w:tc>
      </w:tr>
      <w:tr>
        <w:trPr>
          <w:cantSplit/>
        </w:trPr>
        <w:tc>
          <w:tcPr>
            <w:tcW w:type="dxa" w:w="501"/>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R1</w:t>
            </w:r>
          </w:p>
        </w:tc>
        <w:tc>
          <w:tcPr>
            <w:tcW w:type="dxa" w:w="185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sqlite-vec cannot be loaded on the production Python (extension loading disabled)</w:t>
            </w:r>
          </w:p>
        </w:tc>
        <w:tc>
          <w:tcPr>
            <w:tcW w:type="dxa" w:w="461"/>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M</w:t>
            </w:r>
          </w:p>
        </w:tc>
        <w:tc>
          <w:tcPr>
            <w:tcW w:type="dxa" w:w="461"/>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H</w:t>
            </w:r>
          </w:p>
        </w:tc>
        <w:tc>
          <w:tcPr>
            <w:tcW w:type="dxa" w:w="205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Early spike on Azure staging; test </w:t>
            </w:r>
            <w:r>
              <w:rPr>
                <w:rFonts w:ascii="Consolas" w:cs="Consolas" w:eastAsia="Consolas" w:hAnsi="Consolas"/>
                <w:color w:val="8A3B12"/>
                <w:sz w:val="18"/>
                <w:szCs w:val="18"/>
              </w:rPr>
              <w:t xml:space="preserve">apsw</w:t>
            </w:r>
            <w:r>
              <w:rPr>
                <w:sz w:val="18"/>
                <w:szCs w:val="18"/>
              </w:rPr>
              <w:t xml:space="preserve">/</w:t>
            </w:r>
            <w:r>
              <w:rPr>
                <w:rFonts w:ascii="Consolas" w:cs="Consolas" w:eastAsia="Consolas" w:hAnsi="Consolas"/>
                <w:color w:val="8A3B12"/>
                <w:sz w:val="18"/>
                <w:szCs w:val="18"/>
              </w:rPr>
              <w:t xml:space="preserve">pysqlite3</w:t>
            </w:r>
          </w:p>
        </w:tc>
        <w:tc>
          <w:tcPr>
            <w:tcW w:type="dxa" w:w="195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Pure-Python UDF fallback (Level-1 tasks); drop </w:t>
            </w:r>
            <w:r>
              <w:rPr>
                <w:rFonts w:ascii="Consolas" w:cs="Consolas" w:eastAsia="Consolas" w:hAnsi="Consolas"/>
                <w:color w:val="8A3B12"/>
                <w:sz w:val="18"/>
                <w:szCs w:val="18"/>
              </w:rPr>
              <w:t xml:space="preserve">vec0</w:t>
            </w:r>
            <w:r>
              <w:rPr>
                <w:sz w:val="18"/>
                <w:szCs w:val="18"/>
              </w:rPr>
              <w:t xml:space="preserve"> tasks</w:t>
            </w:r>
          </w:p>
        </w:tc>
        <w:tc>
          <w:tcPr>
            <w:tcW w:type="dxa" w:w="17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Spike fails on staging</w:t>
            </w:r>
          </w:p>
        </w:tc>
      </w:tr>
      <w:tr>
        <w:trPr>
          <w:cantSplit/>
        </w:trPr>
        <w:tc>
          <w:tcPr>
            <w:tcW w:type="dxa" w:w="501"/>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R2</w:t>
            </w:r>
          </w:p>
        </w:tc>
        <w:tc>
          <w:tcPr>
            <w:tcW w:type="dxa" w:w="185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Two features are too much scope for one student</w:t>
            </w:r>
          </w:p>
        </w:tc>
        <w:tc>
          <w:tcPr>
            <w:tcW w:type="dxa" w:w="461"/>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M</w:t>
            </w:r>
          </w:p>
        </w:tc>
        <w:tc>
          <w:tcPr>
            <w:tcW w:type="dxa" w:w="461"/>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H</w:t>
            </w:r>
          </w:p>
        </w:tc>
        <w:tc>
          <w:tcPr>
            <w:tcW w:type="dxa" w:w="205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MoSCoW priorities, scope ladder, shared foundations first</w:t>
            </w:r>
          </w:p>
        </w:tc>
        <w:tc>
          <w:tcPr>
            <w:tcW w:type="dxa" w:w="195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Cut from the scope ladder; evaluate RA fully, vector partially</w:t>
            </w:r>
          </w:p>
        </w:tc>
        <w:tc>
          <w:tcPr>
            <w:tcW w:type="dxa" w:w="173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Phase overruns &gt; 1 week</w:t>
            </w:r>
          </w:p>
        </w:tc>
      </w:tr>
      <w:tr>
        <w:trPr>
          <w:cantSplit/>
        </w:trPr>
        <w:tc>
          <w:tcPr>
            <w:tcW w:type="dxa" w:w="501"/>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R3</w:t>
            </w:r>
          </w:p>
        </w:tc>
        <w:tc>
          <w:tcPr>
            <w:tcW w:type="dxa" w:w="185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Unfamiliar, large inherited codebase slows development</w:t>
            </w:r>
          </w:p>
        </w:tc>
        <w:tc>
          <w:tcPr>
            <w:tcW w:type="dxa" w:w="461"/>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H</w:t>
            </w:r>
          </w:p>
        </w:tc>
        <w:tc>
          <w:tcPr>
            <w:tcW w:type="dxa" w:w="461"/>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M</w:t>
            </w:r>
          </w:p>
        </w:tc>
        <w:tc>
          <w:tcPr>
            <w:tcW w:type="dxa" w:w="205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Documented study (Doc 01); refactor with regression tests first; follow house patterns</w:t>
            </w:r>
          </w:p>
        </w:tc>
        <w:tc>
          <w:tcPr>
            <w:tcW w:type="dxa" w:w="195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Ask supervisor for access to previous maintainers</w:t>
            </w:r>
          </w:p>
        </w:tc>
        <w:tc>
          <w:tcPr>
            <w:tcW w:type="dxa" w:w="17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Simple changes taking &gt; 2 days</w:t>
            </w:r>
          </w:p>
        </w:tc>
      </w:tr>
      <w:tr>
        <w:trPr>
          <w:cantSplit/>
        </w:trPr>
        <w:tc>
          <w:tcPr>
            <w:tcW w:type="dxa" w:w="501"/>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R4</w:t>
            </w:r>
          </w:p>
        </w:tc>
        <w:tc>
          <w:tcPr>
            <w:tcW w:type="dxa" w:w="185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RA translation bugs produce wrong grades</w:t>
            </w:r>
          </w:p>
        </w:tc>
        <w:tc>
          <w:tcPr>
            <w:tcW w:type="dxa" w:w="461"/>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M</w:t>
            </w:r>
          </w:p>
        </w:tc>
        <w:tc>
          <w:tcPr>
            <w:tcW w:type="dxa" w:w="461"/>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M</w:t>
            </w:r>
          </w:p>
        </w:tc>
        <w:tc>
          <w:tcPr>
            <w:tcW w:type="dxa" w:w="205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Equivalence + property-based tests; same translator for reference and student</w:t>
            </w:r>
          </w:p>
        </w:tc>
        <w:tc>
          <w:tcPr>
            <w:tcW w:type="dxa" w:w="195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Hide-correctness mode during the pilot; manual regrade</w:t>
            </w:r>
          </w:p>
        </w:tc>
        <w:tc>
          <w:tcPr>
            <w:tcW w:type="dxa" w:w="173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Test failures; student reports</w:t>
            </w:r>
          </w:p>
        </w:tc>
      </w:tr>
      <w:tr>
        <w:trPr>
          <w:cantSplit/>
        </w:trPr>
        <w:tc>
          <w:tcPr>
            <w:tcW w:type="dxa" w:w="501"/>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R5</w:t>
            </w:r>
          </w:p>
        </w:tc>
        <w:tc>
          <w:tcPr>
            <w:tcW w:type="dxa" w:w="185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Floating-point differences make vector grading unstable</w:t>
            </w:r>
          </w:p>
        </w:tc>
        <w:tc>
          <w:tcPr>
            <w:tcW w:type="dxa" w:w="461"/>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M</w:t>
            </w:r>
          </w:p>
        </w:tc>
        <w:tc>
          <w:tcPr>
            <w:tcW w:type="dxa" w:w="461"/>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M</w:t>
            </w:r>
          </w:p>
        </w:tc>
        <w:tc>
          <w:tcPr>
            <w:tcW w:type="dxa" w:w="205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Rounding, −0.0 fix, near-tie guard, id-based modes, cross-platform CI</w:t>
            </w:r>
          </w:p>
        </w:tc>
        <w:tc>
          <w:tcPr>
            <w:tcW w:type="dxa" w:w="195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Switch affected tasks to </w:t>
            </w:r>
            <w:r>
              <w:rPr>
                <w:rFonts w:ascii="Consolas" w:cs="Consolas" w:eastAsia="Consolas" w:hAnsi="Consolas"/>
                <w:color w:val="8A3B12"/>
                <w:sz w:val="18"/>
                <w:szCs w:val="18"/>
              </w:rPr>
              <w:t xml:space="preserve">id_set</w:t>
            </w:r>
            <w:r>
              <w:rPr>
                <w:sz w:val="18"/>
                <w:szCs w:val="18"/>
              </w:rPr>
              <w:t xml:space="preserve"> mode</w:t>
            </w:r>
          </w:p>
        </w:tc>
        <w:tc>
          <w:tcPr>
            <w:tcW w:type="dxa" w:w="17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Hash mismatch between macOS and Linux</w:t>
            </w:r>
          </w:p>
        </w:tc>
      </w:tr>
      <w:tr>
        <w:trPr>
          <w:cantSplit/>
        </w:trPr>
        <w:tc>
          <w:tcPr>
            <w:tcW w:type="dxa" w:w="501"/>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R6</w:t>
            </w:r>
          </w:p>
        </w:tc>
        <w:tc>
          <w:tcPr>
            <w:tcW w:type="dxa" w:w="185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My changes break existing production features</w:t>
            </w:r>
          </w:p>
        </w:tc>
        <w:tc>
          <w:tcPr>
            <w:tcW w:type="dxa" w:w="461"/>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L</w:t>
            </w:r>
          </w:p>
        </w:tc>
        <w:tc>
          <w:tcPr>
            <w:tcW w:type="dxa" w:w="461"/>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H</w:t>
            </w:r>
          </w:p>
        </w:tc>
        <w:tc>
          <w:tcPr>
            <w:tcW w:type="dxa" w:w="205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Feature flags default off; additive migrations; regression tests; staging first</w:t>
            </w:r>
          </w:p>
        </w:tc>
        <w:tc>
          <w:tcPr>
            <w:tcW w:type="dxa" w:w="195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Turn flag off; revert the PR</w:t>
            </w:r>
          </w:p>
        </w:tc>
        <w:tc>
          <w:tcPr>
            <w:tcW w:type="dxa" w:w="173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Errors in staging logs</w:t>
            </w:r>
          </w:p>
        </w:tc>
      </w:tr>
      <w:tr>
        <w:trPr>
          <w:cantSplit/>
        </w:trPr>
        <w:tc>
          <w:tcPr>
            <w:tcW w:type="dxa" w:w="501"/>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R7</w:t>
            </w:r>
          </w:p>
        </w:tc>
        <w:tc>
          <w:tcPr>
            <w:tcW w:type="dxa" w:w="185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RA notation or topics differ from the course syllabus</w:t>
            </w:r>
          </w:p>
        </w:tc>
        <w:tc>
          <w:tcPr>
            <w:tcW w:type="dxa" w:w="461"/>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M</w:t>
            </w:r>
          </w:p>
        </w:tc>
        <w:tc>
          <w:tcPr>
            <w:tcW w:type="dxa" w:w="461"/>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L</w:t>
            </w:r>
          </w:p>
        </w:tc>
        <w:tc>
          <w:tcPr>
            <w:tcW w:type="dxa" w:w="205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Confirm notation (O-1); grammar accepts aliases</w:t>
            </w:r>
          </w:p>
        </w:tc>
        <w:tc>
          <w:tcPr>
            <w:tcW w:type="dxa" w:w="195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Add the course notation as another form of the syntax</w:t>
            </w:r>
          </w:p>
        </w:tc>
        <w:tc>
          <w:tcPr>
            <w:tcW w:type="dxa" w:w="17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Supervisor feedback</w:t>
            </w:r>
          </w:p>
        </w:tc>
      </w:tr>
      <w:tr>
        <w:trPr>
          <w:cantSplit/>
        </w:trPr>
        <w:tc>
          <w:tcPr>
            <w:tcW w:type="dxa" w:w="501"/>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R8</w:t>
            </w:r>
          </w:p>
        </w:tc>
        <w:tc>
          <w:tcPr>
            <w:tcW w:type="dxa" w:w="185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Ethics approval or student access for the evaluation is delayed</w:t>
            </w:r>
          </w:p>
        </w:tc>
        <w:tc>
          <w:tcPr>
            <w:tcW w:type="dxa" w:w="461"/>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M</w:t>
            </w:r>
          </w:p>
        </w:tc>
        <w:tc>
          <w:tcPr>
            <w:tcW w:type="dxa" w:w="461"/>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M</w:t>
            </w:r>
          </w:p>
        </w:tc>
        <w:tc>
          <w:tcPr>
            <w:tcW w:type="dxa" w:w="205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Apply early (by W8); design the study now</w:t>
            </w:r>
          </w:p>
        </w:tc>
        <w:tc>
          <w:tcPr>
            <w:tcW w:type="dxa" w:w="195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Staff/peer usability study + think-aloud</w:t>
            </w:r>
          </w:p>
        </w:tc>
        <w:tc>
          <w:tcPr>
            <w:tcW w:type="dxa" w:w="173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No approval by W20</w:t>
            </w:r>
          </w:p>
        </w:tc>
      </w:tr>
      <w:tr>
        <w:trPr>
          <w:cantSplit/>
        </w:trPr>
        <w:tc>
          <w:tcPr>
            <w:tcW w:type="dxa" w:w="501"/>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R9</w:t>
            </w:r>
          </w:p>
        </w:tc>
        <w:tc>
          <w:tcPr>
            <w:tcW w:type="dxa" w:w="185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No access to staging/production (Azure, secrets)</w:t>
            </w:r>
          </w:p>
        </w:tc>
        <w:tc>
          <w:tcPr>
            <w:tcW w:type="dxa" w:w="461"/>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L</w:t>
            </w:r>
          </w:p>
        </w:tc>
        <w:tc>
          <w:tcPr>
            <w:tcW w:type="dxa" w:w="461"/>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M</w:t>
            </w:r>
          </w:p>
        </w:tc>
        <w:tc>
          <w:tcPr>
            <w:tcW w:type="dxa" w:w="205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Request access at this meeting</w:t>
            </w:r>
          </w:p>
        </w:tc>
        <w:tc>
          <w:tcPr>
            <w:tcW w:type="dxa" w:w="195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Evaluate on a local or university-hosted instance</w:t>
            </w:r>
          </w:p>
        </w:tc>
        <w:tc>
          <w:tcPr>
            <w:tcW w:type="dxa" w:w="17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No access by W15</w:t>
            </w:r>
          </w:p>
        </w:tc>
      </w:tr>
      <w:tr>
        <w:trPr>
          <w:cantSplit/>
        </w:trPr>
        <w:tc>
          <w:tcPr>
            <w:tcW w:type="dxa" w:w="501"/>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R10</w:t>
            </w:r>
          </w:p>
        </w:tc>
        <w:tc>
          <w:tcPr>
            <w:tcW w:type="dxa" w:w="185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Exams and other coursework reduce available time</w:t>
            </w:r>
          </w:p>
        </w:tc>
        <w:tc>
          <w:tcPr>
            <w:tcW w:type="dxa" w:w="461"/>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M</w:t>
            </w:r>
          </w:p>
        </w:tc>
        <w:tc>
          <w:tcPr>
            <w:tcW w:type="dxa" w:w="461"/>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H</w:t>
            </w:r>
          </w:p>
        </w:tc>
        <w:tc>
          <w:tcPr>
            <w:tcW w:type="dxa" w:w="205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Plan the exam period as a buffer; front-load RA</w:t>
            </w:r>
          </w:p>
        </w:tc>
        <w:tc>
          <w:tcPr>
            <w:tcW w:type="dxa" w:w="195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Use the scope ladder</w:t>
            </w:r>
          </w:p>
        </w:tc>
        <w:tc>
          <w:tcPr>
            <w:tcW w:type="dxa" w:w="173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Weekly hours below plan for 2 weeks</w:t>
            </w:r>
          </w:p>
        </w:tc>
      </w:tr>
      <w:tr>
        <w:trPr>
          <w:cantSplit/>
        </w:trPr>
        <w:tc>
          <w:tcPr>
            <w:tcW w:type="dxa" w:w="501"/>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R11</w:t>
            </w:r>
          </w:p>
        </w:tc>
        <w:tc>
          <w:tcPr>
            <w:tcW w:type="dxa" w:w="185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LLM API cost or availability affects tutor features</w:t>
            </w:r>
          </w:p>
        </w:tc>
        <w:tc>
          <w:tcPr>
            <w:tcW w:type="dxa" w:w="461"/>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L</w:t>
            </w:r>
          </w:p>
        </w:tc>
        <w:tc>
          <w:tcPr>
            <w:tcW w:type="dxa" w:w="461"/>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M</w:t>
            </w:r>
          </w:p>
        </w:tc>
        <w:tc>
          <w:tcPr>
            <w:tcW w:type="dxa" w:w="205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Deterministic hints first; LLM only for tutoring</w:t>
            </w:r>
          </w:p>
        </w:tc>
        <w:tc>
          <w:tcPr>
            <w:tcW w:type="dxa" w:w="195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Tutor features become optional</w:t>
            </w:r>
          </w:p>
        </w:tc>
        <w:tc>
          <w:tcPr>
            <w:tcW w:type="dxa" w:w="173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API errors / budget alerts</w:t>
            </w:r>
          </w:p>
        </w:tc>
      </w:tr>
      <w:tr>
        <w:trPr>
          <w:cantSplit/>
        </w:trPr>
        <w:tc>
          <w:tcPr>
            <w:tcW w:type="dxa" w:w="501"/>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R12</w:t>
            </w:r>
          </w:p>
        </w:tc>
        <w:tc>
          <w:tcPr>
            <w:tcW w:type="dxa" w:w="185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Missing inherited artefacts: </w:t>
            </w:r>
            <w:r>
              <w:rPr>
                <w:rFonts w:ascii="Consolas" w:cs="Consolas" w:eastAsia="Consolas" w:hAnsi="Consolas"/>
                <w:color w:val="8A3B12"/>
                <w:sz w:val="18"/>
                <w:szCs w:val="18"/>
              </w:rPr>
              <w:t xml:space="preserve">docs/</w:t>
            </w:r>
            <w:r>
              <w:rPr>
                <w:sz w:val="18"/>
                <w:szCs w:val="18"/>
              </w:rPr>
              <w:t xml:space="preserve"> and the ERD test suite are gitignored; no frontend tests</w:t>
            </w:r>
          </w:p>
        </w:tc>
        <w:tc>
          <w:tcPr>
            <w:tcW w:type="dxa" w:w="461"/>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M</w:t>
            </w:r>
          </w:p>
        </w:tc>
        <w:tc>
          <w:tcPr>
            <w:tcW w:type="dxa" w:w="461"/>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M</w:t>
            </w:r>
          </w:p>
        </w:tc>
        <w:tc>
          <w:tcPr>
            <w:tcW w:type="dxa" w:w="205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Don’t rely on them; write my own tests for touched code</w:t>
            </w:r>
          </w:p>
        </w:tc>
        <w:tc>
          <w:tcPr>
            <w:tcW w:type="dxa" w:w="195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Ask the previous maintainers for the files</w:t>
            </w:r>
          </w:p>
        </w:tc>
        <w:tc>
          <w:tcPr>
            <w:tcW w:type="dxa" w:w="173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Unexpected behaviour in untested code</w:t>
            </w:r>
          </w:p>
        </w:tc>
      </w:tr>
    </w:tbl>
    <w:p>
      <w:pPr>
        <w:spacing w:after="100"/>
      </w:pPr>
    </w:p>
    <w:p>
      <w:pPr>
        <w:pStyle w:val="Heading1"/>
        <w:pageBreakBefore/>
      </w:pPr>
      <w:r>
        <w:t xml:space="preserve">5. Open questions for my supervisor</w:t>
      </w:r>
    </w:p>
    <w:p>
      <w:pPr>
        <w:spacing w:after="120" w:line="276"/>
      </w:pPr>
      <w:r>
        <w:t xml:space="preserve">Each question has my proposed default, so the project can go ahead even if an answer takes time, and the week by which I need the answer.</w:t>
      </w:r>
    </w:p>
    <w:p>
      <w:pPr>
        <w:spacing w:after="60" w:before="120"/>
      </w:pPr>
      <w:r>
        <w:rPr>
          <w:b/>
          <w:bCs/>
          <w:color w:val="1F3A5F"/>
          <w:sz w:val="18"/>
          <w:szCs w:val="18"/>
        </w:rPr>
        <w:t xml:space="preserve">Table 7. </w:t>
      </w:r>
      <w:r>
        <w:rPr>
          <w:color w:val="1F3A5F"/>
          <w:sz w:val="18"/>
          <w:szCs w:val="18"/>
        </w:rPr>
        <w:t xml:space="preserve">Open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9"/>
        <w:gridCol w:w="2833"/>
        <w:gridCol w:w="1679"/>
        <w:gridCol w:w="2728"/>
        <w:gridCol w:w="1157"/>
      </w:tblGrid>
      <w:tr>
        <w:trPr>
          <w:tblHeader/>
        </w:trPr>
        <w:tc>
          <w:tcPr>
            <w:tcW w:type="dxa" w:w="629"/>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ID</w:t>
            </w:r>
          </w:p>
        </w:tc>
        <w:tc>
          <w:tcPr>
            <w:tcW w:type="dxa" w:w="2833"/>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Question</w:t>
            </w:r>
          </w:p>
        </w:tc>
        <w:tc>
          <w:tcPr>
            <w:tcW w:type="dxa" w:w="1679"/>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Why it matters</w:t>
            </w:r>
          </w:p>
        </w:tc>
        <w:tc>
          <w:tcPr>
            <w:tcW w:type="dxa" w:w="2728"/>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My proposed default</w:t>
            </w:r>
          </w:p>
        </w:tc>
        <w:tc>
          <w:tcPr>
            <w:tcW w:type="dxa" w:w="1157"/>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Needed by</w:t>
            </w:r>
          </w:p>
        </w:tc>
      </w:tr>
      <w:tr>
        <w:trPr>
          <w:cantSplit/>
        </w:trPr>
        <w:tc>
          <w:tcPr>
            <w:tcW w:type="dxa" w:w="629"/>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O-1</w:t>
            </w:r>
          </w:p>
        </w:tc>
        <w:tc>
          <w:tcPr>
            <w:tcW w:type="dxa" w:w="2833"/>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Which relational-algebra notation does the course use (bracket or subscript style; symbols)?</w:t>
            </w:r>
          </w:p>
        </w:tc>
        <w:tc>
          <w:tcPr>
            <w:tcW w:type="dxa" w:w="1679"/>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Grammar and student familiarity</w:t>
            </w:r>
          </w:p>
        </w:tc>
        <w:tc>
          <w:tcPr>
            <w:tcW w:type="dxa" w:w="272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Accept both brackets and ASCII; add the course style as another form of the syntax</w:t>
            </w:r>
          </w:p>
        </w:tc>
        <w:tc>
          <w:tcPr>
            <w:tcW w:type="dxa" w:w="1157"/>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W3</w:t>
            </w:r>
          </w:p>
        </w:tc>
      </w:tr>
      <w:tr>
        <w:trPr>
          <w:cantSplit/>
        </w:trPr>
        <w:tc>
          <w:tcPr>
            <w:tcW w:type="dxa" w:w="629"/>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O-2</w:t>
            </w:r>
          </w:p>
        </w:tc>
        <w:tc>
          <w:tcPr>
            <w:tcW w:type="dxa" w:w="2833"/>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Should extended operators (γ aggregation, outer joins, semi-join) be in scope?</w:t>
            </w:r>
          </w:p>
        </w:tc>
        <w:tc>
          <w:tcPr>
            <w:tcW w:type="dxa" w:w="1679"/>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Scope</w:t>
            </w:r>
          </w:p>
        </w:tc>
        <w:tc>
          <w:tcPr>
            <w:tcW w:type="dxa" w:w="272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“Could” priority — only if time allows</w:t>
            </w:r>
          </w:p>
        </w:tc>
        <w:tc>
          <w:tcPr>
            <w:tcW w:type="dxa" w:w="1157"/>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W5</w:t>
            </w:r>
          </w:p>
        </w:tc>
      </w:tr>
      <w:tr>
        <w:trPr>
          <w:cantSplit/>
        </w:trPr>
        <w:tc>
          <w:tcPr>
            <w:tcW w:type="dxa" w:w="629"/>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O-3</w:t>
            </w:r>
          </w:p>
        </w:tc>
        <w:tc>
          <w:tcPr>
            <w:tcW w:type="dxa" w:w="2833"/>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Set or bag semantics for RA?</w:t>
            </w:r>
          </w:p>
        </w:tc>
        <w:tc>
          <w:tcPr>
            <w:tcW w:type="dxa" w:w="1679"/>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Grading correctness</w:t>
            </w:r>
          </w:p>
        </w:tc>
        <w:tc>
          <w:tcPr>
            <w:tcW w:type="dxa" w:w="272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Set semantics (textbook)</w:t>
            </w:r>
          </w:p>
        </w:tc>
        <w:tc>
          <w:tcPr>
            <w:tcW w:type="dxa" w:w="1157"/>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W5</w:t>
            </w:r>
          </w:p>
        </w:tc>
      </w:tr>
      <w:tr>
        <w:trPr>
          <w:cantSplit/>
        </w:trPr>
        <w:tc>
          <w:tcPr>
            <w:tcW w:type="dxa" w:w="629"/>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O-4</w:t>
            </w:r>
          </w:p>
        </w:tc>
        <w:tc>
          <w:tcPr>
            <w:tcW w:type="dxa" w:w="2833"/>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Should students see the generated SQL during assessments?</w:t>
            </w:r>
          </w:p>
        </w:tc>
        <w:tc>
          <w:tcPr>
            <w:tcW w:type="dxa" w:w="1679"/>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Assessment integrity</w:t>
            </w:r>
          </w:p>
        </w:tc>
        <w:tc>
          <w:tcPr>
            <w:tcW w:type="dxa" w:w="272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Hidden in assessments, visible in practice</w:t>
            </w:r>
          </w:p>
        </w:tc>
        <w:tc>
          <w:tcPr>
            <w:tcW w:type="dxa" w:w="1157"/>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W8</w:t>
            </w:r>
          </w:p>
        </w:tc>
      </w:tr>
      <w:tr>
        <w:trPr>
          <w:cantSplit/>
        </w:trPr>
        <w:tc>
          <w:tcPr>
            <w:tcW w:type="dxa" w:w="629"/>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O-5</w:t>
            </w:r>
          </w:p>
        </w:tc>
        <w:tc>
          <w:tcPr>
            <w:tcW w:type="dxa" w:w="2833"/>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Is vector search part of the syllabus, or an enrichment module?</w:t>
            </w:r>
          </w:p>
        </w:tc>
        <w:tc>
          <w:tcPr>
            <w:tcW w:type="dxa" w:w="1679"/>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Depth and tone of content</w:t>
            </w:r>
          </w:p>
        </w:tc>
        <w:tc>
          <w:tcPr>
            <w:tcW w:type="dxa" w:w="272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Enrichment module, 2–3 labs</w:t>
            </w:r>
          </w:p>
        </w:tc>
        <w:tc>
          <w:tcPr>
            <w:tcW w:type="dxa" w:w="1157"/>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W12</w:t>
            </w:r>
          </w:p>
        </w:tc>
      </w:tr>
      <w:tr>
        <w:trPr>
          <w:cantSplit/>
        </w:trPr>
        <w:tc>
          <w:tcPr>
            <w:tcW w:type="dxa" w:w="629"/>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O-6</w:t>
            </w:r>
          </w:p>
        </w:tc>
        <w:tc>
          <w:tcPr>
            <w:tcW w:type="dxa" w:w="2833"/>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May I use an OpenAI API key to pre-compute embeddings for a Tier-2 lab?</w:t>
            </w:r>
          </w:p>
        </w:tc>
        <w:tc>
          <w:tcPr>
            <w:tcW w:type="dxa" w:w="1679"/>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Cost and policy</w:t>
            </w:r>
          </w:p>
        </w:tc>
        <w:tc>
          <w:tcPr>
            <w:tcW w:type="dxa" w:w="272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Yes, offline and one-off, cost &lt; US$1</w:t>
            </w:r>
          </w:p>
        </w:tc>
        <w:tc>
          <w:tcPr>
            <w:tcW w:type="dxa" w:w="1157"/>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W15</w:t>
            </w:r>
          </w:p>
        </w:tc>
      </w:tr>
      <w:tr>
        <w:trPr>
          <w:cantSplit/>
        </w:trPr>
        <w:tc>
          <w:tcPr>
            <w:tcW w:type="dxa" w:w="629"/>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O-7</w:t>
            </w:r>
          </w:p>
        </w:tc>
        <w:tc>
          <w:tcPr>
            <w:tcW w:type="dxa" w:w="2833"/>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Can I get access to a staging slot on Azure App Service (for the sqlite-vec spike)?</w:t>
            </w:r>
          </w:p>
        </w:tc>
        <w:tc>
          <w:tcPr>
            <w:tcW w:type="dxa" w:w="1679"/>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Risk R1, R9</w:t>
            </w:r>
          </w:p>
        </w:tc>
        <w:tc>
          <w:tcPr>
            <w:tcW w:type="dxa" w:w="272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Request now; test locally until then</w:t>
            </w:r>
          </w:p>
        </w:tc>
        <w:tc>
          <w:tcPr>
            <w:tcW w:type="dxa" w:w="1157"/>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W6 (ideally)</w:t>
            </w:r>
          </w:p>
        </w:tc>
      </w:tr>
      <w:tr>
        <w:trPr>
          <w:cantSplit/>
        </w:trPr>
        <w:tc>
          <w:tcPr>
            <w:tcW w:type="dxa" w:w="629"/>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O-8</w:t>
            </w:r>
          </w:p>
        </w:tc>
        <w:tc>
          <w:tcPr>
            <w:tcW w:type="dxa" w:w="2833"/>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Is ethics approval required for the student pilot, and who is the approving body?</w:t>
            </w:r>
          </w:p>
        </w:tc>
        <w:tc>
          <w:tcPr>
            <w:tcW w:type="dxa" w:w="1679"/>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Evaluation (R8)</w:t>
            </w:r>
          </w:p>
        </w:tc>
        <w:tc>
          <w:tcPr>
            <w:tcW w:type="dxa" w:w="272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Assume yes; submit by W8</w:t>
            </w:r>
          </w:p>
        </w:tc>
        <w:tc>
          <w:tcPr>
            <w:tcW w:type="dxa" w:w="1157"/>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W6</w:t>
            </w:r>
          </w:p>
        </w:tc>
      </w:tr>
      <w:tr>
        <w:trPr>
          <w:cantSplit/>
        </w:trPr>
        <w:tc>
          <w:tcPr>
            <w:tcW w:type="dxa" w:w="629"/>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O-9</w:t>
            </w:r>
          </w:p>
        </w:tc>
        <w:tc>
          <w:tcPr>
            <w:tcW w:type="dxa" w:w="2833"/>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Can the pilot run with the current course cohort, and when?</w:t>
            </w:r>
          </w:p>
        </w:tc>
        <w:tc>
          <w:tcPr>
            <w:tcW w:type="dxa" w:w="1679"/>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Evaluation timing</w:t>
            </w:r>
          </w:p>
        </w:tc>
        <w:tc>
          <w:tcPr>
            <w:tcW w:type="dxa" w:w="272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Weeks 23–26</w:t>
            </w:r>
          </w:p>
        </w:tc>
        <w:tc>
          <w:tcPr>
            <w:tcW w:type="dxa" w:w="1157"/>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W12</w:t>
            </w:r>
          </w:p>
        </w:tc>
      </w:tr>
      <w:tr>
        <w:trPr>
          <w:cantSplit/>
        </w:trPr>
        <w:tc>
          <w:tcPr>
            <w:tcW w:type="dxa" w:w="629"/>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O-10</w:t>
            </w:r>
          </w:p>
        </w:tc>
        <w:tc>
          <w:tcPr>
            <w:tcW w:type="dxa" w:w="2833"/>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May I contact the previous maintainers for the gitignored files (</w:t>
            </w:r>
            <w:r>
              <w:rPr>
                <w:rFonts w:ascii="Consolas" w:cs="Consolas" w:eastAsia="Consolas" w:hAnsi="Consolas"/>
                <w:color w:val="8A3B12"/>
                <w:sz w:val="18"/>
                <w:szCs w:val="18"/>
              </w:rPr>
              <w:t xml:space="preserve">docs/</w:t>
            </w:r>
            <w:r>
              <w:rPr>
                <w:sz w:val="18"/>
                <w:szCs w:val="18"/>
              </w:rPr>
              <w:t xml:space="preserve">, ERD tests)?</w:t>
            </w:r>
          </w:p>
        </w:tc>
        <w:tc>
          <w:tcPr>
            <w:tcW w:type="dxa" w:w="1679"/>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Risk R12</w:t>
            </w:r>
          </w:p>
        </w:tc>
        <w:tc>
          <w:tcPr>
            <w:tcW w:type="dxa" w:w="272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Yes, via the supervisor</w:t>
            </w:r>
          </w:p>
        </w:tc>
        <w:tc>
          <w:tcPr>
            <w:tcW w:type="dxa" w:w="1157"/>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W4</w:t>
            </w:r>
          </w:p>
        </w:tc>
      </w:tr>
      <w:tr>
        <w:trPr>
          <w:cantSplit/>
        </w:trPr>
        <w:tc>
          <w:tcPr>
            <w:tcW w:type="dxa" w:w="629"/>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O-11</w:t>
            </w:r>
          </w:p>
        </w:tc>
        <w:tc>
          <w:tcPr>
            <w:tcW w:type="dxa" w:w="2833"/>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Should the new features eventually be deployed to production (ntuakela.net), or only demonstrated on staging?</w:t>
            </w:r>
          </w:p>
        </w:tc>
        <w:tc>
          <w:tcPr>
            <w:tcW w:type="dxa" w:w="1679"/>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Deployment work and risk</w:t>
            </w:r>
          </w:p>
        </w:tc>
        <w:tc>
          <w:tcPr>
            <w:tcW w:type="dxa" w:w="2728"/>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Staging for the FYP; production at the course team’s discretion</w:t>
            </w:r>
          </w:p>
        </w:tc>
        <w:tc>
          <w:tcPr>
            <w:tcW w:type="dxa" w:w="1157"/>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W20</w:t>
            </w:r>
          </w:p>
        </w:tc>
      </w:tr>
      <w:tr>
        <w:trPr>
          <w:cantSplit/>
        </w:trPr>
        <w:tc>
          <w:tcPr>
            <w:tcW w:type="dxa" w:w="629"/>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O-12</w:t>
            </w:r>
          </w:p>
        </w:tc>
        <w:tc>
          <w:tcPr>
            <w:tcW w:type="dxa" w:w="2833"/>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How will the FYP be assessed (report weighting, demo, code quality)?</w:t>
            </w:r>
          </w:p>
        </w:tc>
        <w:tc>
          <w:tcPr>
            <w:tcW w:type="dxa" w:w="1679"/>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Where to invest effort</w:t>
            </w:r>
          </w:p>
        </w:tc>
        <w:tc>
          <w:tcPr>
            <w:tcW w:type="dxa" w:w="2728"/>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Follow the school’s FYP guidelines</w:t>
            </w:r>
          </w:p>
        </w:tc>
        <w:tc>
          <w:tcPr>
            <w:tcW w:type="dxa" w:w="1157"/>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W4</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07B00" w:sz="24"/>
              <w:bottom w:val="none" w:color="FFFFFF" w:sz="0"/>
              <w:right w:val="none" w:color="FFFFFF" w:sz="0"/>
            </w:tcBorders>
            <w:shd w:fill="FFF4E5" w:color="auto" w:val="clear"/>
            <w:tcMar>
              <w:top w:type="dxa" w:w="100"/>
              <w:left w:type="dxa" w:w="180"/>
              <w:bottom w:type="dxa" w:w="100"/>
              <w:right w:type="dxa" w:w="180"/>
            </w:tcMar>
          </w:tcPr>
          <w:p>
            <w:pPr>
              <w:spacing w:after="60"/>
            </w:pPr>
            <w:r>
              <w:rPr>
                <w:b/>
                <w:bCs/>
                <w:color w:val="E07B00"/>
                <w:sz w:val="20"/>
                <w:szCs w:val="20"/>
              </w:rPr>
              <w:t xml:space="preserve">The three decisions I most need at this meeting</w:t>
            </w:r>
          </w:p>
          <w:p>
            <w:pPr>
              <w:pStyle w:val="ListParagraph"/>
              <w:numPr>
                <w:ilvl w:val="0"/>
                <w:numId w:val="2"/>
              </w:numPr>
              <w:spacing w:after="60" w:line="264"/>
            </w:pPr>
            <w:r>
              <w:rPr>
                <w:b/>
                <w:bCs/>
              </w:rPr>
              <w:t xml:space="preserve">O-1</w:t>
            </w:r>
            <w:r>
              <w:t xml:space="preserve"> — the RA notation, because the parser is next on the plan.</w:t>
            </w:r>
          </w:p>
          <w:p>
            <w:pPr>
              <w:pStyle w:val="ListParagraph"/>
              <w:numPr>
                <w:ilvl w:val="0"/>
                <w:numId w:val="2"/>
              </w:numPr>
              <w:spacing w:after="60" w:line="264"/>
            </w:pPr>
            <w:r>
              <w:rPr>
                <w:b/>
                <w:bCs/>
              </w:rPr>
              <w:t xml:space="preserve">O-7</w:t>
            </w:r>
            <w:r>
              <w:t xml:space="preserve"> — staging access, because it settles the biggest technical risk (R1) early.</w:t>
            </w:r>
          </w:p>
          <w:p>
            <w:pPr>
              <w:pStyle w:val="ListParagraph"/>
              <w:numPr>
                <w:ilvl w:val="0"/>
                <w:numId w:val="2"/>
              </w:numPr>
              <w:spacing w:after="60" w:line="264"/>
            </w:pPr>
            <w:r>
              <w:rPr>
                <w:b/>
                <w:bCs/>
              </w:rPr>
              <w:t xml:space="preserve">O-8</w:t>
            </w:r>
            <w:r>
              <w:t xml:space="preserve"> — whether ethics approval is needed, because it has the longest lead time.</w:t>
            </w:r>
          </w:p>
        </w:tc>
      </w:tr>
    </w:tbl>
    <w:p>
      <w:pPr>
        <w:spacing w:after="100"/>
      </w:pPr>
    </w:p>
    <w:p>
      <w:pPr>
        <w:pStyle w:val="Heading1"/>
        <w:pageBreakBefore/>
      </w:pPr>
      <w:r>
        <w:t xml:space="preserve">6. Plan for the next two weeks (W3–W4)</w:t>
      </w:r>
    </w:p>
    <w:p>
      <w:pPr>
        <w:spacing w:after="60" w:before="120"/>
      </w:pPr>
      <w:r>
        <w:rPr>
          <w:b/>
          <w:bCs/>
          <w:color w:val="1F3A5F"/>
          <w:sz w:val="18"/>
          <w:szCs w:val="18"/>
        </w:rPr>
        <w:t xml:space="preserve">Table 8. </w:t>
      </w:r>
      <w:r>
        <w:rPr>
          <w:color w:val="1F3A5F"/>
          <w:sz w:val="18"/>
          <w:szCs w:val="18"/>
        </w:rPr>
        <w:t xml:space="preserve">Next-two-weeks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
        <w:gridCol w:w="5515"/>
        <w:gridCol w:w="3010"/>
      </w:tblGrid>
      <w:tr>
        <w:trPr>
          <w:tblHeader/>
        </w:trPr>
        <w:tc>
          <w:tcPr>
            <w:tcW w:type="dxa" w:w="501"/>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w:t>
            </w:r>
          </w:p>
        </w:tc>
        <w:tc>
          <w:tcPr>
            <w:tcW w:type="dxa" w:w="5515"/>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Task</w:t>
            </w:r>
          </w:p>
        </w:tc>
        <w:tc>
          <w:tcPr>
            <w:tcW w:type="dxa" w:w="301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tcPr>
          <w:p>
            <w:pPr>
              <w:spacing w:after="20" w:line="250"/>
            </w:pPr>
            <w:r>
              <w:rPr>
                <w:b/>
                <w:bCs/>
                <w:color w:val="FFFFFF"/>
                <w:sz w:val="18"/>
                <w:szCs w:val="18"/>
              </w:rPr>
              <w:t xml:space="preserve">Output</w:t>
            </w:r>
          </w:p>
        </w:tc>
      </w:tr>
      <w:tr>
        <w:trPr>
          <w:cantSplit/>
        </w:trPr>
        <w:tc>
          <w:tcPr>
            <w:tcW w:type="dxa" w:w="501"/>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1</w:t>
            </w:r>
          </w:p>
        </w:tc>
        <w:tc>
          <w:tcPr>
            <w:tcW w:type="dxa" w:w="551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Tag the baseline; set up </w:t>
            </w:r>
            <w:r>
              <w:rPr>
                <w:rFonts w:ascii="Consolas" w:cs="Consolas" w:eastAsia="Consolas" w:hAnsi="Consolas"/>
                <w:color w:val="8A3B12"/>
                <w:sz w:val="18"/>
                <w:szCs w:val="18"/>
              </w:rPr>
              <w:t xml:space="preserve">FYP_CHANGELOG.md</w:t>
            </w:r>
            <w:r>
              <w:rPr>
                <w:sz w:val="18"/>
                <w:szCs w:val="18"/>
              </w:rPr>
              <w:t xml:space="preserve"> and a committed </w:t>
            </w:r>
            <w:r>
              <w:rPr>
                <w:rFonts w:ascii="Consolas" w:cs="Consolas" w:eastAsia="Consolas" w:hAnsi="Consolas"/>
                <w:color w:val="8A3B12"/>
                <w:sz w:val="18"/>
                <w:szCs w:val="18"/>
              </w:rPr>
              <w:t xml:space="preserve">fyp-docs/</w:t>
            </w:r>
            <w:r>
              <w:rPr>
                <w:sz w:val="18"/>
                <w:szCs w:val="18"/>
              </w:rPr>
              <w:t xml:space="preserve"> folder</w:t>
            </w:r>
          </w:p>
        </w:tc>
        <w:tc>
          <w:tcPr>
            <w:tcW w:type="dxa" w:w="301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Tag + files in the repository</w:t>
            </w:r>
          </w:p>
        </w:tc>
      </w:tr>
      <w:tr>
        <w:trPr>
          <w:cantSplit/>
        </w:trPr>
        <w:tc>
          <w:tcPr>
            <w:tcW w:type="dxa" w:w="501"/>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2</w:t>
            </w:r>
          </w:p>
        </w:tc>
        <w:tc>
          <w:tcPr>
            <w:tcW w:type="dxa" w:w="551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Write regression tests for the current lab flows (SQL and Graph)</w:t>
            </w:r>
          </w:p>
        </w:tc>
        <w:tc>
          <w:tcPr>
            <w:tcW w:type="dxa" w:w="3010"/>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Passing test suite that pins current behaviour</w:t>
            </w:r>
          </w:p>
        </w:tc>
      </w:tr>
      <w:tr>
        <w:trPr>
          <w:cantSplit/>
        </w:trPr>
        <w:tc>
          <w:tcPr>
            <w:tcW w:type="dxa" w:w="501"/>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3</w:t>
            </w:r>
          </w:p>
        </w:tc>
        <w:tc>
          <w:tcPr>
            <w:tcW w:type="dxa" w:w="551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Implement </w:t>
            </w:r>
            <w:r>
              <w:rPr>
                <w:rFonts w:ascii="Consolas" w:cs="Consolas" w:eastAsia="Consolas" w:hAnsi="Consolas"/>
                <w:color w:val="8A3B12"/>
                <w:sz w:val="18"/>
                <w:szCs w:val="18"/>
              </w:rPr>
              <w:t xml:space="preserve">core/lab_engines.py</w:t>
            </w:r>
            <w:r>
              <w:rPr>
                <w:sz w:val="18"/>
                <w:szCs w:val="18"/>
              </w:rPr>
              <w:t xml:space="preserve"> and switch </w:t>
            </w:r>
            <w:r>
              <w:rPr>
                <w:rFonts w:ascii="Consolas" w:cs="Consolas" w:eastAsia="Consolas" w:hAnsi="Consolas"/>
                <w:color w:val="8A3B12"/>
                <w:sz w:val="18"/>
                <w:szCs w:val="18"/>
              </w:rPr>
              <w:t xml:space="preserve">labs.py</w:t>
            </w:r>
            <w:r>
              <w:rPr>
                <w:sz w:val="18"/>
                <w:szCs w:val="18"/>
              </w:rPr>
              <w:t xml:space="preserve"> + </w:t>
            </w:r>
            <w:r>
              <w:rPr>
                <w:rFonts w:ascii="Consolas" w:cs="Consolas" w:eastAsia="Consolas" w:hAnsi="Consolas"/>
                <w:color w:val="8A3B12"/>
                <w:sz w:val="18"/>
                <w:szCs w:val="18"/>
              </w:rPr>
              <w:t xml:space="preserve">student_report.py</w:t>
            </w:r>
            <w:r>
              <w:rPr>
                <w:sz w:val="18"/>
                <w:szCs w:val="18"/>
              </w:rPr>
              <w:t xml:space="preserve"> to it</w:t>
            </w:r>
          </w:p>
        </w:tc>
        <w:tc>
          <w:tcPr>
            <w:tcW w:type="dxa" w:w="301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Refactor PR; all regression tests still green</w:t>
            </w:r>
          </w:p>
        </w:tc>
      </w:tr>
      <w:tr>
        <w:trPr>
          <w:cantSplit/>
        </w:trPr>
        <w:tc>
          <w:tcPr>
            <w:tcW w:type="dxa" w:w="501"/>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4</w:t>
            </w:r>
          </w:p>
        </w:tc>
        <w:tc>
          <w:tcPr>
            <w:tcW w:type="dxa" w:w="551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Write the Lark grammar and parser for σ, π, ρ, ×, ⋈, ∪, ∩, − (both notations)</w:t>
            </w:r>
          </w:p>
        </w:tc>
        <w:tc>
          <w:tcPr>
            <w:tcW w:type="dxa" w:w="3010"/>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rFonts w:ascii="Consolas" w:cs="Consolas" w:eastAsia="Consolas" w:hAnsi="Consolas"/>
                <w:color w:val="8A3B12"/>
                <w:sz w:val="18"/>
                <w:szCs w:val="18"/>
              </w:rPr>
              <w:t xml:space="preserve">core/ra/parser.py</w:t>
            </w:r>
            <w:r>
              <w:rPr>
                <w:sz w:val="18"/>
                <w:szCs w:val="18"/>
              </w:rPr>
              <w:t xml:space="preserve"> + golden tests</w:t>
            </w:r>
          </w:p>
        </w:tc>
      </w:tr>
      <w:tr>
        <w:trPr>
          <w:cantSplit/>
        </w:trPr>
        <w:tc>
          <w:tcPr>
            <w:tcW w:type="dxa" w:w="501"/>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5</w:t>
            </w:r>
          </w:p>
        </w:tc>
        <w:tc>
          <w:tcPr>
            <w:tcW w:type="dxa" w:w="5515"/>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Quick sqlite-vec check on any Linux Python 3.11 environment (e.g. Docker)</w:t>
            </w:r>
          </w:p>
        </w:tc>
        <w:tc>
          <w:tcPr>
            <w:tcW w:type="dxa" w:w="3010"/>
            <w:tcBorders>
              <w:top w:val="single" w:color="C9D2DC" w:sz="4"/>
              <w:left w:val="single" w:color="C9D2DC" w:sz="4"/>
              <w:bottom w:val="single" w:color="C9D2DC" w:sz="4"/>
              <w:right w:val="single" w:color="C9D2DC" w:sz="4"/>
            </w:tcBorders>
            <w:tcMar>
              <w:top w:type="dxa" w:w="60"/>
              <w:left w:type="dxa" w:w="100"/>
              <w:bottom w:type="dxa" w:w="60"/>
              <w:right w:type="dxa" w:w="100"/>
            </w:tcMar>
          </w:tcPr>
          <w:p>
            <w:pPr>
              <w:spacing w:after="20" w:line="250"/>
            </w:pPr>
            <w:r>
              <w:rPr>
                <w:sz w:val="18"/>
                <w:szCs w:val="18"/>
              </w:rPr>
              <w:t xml:space="preserve">Half-page note that reduces or confirms R1</w:t>
            </w:r>
          </w:p>
        </w:tc>
      </w:tr>
      <w:tr>
        <w:trPr>
          <w:cantSplit/>
        </w:trPr>
        <w:tc>
          <w:tcPr>
            <w:tcW w:type="dxa" w:w="501"/>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6</w:t>
            </w:r>
          </w:p>
        </w:tc>
        <w:tc>
          <w:tcPr>
            <w:tcW w:type="dxa" w:w="5515"/>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Draft the ethics application (if required)</w:t>
            </w:r>
          </w:p>
        </w:tc>
        <w:tc>
          <w:tcPr>
            <w:tcW w:type="dxa" w:w="3010"/>
            <w:tcBorders>
              <w:top w:val="single" w:color="C9D2DC" w:sz="4"/>
              <w:left w:val="single" w:color="C9D2DC" w:sz="4"/>
              <w:bottom w:val="single" w:color="C9D2DC" w:sz="4"/>
              <w:right w:val="single" w:color="C9D2DC" w:sz="4"/>
            </w:tcBorders>
            <w:shd w:fill="F5F7FA" w:color="auto" w:val="clear"/>
            <w:tcMar>
              <w:top w:type="dxa" w:w="60"/>
              <w:left w:type="dxa" w:w="100"/>
              <w:bottom w:type="dxa" w:w="60"/>
              <w:right w:type="dxa" w:w="100"/>
            </w:tcMar>
          </w:tcPr>
          <w:p>
            <w:pPr>
              <w:spacing w:after="20" w:line="250"/>
            </w:pPr>
            <w:r>
              <w:rPr>
                <w:sz w:val="18"/>
                <w:szCs w:val="18"/>
              </w:rPr>
              <w:t xml:space="preserve">Draft for supervisor review</w:t>
            </w:r>
          </w:p>
        </w:tc>
      </w:tr>
    </w:tbl>
    <w:p>
      <w:pPr>
        <w:spacing w:after="100"/>
      </w:pPr>
    </w:p>
    <w:p>
      <w:pPr>
        <w:pStyle w:val="Heading1"/>
        <w:pageBreakBefore/>
      </w:pPr>
      <w:r>
        <w:t xml:space="preserve">Appendix A. Suggested 15-minute agenda for the progress meeting</w:t>
      </w:r>
    </w:p>
    <w:p>
      <w:pPr>
        <w:pStyle w:val="ListParagraph"/>
        <w:numPr>
          <w:ilvl w:val="0"/>
          <w:numId w:val="3"/>
        </w:numPr>
        <w:spacing w:after="70" w:line="264"/>
      </w:pPr>
      <w:r>
        <w:rPr>
          <w:b/>
          <w:bCs/>
        </w:rPr>
        <w:t xml:space="preserve">(3 min) Demo of the inherited system</w:t>
      </w:r>
      <w:r>
        <w:t xml:space="preserve"> running locally: one SQL question, one lab, one ER exercise, the admin problem bank.</w:t>
      </w:r>
    </w:p>
    <w:p>
      <w:pPr>
        <w:pStyle w:val="ListParagraph"/>
        <w:numPr>
          <w:ilvl w:val="0"/>
          <w:numId w:val="3"/>
        </w:numPr>
        <w:spacing w:after="70" w:line="264"/>
      </w:pPr>
      <w:r>
        <w:rPr>
          <w:b/>
          <w:bCs/>
        </w:rPr>
        <w:t xml:space="preserve">(3 min) Architecture</w:t>
      </w:r>
      <w:r>
        <w:t xml:space="preserve"> — Document 01, current vs proposed figures; the contribution boundary.</w:t>
      </w:r>
    </w:p>
    <w:p>
      <w:pPr>
        <w:pStyle w:val="ListParagraph"/>
        <w:numPr>
          <w:ilvl w:val="0"/>
          <w:numId w:val="3"/>
        </w:numPr>
        <w:spacing w:after="70" w:line="264"/>
      </w:pPr>
      <w:r>
        <w:rPr>
          <w:b/>
          <w:bCs/>
        </w:rPr>
        <w:t xml:space="preserve">(3 min) RA design</w:t>
      </w:r>
      <w:r>
        <w:t xml:space="preserve"> — pipeline figure, one example translation, error messages, wireframe.</w:t>
      </w:r>
    </w:p>
    <w:p>
      <w:pPr>
        <w:pStyle w:val="ListParagraph"/>
        <w:numPr>
          <w:ilvl w:val="0"/>
          <w:numId w:val="3"/>
        </w:numPr>
        <w:spacing w:after="70" w:line="264"/>
      </w:pPr>
      <w:r>
        <w:rPr>
          <w:b/>
          <w:bCs/>
        </w:rPr>
        <w:t xml:space="preserve">(3 min) Vector design</w:t>
      </w:r>
      <w:r>
        <w:t xml:space="preserve"> — why a lab type, sqlite-vec plus fallback, the sample lab and the two findings (extension loading, −0.0).</w:t>
      </w:r>
    </w:p>
    <w:p>
      <w:pPr>
        <w:pStyle w:val="ListParagraph"/>
        <w:numPr>
          <w:ilvl w:val="0"/>
          <w:numId w:val="3"/>
        </w:numPr>
        <w:spacing w:after="70" w:line="264"/>
      </w:pPr>
      <w:r>
        <w:rPr>
          <w:b/>
          <w:bCs/>
        </w:rPr>
        <w:t xml:space="preserve">(3 min) Plan and decisions</w:t>
      </w:r>
      <w:r>
        <w:t xml:space="preserve"> — Gantt chart, top risks, the three decisions needed (O-1, O-7, O-8).</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675"/>
        <w:sz w:val="16"/>
        <w:szCs w:val="16"/>
      </w:rPr>
      <w:t xml:space="preserve">Page </w:t>
    </w:r>
    <w:r>
      <w:rPr>
        <w:color w:val="5B6675"/>
        <w:sz w:val="16"/>
        <w:szCs w:val="16"/>
      </w:rPr>
      <w:fldChar w:fldCharType="begin"/>
      <w:instrText xml:space="preserve">PAGE</w:instrText>
      <w:fldChar w:fldCharType="separate"/>
      <w:fldChar w:fldCharType="end"/>
    </w:r>
    <w:r>
      <w:rPr>
        <w:color w:val="5B6675"/>
        <w:sz w:val="16"/>
        <w:szCs w:val="16"/>
      </w:rPr>
      <w:t xml:space="preserve"> of </w:t>
    </w:r>
    <w:r>
      <w:rPr>
        <w:color w:val="5B66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4" w:space="4"/>
      </w:pBdr>
      <w:jc w:val="right"/>
    </w:pPr>
    <w:r>
      <w:rPr>
        <w:color w:val="5B6675"/>
        <w:sz w:val="16"/>
        <w:szCs w:val="16"/>
      </w:rPr>
      <w:t xml:space="preserve">Akela FYP extension  ·  Timeline, Risks &amp; Open Questions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lvl w:ilvl="2" w15:tentative="1">
      <w:start w:val="1"/>
      <w:numFmt w:val="bullet"/>
      <w:lvlText w:val="·"/>
      <w:lvlJc w:val="left"/>
      <w:pPr>
        <w:ind w:left="156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20" w:before="300"/>
      <w:outlineLvl w:val="1"/>
    </w:pPr>
    <w:rPr>
      <w:rFonts w:ascii="Calibri" w:cs="Calibri" w:eastAsia="Calibri" w:hAnsi="Calibri"/>
      <w:b/>
      <w:bCs/>
      <w:color w:val="1F3A5F"/>
      <w:sz w:val="27"/>
      <w:szCs w:val="27"/>
    </w:rPr>
  </w:style>
  <w:style w:type="paragraph" w:styleId="Heading3">
    <w:name w:val="Heading 3"/>
    <w:basedOn w:val="Normal"/>
    <w:next w:val="Normal"/>
    <w:qFormat/>
    <w:pPr>
      <w:keepNext/>
      <w:spacing w:after="80" w:before="220"/>
      <w:outlineLvl w:val="2"/>
    </w:pPr>
    <w:rPr>
      <w:rFonts w:ascii="Calibri" w:cs="Calibri" w:eastAsia="Calibri" w:hAnsi="Calibri"/>
      <w:b/>
      <w:bCs/>
      <w:color w:val="B35F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a96149d27a9e8e6cf7f6aa610a1c47944f01cbe.png"/><Relationship Id="rId10" Type="http://schemas.openxmlformats.org/officeDocument/2006/relationships/image" Target="media/b6b116635b00acea4c7be7baccd4166f495a86c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Timeline, Risks &amp; Open Questions</dc:title>
  <dc:creator>Sanjana Yalamanchili</dc:creator>
  <cp:lastModifiedBy>Un-named</cp:lastModifiedBy>
  <cp:revision>1</cp:revision>
  <dcterms:created xsi:type="dcterms:W3CDTF">2026-09-24T18:42:13.930Z</dcterms:created>
  <dcterms:modified xsi:type="dcterms:W3CDTF">2026-09-24T18:42:13.930Z</dcterms:modified>
</cp:coreProperties>
</file>

<file path=docProps/custom.xml><?xml version="1.0" encoding="utf-8"?>
<Properties xmlns="http://schemas.openxmlformats.org/officeDocument/2006/custom-properties" xmlns:vt="http://schemas.openxmlformats.org/officeDocument/2006/docPropsVTypes"/>
</file>