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952500" cy="552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WEB MARKETING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COMMERCIAL</w:t>
      </w:r>
    </w:p>
    <w:p>
      <w:pPr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COMMUNICATION</w:t>
      </w:r>
    </w:p>
    <w:p>
      <w:pPr>
        <w:spacing w:after="150"/>
        <w:jc w:val="right"/>
      </w:pPr>
      <w:r>
        <w:rPr>
          <w:rFonts w:ascii="Helvetica" w:cs="Helvetica" w:eastAsia="Helvetica" w:hAnsi="Helvetica"/>
          <w:b/>
          <w:bCs/>
          <w:color w:val="E36A3A"/>
          <w:sz w:val="13"/>
          <w:szCs w:val="13"/>
        </w:rPr>
        <w:t xml:space="preserve">COACHING</w:t>
      </w:r>
    </w:p>
    <w:p>
      <w:pPr>
        <w:spacing w:after="150" w:before="150"/>
        <w:jc w:val="center"/>
      </w:pPr>
      <w:r>
        <w:rPr>
          <w:rFonts w:ascii="Helvetica" w:cs="Helvetica" w:eastAsia="Helvetica" w:hAnsi="Helvetica"/>
          <w:b/>
          <w:bCs/>
          <w:color w:val="333333"/>
          <w:sz w:val="22"/>
          <w:szCs w:val="22"/>
          <w:u w:val="single"/>
        </w:rPr>
        <w:t xml:space="preserve">FICHE PEDAGOGIQUE : {{formation_name}}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Public : {{public}}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Pré requis : {{prerequisites}}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1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shd w:fill="FFF3EC"/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Durée
(en heures)</w:t>
            </w:r>
          </w:p>
        </w:tc>
        <w:tc>
          <w:tcPr>
            <w:tcW w:type="dxa" w:w="22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shd w:fill="FFF3EC"/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Objectifs pédagogiques mesurables
(aptitudes et compétences)</w:t>
            </w:r>
          </w:p>
        </w:tc>
        <w:tc>
          <w:tcPr>
            <w:tcW w:type="dxa" w:w="36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shd w:fill="FFF3EC"/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Contenu pédagogique
par module</w:t>
            </w:r>
          </w:p>
        </w:tc>
        <w:tc>
          <w:tcPr>
            <w:tcW w:type="dxa" w:w="30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shd w:fill="FFF3EC"/>
            <w:vAlign w:val="center"/>
          </w:tcPr>
          <w:p>
            <w:r>
              <w:rPr>
                <w:rFonts w:ascii="Helvetica" w:cs="Helvetica" w:eastAsia="Helvetica" w:hAnsi="Helvetica"/>
                <w:b/>
                <w:bCs/>
                <w:color w:val="333333"/>
                <w:sz w:val="15"/>
                <w:szCs w:val="15"/>
              </w:rPr>
              <w:t xml:space="preserve">Méthodes, moyens et outils
pédagogiques</w:t>
            </w:r>
          </w:p>
        </w:tc>
      </w:tr>
      <w:tr>
        <w:tc>
          <w:tcPr>
            <w:tcW w:type="dxa" w:w="11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vAlign w:val="top"/>
          </w:tcPr>
          <w:p>
            <w:r>
              <w:rPr>
                <w:rFonts w:ascii="Helvetica" w:cs="Helvetica" w:eastAsia="Helvetica" w:hAnsi="Helvetica"/>
                <w:color w:val="333333"/>
                <w:sz w:val="15"/>
                <w:szCs w:val="15"/>
              </w:rPr>
              <w:t xml:space="preserve">{{duration}}h</w:t>
            </w:r>
          </w:p>
        </w:tc>
        <w:tc>
          <w:tcPr>
            <w:tcW w:type="dxa" w:w="22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vAlign w:val="top"/>
          </w:tcPr>
          <w:p>
            <w:r>
              <w:rPr>
                <w:rFonts w:ascii="Helvetica" w:cs="Helvetica" w:eastAsia="Helvetica" w:hAnsi="Helvetica"/>
                <w:color w:val="333333"/>
                <w:sz w:val="15"/>
                <w:szCs w:val="15"/>
              </w:rPr>
              <w:t xml:space="preserve">{{objectives}}</w:t>
            </w:r>
          </w:p>
        </w:tc>
        <w:tc>
          <w:tcPr>
            <w:tcW w:type="dxa" w:w="36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vAlign w:val="top"/>
          </w:tcPr>
          <w:p>
            <w:r>
              <w:rPr>
                <w:rFonts w:ascii="Helvetica" w:cs="Helvetica" w:eastAsia="Helvetica" w:hAnsi="Helvetica"/>
                <w:color w:val="333333"/>
                <w:sz w:val="15"/>
                <w:szCs w:val="15"/>
              </w:rPr>
              <w:t xml:space="preserve">{{content}}</w:t>
            </w:r>
          </w:p>
        </w:tc>
        <w:tc>
          <w:tcPr>
            <w:tcW w:type="dxa" w:w="3000"/>
            <w:tcBorders>
              <w:top w:val="single" w:color="E36A3A" w:sz="4"/>
              <w:left w:val="single" w:color="E36A3A" w:sz="4"/>
              <w:bottom w:val="single" w:color="E36A3A" w:sz="4"/>
              <w:right w:val="single" w:color="E36A3A" w:sz="4"/>
            </w:tcBorders>
            <w:vAlign w:val="top"/>
          </w:tcPr>
          <w:p>
            <w:r>
              <w:rPr>
                <w:rFonts w:ascii="Helvetica" w:cs="Helvetica" w:eastAsia="Helvetica" w:hAnsi="Helvetica"/>
                <w:color w:val="333333"/>
                <w:sz w:val="15"/>
                <w:szCs w:val="15"/>
              </w:rPr>
              <w:t xml:space="preserve">{{methods}}</w:t>
            </w:r>
          </w:p>
        </w:tc>
      </w:tr>
    </w:tbl>
    <w:p>
      <w:pPr>
        <w:spacing w:after="60"/>
      </w:pP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Méthodologie d'évaluation 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{{evaluation}}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Le + apporté : 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{{added_value}}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Délais d'accès : {{access_delays}}</w:t>
      </w:r>
    </w:p>
    <w:sectPr>
      <w:footerReference w:type="default" r:id="rId7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9895dbeef1f3fe4e53e7d8014feadf152483ec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2026-04-04T10:32:30.262Z</dcterms:created>
  <dcterms:modified xsi:type="dcterms:W3CDTF">2026-04-04T10:32:30.262Z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