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3335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/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MARKETING</w:t>
      </w:r>
    </w:p>
    <w:p>
      <w:pPr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WEB MARKETING</w:t>
      </w:r>
    </w:p>
    <w:p>
      <w:pPr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COMMERCIAL</w:t>
      </w:r>
    </w:p>
    <w:p>
      <w:pPr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COMMUNICATION</w:t>
      </w:r>
    </w:p>
    <w:p>
      <w:pPr>
        <w:spacing w:after="150"/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COACHING</w:t>
      </w:r>
    </w:p>
    <w:p>
      <w:pPr>
        <w:spacing w:after="150" w:before="150"/>
        <w:jc w:val="center"/>
      </w:pPr>
      <w:r>
        <w:rPr>
          <w:rFonts w:ascii="Helvetica" w:cs="Helvetica" w:eastAsia="Helvetica" w:hAnsi="Helvetica"/>
          <w:b/>
          <w:bCs/>
          <w:color w:val="333333"/>
          <w:sz w:val="22"/>
          <w:szCs w:val="22"/>
          <w:u w:val="single"/>
        </w:rPr>
        <w:t xml:space="preserve">FICHE PEDAGOGIQUE : {{formation_name}}</w:t>
      </w:r>
    </w:p>
    <w:p>
      <w:pPr>
        <w:spacing w:after="3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Public : {{public}}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Pré requis : {{prerequisites}}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100"/>
            <w:tcBorders>
              <w:top w:val="single" w:color="E36A3A" w:sz="4"/>
              <w:left w:val="single" w:color="E36A3A" w:sz="4"/>
              <w:bottom w:val="single" w:color="E36A3A" w:sz="4"/>
              <w:right w:val="single" w:color="E36A3A" w:sz="4"/>
            </w:tcBorders>
            <w:shd w:fill="FFF3EC"/>
            <w:vAlign w:val="center"/>
          </w:tcPr>
          <w:p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Durée
(en heures)</w:t>
            </w:r>
          </w:p>
        </w:tc>
        <w:tc>
          <w:tcPr>
            <w:tcW w:type="dxa" w:w="2200"/>
            <w:tcBorders>
              <w:top w:val="single" w:color="E36A3A" w:sz="4"/>
              <w:left w:val="single" w:color="E36A3A" w:sz="4"/>
              <w:bottom w:val="single" w:color="E36A3A" w:sz="4"/>
              <w:right w:val="single" w:color="E36A3A" w:sz="4"/>
            </w:tcBorders>
            <w:shd w:fill="FFF3EC"/>
            <w:vAlign w:val="center"/>
          </w:tcPr>
          <w:p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Objectifs pédagogiques mesurables
(aptitudes et compétences)</w:t>
            </w:r>
          </w:p>
        </w:tc>
        <w:tc>
          <w:tcPr>
            <w:tcW w:type="dxa" w:w="3600"/>
            <w:tcBorders>
              <w:top w:val="single" w:color="E36A3A" w:sz="4"/>
              <w:left w:val="single" w:color="E36A3A" w:sz="4"/>
              <w:bottom w:val="single" w:color="E36A3A" w:sz="4"/>
              <w:right w:val="single" w:color="E36A3A" w:sz="4"/>
            </w:tcBorders>
            <w:shd w:fill="FFF3EC"/>
            <w:vAlign w:val="center"/>
          </w:tcPr>
          <w:p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Contenu pédagogique
par module</w:t>
            </w:r>
          </w:p>
        </w:tc>
        <w:tc>
          <w:tcPr>
            <w:tcW w:type="dxa" w:w="3000"/>
            <w:tcBorders>
              <w:top w:val="single" w:color="E36A3A" w:sz="4"/>
              <w:left w:val="single" w:color="E36A3A" w:sz="4"/>
              <w:bottom w:val="single" w:color="E36A3A" w:sz="4"/>
              <w:right w:val="single" w:color="E36A3A" w:sz="4"/>
            </w:tcBorders>
            <w:shd w:fill="FFF3EC"/>
            <w:vAlign w:val="center"/>
          </w:tcPr>
          <w:p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Méthodes, moyens et outils
pédagogiques</w:t>
            </w:r>
          </w:p>
        </w:tc>
      </w:tr>
      <w:tr>
        <w:tc>
          <w:tcPr>
            <w:tcW w:type="dxa" w:w="1100"/>
            <w:tcBorders>
              <w:top w:val="single" w:color="E36A3A" w:sz="4"/>
              <w:left w:val="single" w:color="E36A3A" w:sz="4"/>
              <w:bottom w:val="single" w:color="E36A3A" w:sz="4"/>
              <w:right w:val="single" w:color="E36A3A" w:sz="4"/>
            </w:tcBorders>
            <w:vAlign w:val="top"/>
          </w:tcPr>
          <w:p>
            <w:r>
              <w:rPr>
                <w:rFonts w:ascii="Helvetica" w:cs="Helvetica" w:eastAsia="Helvetica" w:hAnsi="Helvetica"/>
                <w:color w:val="333333"/>
                <w:sz w:val="15"/>
                <w:szCs w:val="15"/>
              </w:rPr>
              <w:t xml:space="preserve">{{duration}}h</w:t>
            </w:r>
          </w:p>
        </w:tc>
        <w:tc>
          <w:tcPr>
            <w:tcW w:type="dxa" w:w="2200"/>
            <w:tcBorders>
              <w:top w:val="single" w:color="E36A3A" w:sz="4"/>
              <w:left w:val="single" w:color="E36A3A" w:sz="4"/>
              <w:bottom w:val="single" w:color="E36A3A" w:sz="4"/>
              <w:right w:val="single" w:color="E36A3A" w:sz="4"/>
            </w:tcBorders>
            <w:vAlign w:val="top"/>
          </w:tcPr>
          <w:p>
            <w:r>
              <w:rPr>
                <w:rFonts w:ascii="Helvetica" w:cs="Helvetica" w:eastAsia="Helvetica" w:hAnsi="Helvetica"/>
                <w:color w:val="333333"/>
                <w:sz w:val="15"/>
                <w:szCs w:val="15"/>
              </w:rPr>
              <w:t xml:space="preserve">{{objectives}}</w:t>
            </w:r>
          </w:p>
        </w:tc>
        <w:tc>
          <w:tcPr>
            <w:tcW w:type="dxa" w:w="3600"/>
            <w:tcBorders>
              <w:top w:val="single" w:color="E36A3A" w:sz="4"/>
              <w:left w:val="single" w:color="E36A3A" w:sz="4"/>
              <w:bottom w:val="single" w:color="E36A3A" w:sz="4"/>
              <w:right w:val="single" w:color="E36A3A" w:sz="4"/>
            </w:tcBorders>
            <w:vAlign w:val="top"/>
          </w:tcPr>
          <w:p>
            <w:r>
              <w:rPr>
                <w:rFonts w:ascii="Helvetica" w:cs="Helvetica" w:eastAsia="Helvetica" w:hAnsi="Helvetica"/>
                <w:color w:val="333333"/>
                <w:sz w:val="15"/>
                <w:szCs w:val="15"/>
              </w:rPr>
              <w:t xml:space="preserve">{{content}}</w:t>
            </w:r>
          </w:p>
        </w:tc>
        <w:tc>
          <w:tcPr>
            <w:tcW w:type="dxa" w:w="3000"/>
            <w:tcBorders>
              <w:top w:val="single" w:color="E36A3A" w:sz="4"/>
              <w:left w:val="single" w:color="E36A3A" w:sz="4"/>
              <w:bottom w:val="single" w:color="E36A3A" w:sz="4"/>
              <w:right w:val="single" w:color="E36A3A" w:sz="4"/>
            </w:tcBorders>
            <w:vAlign w:val="top"/>
          </w:tcPr>
          <w:p>
            <w:r>
              <w:rPr>
                <w:rFonts w:ascii="Helvetica" w:cs="Helvetica" w:eastAsia="Helvetica" w:hAnsi="Helvetica"/>
                <w:color w:val="333333"/>
                <w:sz w:val="15"/>
                <w:szCs w:val="15"/>
              </w:rPr>
              <w:t xml:space="preserve">{{methods}}</w:t>
            </w:r>
          </w:p>
        </w:tc>
      </w:tr>
    </w:tbl>
    <w:p>
      <w:pPr>
        <w:spacing w:after="60"/>
      </w:pPr>
    </w:p>
    <w:p>
      <w:pPr>
        <w:spacing w:after="3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Méthodologie d'évaluation 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{{evaluation}}</w:t>
      </w:r>
    </w:p>
    <w:p>
      <w:pPr>
        <w:spacing w:after="3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Le + apporté 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{{added_value}}</w:t>
      </w:r>
    </w:p>
    <w:p>
      <w:r>
        <w:rPr>
          <w:rFonts w:ascii="Helvetica" w:cs="Helvetica" w:eastAsia="Helvetica" w:hAnsi="Helvetica"/>
          <w:color w:val="333333"/>
          <w:sz w:val="18"/>
          <w:szCs w:val="18"/>
        </w:rPr>
        <w:t xml:space="preserve">Délais d'accès : {{access_delays}}</w:t>
      </w:r>
    </w:p>
    <w:sectPr>
      <w:footerReference w:type="default" r:id="rId7"/>
      <w:pgSz w:w="11906" w:h="16838" w:orient="portrait"/>
      <w:pgMar w:top="850" w:right="1133" w:bottom="1417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91E8C" w:sz="6" w:space="4"/>
      </w:pBdr>
      <w:spacing w:before="80"/>
      <w:jc w:val="center"/>
    </w:pPr>
    <w:r>
      <w:rPr>
        <w:rFonts w:ascii="Helvetica" w:cs="Helvetica" w:eastAsia="Helvetica" w:hAnsi="Helvetica"/>
        <w:b/>
        <w:bCs/>
        <w:color w:val="7B3F9E"/>
        <w:sz w:val="12"/>
        <w:szCs w:val="12"/>
      </w:rPr>
      <w:t xml:space="preserve">NJM Conseil - NATHALIE JOULIE MORAND - LE CASSAN - 12330 CLAIRVAUX D'AVEYRON - 06 88 10 40 67 - njm.conseil@orange.fr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www.njm-conseil.fr SAS NJM Conseil au capital social de 3 000€ N°RCS Rodez 534 935 473 NAF 7022Z N° Activité : 73120063512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Qualiopi C2-5 V2 16-11-2020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9895dbeef1f3fe4e53e7d8014feadf152483ec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2026-04-04T11:31:20.656Z</dcterms:created>
  <dcterms:modified xsi:type="dcterms:W3CDTF">2026-04-04T11:31:20.656Z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