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0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drawing>
                <wp:inline distT="0" distB="0" distL="0" distR="0">
                  <wp:extent cx="1333500" cy="771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00"/>
            <w:tcBorders>
              <w:top w:val="none" w:sz="0"/>
              <w:left w:val="none" w:sz="0"/>
              <w:bottom w:val="none" w:sz="0"/>
              <w:right w:val="none" w:sz="0"/>
            </w:tcBorders>
            <w:vAlign w:val="top"/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b/>
                <w:bCs/>
                <w:color w:val="E36A3A"/>
                <w:sz w:val="13"/>
                <w:szCs w:val="13"/>
              </w:rPr>
              <w:t xml:space="preserve">MARKETING</w:t>
            </w:r>
          </w:p>
          <w:p>
            <w:pPr>
              <w:jc w:val="right"/>
            </w:pPr>
            <w:r>
              <w:rPr>
                <w:rFonts w:ascii="Helvetica" w:cs="Helvetica" w:eastAsia="Helvetica" w:hAnsi="Helvetica"/>
                <w:b/>
                <w:bCs/>
                <w:color w:val="E36A3A"/>
                <w:sz w:val="13"/>
                <w:szCs w:val="13"/>
              </w:rPr>
              <w:t xml:space="preserve">WEB MARKETING</w:t>
            </w:r>
          </w:p>
          <w:p>
            <w:pPr>
              <w:jc w:val="right"/>
            </w:pPr>
            <w:r>
              <w:rPr>
                <w:rFonts w:ascii="Helvetica" w:cs="Helvetica" w:eastAsia="Helvetica" w:hAnsi="Helvetica"/>
                <w:b/>
                <w:bCs/>
                <w:color w:val="E36A3A"/>
                <w:sz w:val="13"/>
                <w:szCs w:val="13"/>
              </w:rPr>
              <w:t xml:space="preserve">COMMERCIAL</w:t>
            </w:r>
          </w:p>
          <w:p>
            <w:pPr>
              <w:jc w:val="right"/>
            </w:pPr>
            <w:r>
              <w:rPr>
                <w:rFonts w:ascii="Helvetica" w:cs="Helvetica" w:eastAsia="Helvetica" w:hAnsi="Helvetica"/>
                <w:b/>
                <w:bCs/>
                <w:color w:val="E36A3A"/>
                <w:sz w:val="13"/>
                <w:szCs w:val="13"/>
              </w:rPr>
              <w:t xml:space="preserve">COMMUNICATION</w:t>
            </w:r>
          </w:p>
          <w:p>
            <w:pPr>
              <w:jc w:val="right"/>
            </w:pPr>
            <w:r>
              <w:rPr>
                <w:rFonts w:ascii="Helvetica" w:cs="Helvetica" w:eastAsia="Helvetica" w:hAnsi="Helvetica"/>
                <w:b/>
                <w:bCs/>
                <w:color w:val="E36A3A"/>
                <w:sz w:val="13"/>
                <w:szCs w:val="13"/>
              </w:rPr>
              <w:t xml:space="preserve">COACHING</w:t>
            </w:r>
          </w:p>
        </w:tc>
      </w:tr>
    </w:tbl>
    <w:p>
      <w:pPr>
        <w:spacing w:after="80"/>
      </w:pPr>
    </w:p>
    <w:p>
      <w:pPr>
        <w:spacing w:after="200" w:before="200"/>
        <w:jc w:val="center"/>
      </w:pPr>
      <w:r>
        <w:rPr>
          <w:rFonts w:ascii="Helvetica" w:cs="Helvetica" w:eastAsia="Helvetica" w:hAnsi="Helvetica"/>
          <w:b/>
          <w:bCs/>
          <w:color w:val="333333"/>
          <w:sz w:val="28"/>
          <w:szCs w:val="28"/>
        </w:rPr>
        <w:t xml:space="preserve">CONVENTION DE FORMATION PROFESSIONNELLE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Entre les soussignés :</w:t>
      </w:r>
    </w:p>
    <w:p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L'organisme de formation :</w:t>
      </w:r>
    </w:p>
    <w:p>
      <w:pPr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SAS NJM Conseil</w:t>
      </w:r>
    </w:p>
    <w:p>
      <w:pPr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Le Cassan</w:t>
      </w:r>
    </w:p>
    <w:p>
      <w:pPr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12330 Clairvaux d'Aveyron</w:t>
      </w:r>
    </w:p>
    <w:p>
      <w:pPr>
        <w:spacing w:after="60"/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N° activité : 73120063512</w:t>
      </w: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Représentée par Mme JOULIE-MORAND Nathalie agissant en qualité de gérante</w:t>
      </w:r>
    </w:p>
    <w:p>
      <w:pPr>
        <w:spacing w:after="10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Ci-après désigné "l'organisme de formation", NJM Conseil</w:t>
      </w:r>
    </w:p>
    <w:p>
      <w:r>
        <w:rPr>
          <w:rFonts w:ascii="Helvetica" w:cs="Helvetica" w:eastAsia="Helvetica" w:hAnsi="Helvetica"/>
          <w:color w:val="333333"/>
          <w:sz w:val="18"/>
          <w:szCs w:val="18"/>
        </w:rPr>
        <w:t xml:space="preserve">Et</w:t>
      </w:r>
    </w:p>
    <w:p>
      <w:pPr>
        <w:spacing w:after="6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Le client :</w:t>
      </w:r>
    </w:p>
    <w:p>
      <w:pPr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{{company_name}}</w:t>
      </w:r>
    </w:p>
    <w:p>
      <w:pPr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{{company_address}}</w:t>
      </w:r>
    </w:p>
    <w:p>
      <w:pPr>
        <w:spacing w:after="60"/>
        <w:ind w:left="85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{{company_postal_city}}</w:t>
      </w: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Représenté par {{contact_title}} {{contact_name}} agissant en qualité de {{contact_role}}</w:t>
      </w:r>
    </w:p>
    <w:p>
      <w:pPr>
        <w:spacing w:after="10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Ci-après désigné "le Client",</w:t>
      </w:r>
    </w:p>
    <w:p>
      <w:pPr>
        <w:spacing w:after="8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Est conclue la convention suivante, en application des dispositions de la sixième partie du Code du Travail portant sur l'organisation de la formation professionnelle tout au long de la vie.</w:t>
      </w: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1- Objet de la convention :</w:t>
      </w:r>
    </w:p>
    <w:p>
      <w:pPr>
        <w:spacing w:after="6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En exécution de la présente convention, l'organisme de formation s'engage à organiser l'action de formation intitulée :</w:t>
      </w:r>
    </w:p>
    <w:p>
      <w:pPr>
        <w:spacing w:after="100" w:before="60"/>
        <w:jc w:val="center"/>
      </w:pPr>
      <w:r>
        <w:rPr>
          <w:rFonts w:ascii="Helvetica" w:cs="Helvetica" w:eastAsia="Helvetica" w:hAnsi="Helvetica"/>
          <w:b/>
          <w:bCs/>
          <w:color w:val="333333"/>
          <w:sz w:val="22"/>
          <w:szCs w:val="22"/>
        </w:rPr>
        <w:t xml:space="preserve">Convention de formation : {{formation_name}}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Objectifs: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{{objectives}}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Type d'action de formation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(au sens de l'article L. 900-2 du Code du travail): Acquisition et entretien des connaissances et mise en parallèle avec l'activité.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Contenus: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{{content_summary}}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Méthodes et moyens pédagogiques: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{{methods}}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Formateur: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{{trainer}}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Date(s):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{{dates}}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Durée: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{{duration}} heures.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Lieu: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{{training_location}}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Effectif formé: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{{learner_count}} personne(s), {{learners}}</w:t>
      </w:r>
    </w:p>
    <w:p>
      <w:pPr>
        <w:spacing w:after="40"/>
        <w:ind w:left="283"/>
      </w:pPr>
      <w:r>
        <w:rPr>
          <w:rFonts w:ascii="Helvetica" w:cs="Helvetica" w:eastAsia="Helvetica" w:hAnsi="Helvetica"/>
          <w:color w:val="E36A3A"/>
          <w:sz w:val="18"/>
          <w:szCs w:val="18"/>
        </w:rPr>
        <w:t xml:space="preserve">● </w:t>
      </w:r>
      <w:r>
        <w:rPr>
          <w:rFonts w:ascii="Helvetica" w:cs="Helvetica" w:eastAsia="Helvetica" w:hAnsi="Helvetica"/>
          <w:b/>
          <w:bCs/>
          <w:color w:val="E36A3A"/>
          <w:sz w:val="18"/>
          <w:szCs w:val="18"/>
        </w:rPr>
        <w:t xml:space="preserve">Modalités de suivi et appréciation des résultats: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fiche de présence émargée, accompagnement rectificatif et évaluation des productions de l'apprenant.</w:t>
      </w:r>
    </w:p>
    <w:p>
      <w:pPr>
        <w:sectPr>
          <w:footerReference w:type="default" r:id="rId7"/>
          <w:pgSz w:w="11906" w:h="16838" w:orient="portrait"/>
          <w:pgMar w:top="850" w:right="1133" w:bottom="1417" w:left="1133" w:header="708" w:footer="708" w:gutter="0"/>
          <w:pgNumType/>
          <w:docGrid w:linePitch="360"/>
        </w:sectPr>
      </w:pP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2- Description de la formation:</w:t>
      </w: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  <w:u w:val="single"/>
        </w:rPr>
        <w:t xml:space="preserve">Objectifs :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{{objectives}}</w:t>
      </w:r>
    </w:p>
    <w:p>
      <w:pPr>
        <w:spacing w:after="40"/>
      </w:pP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  <w:u w:val="single"/>
        </w:rPr>
        <w:t xml:space="preserve">Contenus :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{{module_content}}</w:t>
      </w:r>
    </w:p>
    <w:p>
      <w:pPr>
        <w:spacing w:after="40"/>
      </w:pP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  <w:u w:val="single"/>
        </w:rPr>
        <w:t xml:space="preserve">Modalités :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{{methods}}</w:t>
      </w:r>
    </w:p>
    <w:p>
      <w:pPr>
        <w:spacing w:after="40"/>
      </w:pP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  <w:u w:val="single"/>
        </w:rPr>
        <w:t xml:space="preserve">Mode d'évaluation des acquis :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Questionnaire individuel en ligne en fin de formation</w:t>
      </w:r>
    </w:p>
    <w:p>
      <w:pPr>
        <w:spacing w:after="40"/>
      </w:pP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3- Dispositions financières :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a) Le client, en contrepartie des actions de formation réalisées, s'engage à verser à l'organisme de formation, une somme correspondant aux frais de formation de : {{price}} € nets. S'y ajoutent des frais de déplacement.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b) L'organisme de formation, en contrepartie des sommes reçues, s'engage à réaliser toutes les actions prévues dans le cadre de la présente convention ainsi qu'à fournir tout document et pièce de nature à justifier la réalité et la validité des dépenses de formation engagées à ce titre.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c) Modalités de règlement : la facture est réglable à l'issue de la formation par chèque à l'ordre de la SAS NJM Conseil.</w:t>
      </w:r>
    </w:p>
    <w:p>
      <w:pPr>
        <w:spacing w:after="40"/>
      </w:pP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4- Dédit ou abandon :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a) En cas de résiliation de la présente convention par le client à moins de 10 jours francs avant le début d'une des actions mentionnées à l'annexe, l'organisme de formation retiendra sur le coût total 10 % de la somme, au titre de dédommagement.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b) En cas de réalisation partielle de l'action du fait du client, seule sera facturée au client la partie effectivement réalisée de l'action, selon le prorata suivant : nombre d'heures réalisées/nombre d'heures prévues. En outre, l'organisme de formation retiendra sur le coût correspondant à la partie non-réalisée un pourcentage de 10 %, au titre de dédommagement.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c) Les montants versés par le client au titre de dédommagement ne pourront pas être imputés par le client sur son obligation définie à l'article L6331-1 du code du travail ni faire l'objet d'une demande de remboursement ou de prise en charge par un OPCO.</w:t>
      </w:r>
    </w:p>
    <w:p>
      <w:pPr>
        <w:spacing w:after="40"/>
        <w:ind w:left="453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d) En cas de modification unilatérale par l'organisme de formation de l'un des éléments fixés à l'article 1, le client se réserve le droit de mettre fin à la présente convention. Le délai d'annulation étant toutefois limité à 30 jours francs avant la date prévue de commencement de l'une des actions mentionnées à la présente convention, il sera, dans ce cas, procédé à une résorption anticipée de la convention.</w:t>
      </w:r>
    </w:p>
    <w:p>
      <w:pPr>
        <w:spacing w:after="40"/>
      </w:pP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5- Date d'effet et durée de la convention :</w:t>
      </w:r>
    </w:p>
    <w:p>
      <w:pPr>
        <w:spacing w:after="8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La présente convention prend effet à compter de la date de signature de la présente convention pour s'achever à la fin de la période de formation objet de la présente convention.</w:t>
      </w:r>
    </w:p>
    <w:p>
      <w:pPr>
        <w:spacing w:after="80" w:before="20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  <w:u w:val="single"/>
        </w:rPr>
        <w:t xml:space="preserve">Article 6- Différends éventuels :</w:t>
      </w:r>
    </w:p>
    <w:p>
      <w:pPr>
        <w:spacing w:after="20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Si une contestation ou un différend ne peuvent être réglés à l'amiable, le Tribunal de commerce du lieu de résidence du client sera seul compétent pour se prononcer sur le litige.</w:t>
      </w:r>
    </w:p>
    <w:p>
      <w:pPr>
        <w:spacing w:after="200"/>
        <w:jc w:val="right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Fait en double exemplaire, à Rodez, le {{signature_date}}</w:t>
      </w:r>
    </w:p>
    <w:p>
      <w:pPr>
        <w:tabs>
          <w:tab w:val="left" w:pos="5669"/>
        </w:tabs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Pour le client,</w:t>
      </w:r>
      <w:r>
        <w:rPr>
          <w:rFonts w:ascii="Helvetica" w:cs="Helvetica" w:eastAsia="Helvetica" w:hAnsi="Helvetica"/>
          <w:sz w:val="18"/>
          <w:szCs w:val="18"/>
        </w:rPr>
        <w:t xml:space="preserve">	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Pour l'organisme de formation,</w:t>
      </w:r>
    </w:p>
    <w:p>
      <w:pPr>
        <w:tabs>
          <w:tab w:val="left" w:pos="5669"/>
        </w:tabs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{{contact_name}}</w:t>
      </w:r>
      <w:r>
        <w:rPr>
          <w:rFonts w:ascii="Helvetica" w:cs="Helvetica" w:eastAsia="Helvetica" w:hAnsi="Helvetica"/>
          <w:sz w:val="18"/>
          <w:szCs w:val="18"/>
        </w:rPr>
        <w:t xml:space="preserve">	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Nathalie JOULIE MORAND, gérante</w:t>
      </w:r>
    </w:p>
    <w:p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{{company_name}}</w:t>
      </w:r>
    </w:p>
    <w:p>
      <w:pPr>
        <w:spacing w:before="60"/>
        <w:ind w:left="5669"/>
      </w:pPr>
      <w:r>
        <w:drawing>
          <wp:inline distT="0" distB="0" distL="0" distR="0">
            <wp:extent cx="95250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8"/>
      <w:type w:val="nextPage"/>
      <w:pgSz w:w="11906" w:h="16838" w:orient="portrait"/>
      <w:pgMar w:top="850" w:right="1133" w:bottom="1417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91E8C" w:sz="6" w:space="4"/>
      </w:pBdr>
      <w:spacing w:before="80"/>
      <w:jc w:val="center"/>
    </w:pPr>
    <w:r>
      <w:rPr>
        <w:rFonts w:ascii="Helvetica" w:cs="Helvetica" w:eastAsia="Helvetica" w:hAnsi="Helvetica"/>
        <w:b/>
        <w:bCs/>
        <w:color w:val="7B3F9E"/>
        <w:sz w:val="12"/>
        <w:szCs w:val="12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Qualiopi C2-5 V2 16-11-2020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91E8C" w:sz="6" w:space="4"/>
      </w:pBdr>
      <w:spacing w:before="80"/>
      <w:jc w:val="center"/>
    </w:pPr>
    <w:r>
      <w:rPr>
        <w:rFonts w:ascii="Helvetica" w:cs="Helvetica" w:eastAsia="Helvetica" w:hAnsi="Helvetica"/>
        <w:b/>
        <w:bCs/>
        <w:color w:val="7B3F9E"/>
        <w:sz w:val="12"/>
        <w:szCs w:val="12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Qualiopi C2-5 V2 16-11-2020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89895dbeef1f3fe4e53e7d8014feadf152483ec1.png"/><Relationship Id="rId10" Type="http://schemas.openxmlformats.org/officeDocument/2006/relationships/image" Target="media/8feb20715c9625a15365ec93ae262e1f4dc936f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2026-04-04T15:04:52.995Z</dcterms:created>
  <dcterms:modified xsi:type="dcterms:W3CDTF">2026-04-04T15:04:52.995Z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