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drawing>
                <wp:inline distT="0" distB="0" distL="0" distR="0">
                  <wp:extent cx="1333500" cy="771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E36A3A"/>
                <w:sz w:val="13"/>
                <w:szCs w:val="13"/>
              </w:rPr>
              <w:t xml:space="preserve">MARKETING</w:t>
            </w:r>
          </w:p>
          <w:p>
            <w:pPr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E36A3A"/>
                <w:sz w:val="13"/>
                <w:szCs w:val="13"/>
              </w:rPr>
              <w:t xml:space="preserve">WEB MARKETING</w:t>
            </w:r>
          </w:p>
          <w:p>
            <w:pPr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E36A3A"/>
                <w:sz w:val="13"/>
                <w:szCs w:val="13"/>
              </w:rPr>
              <w:t xml:space="preserve">COMMERCIAL</w:t>
            </w:r>
          </w:p>
          <w:p>
            <w:pPr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E36A3A"/>
                <w:sz w:val="13"/>
                <w:szCs w:val="13"/>
              </w:rPr>
              <w:t xml:space="preserve">COMMUNICATION</w:t>
            </w:r>
          </w:p>
          <w:p>
            <w:pPr>
              <w:jc w:val="right"/>
            </w:pPr>
            <w:r>
              <w:rPr>
                <w:rFonts w:ascii="Helvetica" w:cs="Helvetica" w:eastAsia="Helvetica" w:hAnsi="Helvetica"/>
                <w:b/>
                <w:bCs/>
                <w:color w:val="E36A3A"/>
                <w:sz w:val="13"/>
                <w:szCs w:val="13"/>
              </w:rPr>
              <w:t xml:space="preserve">COACHING</w:t>
            </w:r>
          </w:p>
        </w:tc>
      </w:tr>
    </w:tbl>
    <w:p>
      <w:pPr>
        <w:spacing w:after="80"/>
      </w:pPr>
    </w:p>
    <w:p>
      <w:pPr>
        <w:spacing w:after="150" w:before="150"/>
        <w:jc w:val="center"/>
      </w:pPr>
      <w:r>
        <w:rPr>
          <w:rFonts w:ascii="Helvetica" w:cs="Helvetica" w:eastAsia="Helvetica" w:hAnsi="Helvetica"/>
          <w:b/>
          <w:bCs/>
          <w:color w:val="333333"/>
          <w:sz w:val="22"/>
          <w:szCs w:val="22"/>
          <w:u w:val="single"/>
        </w:rPr>
        <w:t xml:space="preserve">FICHE PEDAGOGIQUE : {{formation_name}}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Public : {{public}}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Pré requis : {{prerequisites}}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shd w:fill="FFF3EC"/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Durée
(en heures)</w:t>
            </w:r>
          </w:p>
        </w:tc>
        <w:tc>
          <w:tcPr>
            <w:tcW w:type="dxa" w:w="22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shd w:fill="FFF3EC"/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Objectifs pédagogiques mesurables
(aptitudes et compétences)</w:t>
            </w:r>
          </w:p>
        </w:tc>
        <w:tc>
          <w:tcPr>
            <w:tcW w:type="dxa" w:w="36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shd w:fill="FFF3EC"/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Contenu pédagogique
par module</w:t>
            </w:r>
          </w:p>
        </w:tc>
        <w:tc>
          <w:tcPr>
            <w:tcW w:type="dxa" w:w="30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shd w:fill="FFF3EC"/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Méthodes, moyens et outils
pédagogiques</w:t>
            </w:r>
          </w:p>
        </w:tc>
      </w:tr>
      <w:tr>
        <w:tc>
          <w:tcPr>
            <w:tcW w:type="dxa" w:w="11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vAlign w:val="top"/>
          </w:tcPr>
          <w:p>
            <w:r>
              <w:rPr>
                <w:rFonts w:ascii="Helvetica" w:cs="Helvetica" w:eastAsia="Helvetica" w:hAnsi="Helvetica"/>
                <w:color w:val="333333"/>
                <w:sz w:val="15"/>
                <w:szCs w:val="15"/>
              </w:rPr>
              <w:t xml:space="preserve">{{duration}}h</w:t>
            </w:r>
          </w:p>
        </w:tc>
        <w:tc>
          <w:tcPr>
            <w:tcW w:type="dxa" w:w="22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vAlign w:val="top"/>
          </w:tcPr>
          <w:p>
            <w:r>
              <w:rPr>
                <w:rFonts w:ascii="Helvetica" w:cs="Helvetica" w:eastAsia="Helvetica" w:hAnsi="Helvetica"/>
                <w:color w:val="333333"/>
                <w:sz w:val="15"/>
                <w:szCs w:val="15"/>
              </w:rPr>
              <w:t xml:space="preserve">{{objectives}}</w:t>
            </w:r>
          </w:p>
        </w:tc>
        <w:tc>
          <w:tcPr>
            <w:tcW w:type="dxa" w:w="36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vAlign w:val="top"/>
          </w:tcPr>
          <w:p>
            <w:r>
              <w:rPr>
                <w:rFonts w:ascii="Helvetica" w:cs="Helvetica" w:eastAsia="Helvetica" w:hAnsi="Helvetica"/>
                <w:color w:val="333333"/>
                <w:sz w:val="15"/>
                <w:szCs w:val="15"/>
              </w:rPr>
              <w:t xml:space="preserve">{{content}}</w:t>
            </w:r>
          </w:p>
        </w:tc>
        <w:tc>
          <w:tcPr>
            <w:tcW w:type="dxa" w:w="3000"/>
            <w:tcBorders>
              <w:top w:val="single" w:color="E36A3A" w:sz="4"/>
              <w:left w:val="single" w:color="E36A3A" w:sz="4"/>
              <w:bottom w:val="single" w:color="E36A3A" w:sz="4"/>
              <w:right w:val="single" w:color="E36A3A" w:sz="4"/>
            </w:tcBorders>
            <w:vAlign w:val="top"/>
          </w:tcPr>
          <w:p>
            <w:r>
              <w:rPr>
                <w:rFonts w:ascii="Helvetica" w:cs="Helvetica" w:eastAsia="Helvetica" w:hAnsi="Helvetica"/>
                <w:color w:val="333333"/>
                <w:sz w:val="15"/>
                <w:szCs w:val="15"/>
              </w:rPr>
              <w:t xml:space="preserve">{{methods}}</w:t>
            </w:r>
          </w:p>
        </w:tc>
      </w:tr>
    </w:tbl>
    <w:p>
      <w:pPr>
        <w:spacing w:after="60"/>
      </w:pP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Méthodologie d'évaluation 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{{evaluation}}</w:t>
      </w:r>
    </w:p>
    <w:p>
      <w:pPr>
        <w:spacing w:after="3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Le + apporté 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{{added_value}}</w:t>
      </w:r>
    </w:p>
    <w:p>
      <w:r>
        <w:rPr>
          <w:rFonts w:ascii="Helvetica" w:cs="Helvetica" w:eastAsia="Helvetica" w:hAnsi="Helvetica"/>
          <w:color w:val="333333"/>
          <w:sz w:val="18"/>
          <w:szCs w:val="18"/>
        </w:rPr>
        <w:t xml:space="preserve">Délais d'accès : {{access_delays}}</w:t>
      </w:r>
    </w:p>
    <w:sectPr>
      <w:footerReference w:type="default" r:id="rId7"/>
      <w:pgSz w:w="11906" w:h="16838" w:orient="portrait"/>
      <w:pgMar w:top="850" w:right="1133" w:bottom="141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1E8C" w:sz="6" w:space="4"/>
      </w:pBdr>
      <w:spacing w:before="80"/>
      <w:jc w:val="center"/>
    </w:pPr>
    <w:r>
      <w:rPr>
        <w:rFonts w:ascii="Helvetica" w:cs="Helvetica" w:eastAsia="Helvetica" w:hAnsi="Helvetica"/>
        <w:b/>
        <w:bCs/>
        <w:color w:val="7B3F9E"/>
        <w:sz w:val="12"/>
        <w:szCs w:val="12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Qualiopi C2-5 V2 16-11-2020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895dbeef1f3fe4e53e7d8014feadf152483ec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2026-04-04T15:04:53.034Z</dcterms:created>
  <dcterms:modified xsi:type="dcterms:W3CDTF">2026-04-04T15:04:53.034Z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