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E3EE" w14:textId="77777777" w:rsidR="00767F26" w:rsidRPr="007C2668" w:rsidRDefault="00767F26">
      <w:pPr>
        <w:rPr>
          <w:rFonts w:ascii="Arial" w:hAnsi="Arial" w:cs="Arial"/>
        </w:rPr>
      </w:pPr>
    </w:p>
    <w:p w14:paraId="2DE4935C" w14:textId="77777777" w:rsidR="007C2668" w:rsidRPr="007C2668" w:rsidRDefault="007C2668" w:rsidP="007C26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7C2668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Fiche mémo – Les biais cognitifs en recrutement</w:t>
      </w:r>
    </w:p>
    <w:p w14:paraId="258F96F8" w14:textId="77777777" w:rsidR="007C2668" w:rsidRDefault="007C2668" w:rsidP="007C266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34F60145" w14:textId="51C450F2" w:rsidR="007C2668" w:rsidRPr="007C2668" w:rsidRDefault="007C2668" w:rsidP="007C26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C2668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Définition :</w:t>
      </w:r>
      <w:r w:rsidRPr="007C2668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fr-FR"/>
          <w14:ligatures w14:val="none"/>
        </w:rPr>
        <w:t>l</w:t>
      </w:r>
      <w:r w:rsidRPr="007C2668">
        <w:rPr>
          <w:rFonts w:ascii="Arial" w:eastAsia="Times New Roman" w:hAnsi="Arial" w:cs="Arial"/>
          <w:kern w:val="0"/>
          <w:lang w:eastAsia="fr-FR"/>
          <w14:ligatures w14:val="none"/>
        </w:rPr>
        <w:t>es biais cognitifs sont des mécanismes automatiques de pensée qui influencent nos jugements de manière inconsciente. Dans un contexte de recrutement, ils peuvent fausser l’évaluation d’un candidat.</w:t>
      </w:r>
    </w:p>
    <w:p w14:paraId="1A4C9233" w14:textId="77777777" w:rsidR="007C2668" w:rsidRDefault="007C2668" w:rsidP="007C266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5C9B8D88" w14:textId="736239B4" w:rsidR="007C2668" w:rsidRPr="007C2668" w:rsidRDefault="007C2668" w:rsidP="007C26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C2668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Principaux biais à connaître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3453"/>
        <w:gridCol w:w="3907"/>
      </w:tblGrid>
      <w:tr w:rsidR="007C2668" w:rsidRPr="007C2668" w14:paraId="21474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15A9" w14:textId="77777777" w:rsid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Biais cognitif</w:t>
            </w:r>
          </w:p>
          <w:p w14:paraId="56916F99" w14:textId="77777777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0F27F2" w14:textId="77777777" w:rsid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Définition</w:t>
            </w:r>
          </w:p>
          <w:p w14:paraId="24732E94" w14:textId="77777777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6B1A8E" w14:textId="77777777" w:rsid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Exemple en recrutement</w:t>
            </w:r>
          </w:p>
          <w:p w14:paraId="71CEB01D" w14:textId="77777777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</w:tr>
      <w:tr w:rsidR="007C2668" w:rsidRPr="007C2668" w14:paraId="660AE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6667" w14:textId="77777777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Effet de halo</w:t>
            </w:r>
          </w:p>
        </w:tc>
        <w:tc>
          <w:tcPr>
            <w:tcW w:w="0" w:type="auto"/>
            <w:vAlign w:val="center"/>
            <w:hideMark/>
          </w:tcPr>
          <w:p w14:paraId="4C7662DF" w14:textId="77777777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Tendance à généraliser une impression positive ou négative</w:t>
            </w:r>
          </w:p>
        </w:tc>
        <w:tc>
          <w:tcPr>
            <w:tcW w:w="0" w:type="auto"/>
            <w:vAlign w:val="center"/>
            <w:hideMark/>
          </w:tcPr>
          <w:p w14:paraId="74BBDC9A" w14:textId="77777777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Un candidat bien habillé est perçu comme plus compétent</w:t>
            </w:r>
          </w:p>
        </w:tc>
      </w:tr>
      <w:tr w:rsidR="007C2668" w:rsidRPr="007C2668" w14:paraId="3D218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14F0" w14:textId="77777777" w:rsid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  <w:p w14:paraId="4B430F51" w14:textId="2FE67D06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Biais de similarité</w:t>
            </w:r>
          </w:p>
        </w:tc>
        <w:tc>
          <w:tcPr>
            <w:tcW w:w="0" w:type="auto"/>
            <w:vAlign w:val="center"/>
            <w:hideMark/>
          </w:tcPr>
          <w:p w14:paraId="2D90981A" w14:textId="77777777" w:rsid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  <w:p w14:paraId="66AF7FC6" w14:textId="1F27FA6F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Préférence pour les personnes qui nous ressemblent</w:t>
            </w:r>
          </w:p>
        </w:tc>
        <w:tc>
          <w:tcPr>
            <w:tcW w:w="0" w:type="auto"/>
            <w:vAlign w:val="center"/>
            <w:hideMark/>
          </w:tcPr>
          <w:p w14:paraId="72D6408A" w14:textId="77777777" w:rsid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  <w:p w14:paraId="75C5B79A" w14:textId="51CAF999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Recruter un candidat ayant le même parcours scolaire que soi</w:t>
            </w:r>
          </w:p>
        </w:tc>
      </w:tr>
      <w:tr w:rsidR="007C2668" w:rsidRPr="007C2668" w14:paraId="47479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79BC" w14:textId="77777777" w:rsid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  <w:p w14:paraId="4A1066E7" w14:textId="2076E5CC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Biais de confirmation</w:t>
            </w:r>
          </w:p>
        </w:tc>
        <w:tc>
          <w:tcPr>
            <w:tcW w:w="0" w:type="auto"/>
            <w:vAlign w:val="center"/>
            <w:hideMark/>
          </w:tcPr>
          <w:p w14:paraId="51DFC60E" w14:textId="77777777" w:rsid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  <w:p w14:paraId="6A619C44" w14:textId="77777777" w:rsid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Sélection d’informations qui confirment une opinion préexistante</w:t>
            </w:r>
          </w:p>
          <w:p w14:paraId="72487798" w14:textId="05FCE4BC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08CEA8" w14:textId="77777777" w:rsid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  <w:p w14:paraId="6120ED97" w14:textId="10BDE50D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Ignorer des signaux d’alerte car on a eu une bonne première impression</w:t>
            </w:r>
          </w:p>
        </w:tc>
      </w:tr>
      <w:tr w:rsidR="007C2668" w:rsidRPr="007C2668" w14:paraId="7FAEB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0362" w14:textId="77777777" w:rsid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  <w:p w14:paraId="21A911F0" w14:textId="4CECDFF1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Stéréotypes</w:t>
            </w:r>
          </w:p>
        </w:tc>
        <w:tc>
          <w:tcPr>
            <w:tcW w:w="0" w:type="auto"/>
            <w:vAlign w:val="center"/>
            <w:hideMark/>
          </w:tcPr>
          <w:p w14:paraId="5DCAEA9E" w14:textId="77777777" w:rsid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Jugements fondés sur des idées préconçues liées à un groupe</w:t>
            </w:r>
          </w:p>
          <w:p w14:paraId="6E21F93B" w14:textId="77777777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632C7E" w14:textId="77777777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Penser qu’un jeune est nécessairement immature</w:t>
            </w:r>
          </w:p>
        </w:tc>
      </w:tr>
      <w:tr w:rsidR="007C2668" w:rsidRPr="007C2668" w14:paraId="3DCED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5C80" w14:textId="77777777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Biais d’ancrage</w:t>
            </w:r>
          </w:p>
        </w:tc>
        <w:tc>
          <w:tcPr>
            <w:tcW w:w="0" w:type="auto"/>
            <w:vAlign w:val="center"/>
            <w:hideMark/>
          </w:tcPr>
          <w:p w14:paraId="58007FBA" w14:textId="77777777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Influence excessive d’une première information</w:t>
            </w:r>
          </w:p>
        </w:tc>
        <w:tc>
          <w:tcPr>
            <w:tcW w:w="0" w:type="auto"/>
            <w:vAlign w:val="center"/>
            <w:hideMark/>
          </w:tcPr>
          <w:p w14:paraId="2630EBB2" w14:textId="77777777" w:rsidR="007C2668" w:rsidRPr="007C2668" w:rsidRDefault="007C2668" w:rsidP="007C266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7C266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Proposer un salaire basé uniquement sur le dernier poste du candidat</w:t>
            </w:r>
          </w:p>
        </w:tc>
      </w:tr>
    </w:tbl>
    <w:p w14:paraId="6D89CE8B" w14:textId="77777777" w:rsidR="007C2668" w:rsidRDefault="007C2668" w:rsidP="007C266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445E8203" w14:textId="4C97905B" w:rsidR="007C2668" w:rsidRPr="007C2668" w:rsidRDefault="007C2668" w:rsidP="007C26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C2668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Comment les limiter ?</w:t>
      </w:r>
    </w:p>
    <w:p w14:paraId="78AE7B03" w14:textId="77777777" w:rsidR="007C2668" w:rsidRPr="007C2668" w:rsidRDefault="007C2668" w:rsidP="007C2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C2668">
        <w:rPr>
          <w:rFonts w:ascii="Arial" w:eastAsia="Times New Roman" w:hAnsi="Arial" w:cs="Arial"/>
          <w:kern w:val="0"/>
          <w:lang w:eastAsia="fr-FR"/>
          <w14:ligatures w14:val="none"/>
        </w:rPr>
        <w:t>Utiliser une grille d’entretien structurée avec des critères objectifs</w:t>
      </w:r>
    </w:p>
    <w:p w14:paraId="58B21EB2" w14:textId="77777777" w:rsidR="007C2668" w:rsidRPr="007C2668" w:rsidRDefault="007C2668" w:rsidP="007C2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C2668">
        <w:rPr>
          <w:rFonts w:ascii="Arial" w:eastAsia="Times New Roman" w:hAnsi="Arial" w:cs="Arial"/>
          <w:kern w:val="0"/>
          <w:lang w:eastAsia="fr-FR"/>
          <w14:ligatures w14:val="none"/>
        </w:rPr>
        <w:t>Faire les entretiens à plusieurs (</w:t>
      </w:r>
      <w:proofErr w:type="spellStart"/>
      <w:r w:rsidRPr="007C2668">
        <w:rPr>
          <w:rFonts w:ascii="Arial" w:eastAsia="Times New Roman" w:hAnsi="Arial" w:cs="Arial"/>
          <w:kern w:val="0"/>
          <w:lang w:eastAsia="fr-FR"/>
          <w14:ligatures w14:val="none"/>
        </w:rPr>
        <w:t>co</w:t>
      </w:r>
      <w:proofErr w:type="spellEnd"/>
      <w:r w:rsidRPr="007C2668">
        <w:rPr>
          <w:rFonts w:ascii="Arial" w:eastAsia="Times New Roman" w:hAnsi="Arial" w:cs="Arial"/>
          <w:kern w:val="0"/>
          <w:lang w:eastAsia="fr-FR"/>
          <w14:ligatures w14:val="none"/>
        </w:rPr>
        <w:t>-évaluation)</w:t>
      </w:r>
    </w:p>
    <w:p w14:paraId="44506F33" w14:textId="77777777" w:rsidR="007C2668" w:rsidRPr="007C2668" w:rsidRDefault="007C2668" w:rsidP="007C2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C2668">
        <w:rPr>
          <w:rFonts w:ascii="Arial" w:eastAsia="Times New Roman" w:hAnsi="Arial" w:cs="Arial"/>
          <w:kern w:val="0"/>
          <w:lang w:eastAsia="fr-FR"/>
          <w14:ligatures w14:val="none"/>
        </w:rPr>
        <w:t>Prendre un temps de recul avant de décider</w:t>
      </w:r>
    </w:p>
    <w:p w14:paraId="5CC6DDE1" w14:textId="77777777" w:rsidR="007C2668" w:rsidRPr="007C2668" w:rsidRDefault="007C2668" w:rsidP="007C26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C2668">
        <w:rPr>
          <w:rFonts w:ascii="Arial" w:eastAsia="Times New Roman" w:hAnsi="Arial" w:cs="Arial"/>
          <w:kern w:val="0"/>
          <w:lang w:eastAsia="fr-FR"/>
          <w14:ligatures w14:val="none"/>
        </w:rPr>
        <w:t>Se former à la diversité et à l’inclusion</w:t>
      </w:r>
    </w:p>
    <w:p w14:paraId="4275BF1B" w14:textId="77777777" w:rsidR="007C2668" w:rsidRPr="007C2668" w:rsidRDefault="007C2668" w:rsidP="007C2668">
      <w:pPr>
        <w:rPr>
          <w:rFonts w:ascii="Arial" w:hAnsi="Arial" w:cs="Arial"/>
        </w:rPr>
      </w:pPr>
    </w:p>
    <w:sectPr w:rsidR="007C2668" w:rsidRPr="007C2668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943C8" w14:textId="77777777" w:rsidR="007C2668" w:rsidRDefault="007C2668" w:rsidP="007C2668">
      <w:pPr>
        <w:spacing w:after="0" w:line="240" w:lineRule="auto"/>
      </w:pPr>
      <w:r>
        <w:separator/>
      </w:r>
    </w:p>
  </w:endnote>
  <w:endnote w:type="continuationSeparator" w:id="0">
    <w:p w14:paraId="53D6EFA2" w14:textId="77777777" w:rsidR="007C2668" w:rsidRDefault="007C2668" w:rsidP="007C2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CEC4C" w14:textId="5E2E95BB" w:rsidR="007C2668" w:rsidRDefault="007C2668" w:rsidP="007C2668">
    <w:pPr>
      <w:pStyle w:val="Pieddepage"/>
      <w:jc w:val="center"/>
    </w:pPr>
    <w: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7A2BE" w14:textId="77777777" w:rsidR="007C2668" w:rsidRDefault="007C2668" w:rsidP="007C2668">
      <w:pPr>
        <w:spacing w:after="0" w:line="240" w:lineRule="auto"/>
      </w:pPr>
      <w:r>
        <w:separator/>
      </w:r>
    </w:p>
  </w:footnote>
  <w:footnote w:type="continuationSeparator" w:id="0">
    <w:p w14:paraId="51CA1F5D" w14:textId="77777777" w:rsidR="007C2668" w:rsidRDefault="007C2668" w:rsidP="007C26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F4089"/>
    <w:multiLevelType w:val="multilevel"/>
    <w:tmpl w:val="2CC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464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68"/>
    <w:rsid w:val="00767F26"/>
    <w:rsid w:val="00773DBB"/>
    <w:rsid w:val="007C2668"/>
    <w:rsid w:val="00C2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60C0C"/>
  <w15:chartTrackingRefBased/>
  <w15:docId w15:val="{76765925-C837-4F06-ACC7-7B01A691B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2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2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2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2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2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2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2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266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266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26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26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26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26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2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26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26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266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2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266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266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C26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2668"/>
  </w:style>
  <w:style w:type="paragraph" w:styleId="Pieddepage">
    <w:name w:val="footer"/>
    <w:basedOn w:val="Normal"/>
    <w:link w:val="PieddepageCar"/>
    <w:uiPriority w:val="99"/>
    <w:unhideWhenUsed/>
    <w:rsid w:val="007C26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2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182</Words>
  <Characters>1078</Characters>
  <Application>Microsoft Office Word</Application>
  <DocSecurity>0</DocSecurity>
  <Lines>46</Lines>
  <Paragraphs>30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</cp:revision>
  <dcterms:created xsi:type="dcterms:W3CDTF">2025-10-26T17:46:00Z</dcterms:created>
  <dcterms:modified xsi:type="dcterms:W3CDTF">2025-10-26T17:50:00Z</dcterms:modified>
</cp:coreProperties>
</file>