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space="0"/>
        </w:pBdr>
        <w:shd w:fill="1F4E79" w:val="clear"/>
        <w:spacing w:after="0" w:before="0"/>
      </w:pPr>
      <w:r>
        <w:t xml:space="preserve"/>
      </w:r>
    </w:p>
    <w:p>
      <w:pPr>
        <w:shd w:fill="1F4E79" w:val="clear"/>
        <w:spacing w:after="80" w:before="280"/>
        <w:jc w:val="center"/>
      </w:pPr>
      <w:r>
        <w:rPr>
          <w:rFonts w:ascii="Arial" w:cs="Arial" w:eastAsia="Arial" w:hAnsi="Arial"/>
          <w:b/>
          <w:bCs/>
          <w:color w:val="FFFFFF"/>
          <w:sz w:val="48"/>
          <w:szCs w:val="48"/>
        </w:rPr>
        <w:t xml:space="preserve">How Classification Models</w:t>
      </w:r>
    </w:p>
    <w:p>
      <w:pPr>
        <w:shd w:fill="1F4E79" w:val="clear"/>
        <w:spacing w:after="280" w:before="0"/>
        <w:jc w:val="center"/>
      </w:pPr>
      <w:r>
        <w:rPr>
          <w:rFonts w:ascii="Arial" w:cs="Arial" w:eastAsia="Arial" w:hAnsi="Arial"/>
          <w:b/>
          <w:bCs/>
          <w:color w:val="FFFFFF"/>
          <w:sz w:val="48"/>
          <w:szCs w:val="48"/>
        </w:rPr>
        <w:t xml:space="preserve">Are Improving Our Lives</w:t>
      </w:r>
    </w:p>
    <w:p>
      <w:pPr>
        <w:shd w:fill="2E75B6" w:val="clear"/>
        <w:spacing w:after="120" w:before="120"/>
        <w:jc w:val="center"/>
      </w:pPr>
      <w:r>
        <w:rPr>
          <w:rFonts w:ascii="Arial" w:cs="Arial" w:eastAsia="Arial" w:hAnsi="Arial"/>
          <w:i/>
          <w:iCs/>
          <w:color w:val="FFFFFF"/>
          <w:sz w:val="22"/>
          <w:szCs w:val="22"/>
        </w:rPr>
        <w:t xml:space="preserve">A Review of Machine Learning Applications That Solve Everyday Problems</w:t>
      </w:r>
    </w:p>
    <w:p>
      <w:pPr>
        <w:spacing w:after="320"/>
      </w:pPr>
    </w:p>
    <w:p>
      <w:pPr>
        <w:pStyle w:val="Heading1"/>
        <w:spacing w:after="120" w:before="120"/>
      </w:pPr>
      <w:r>
        <w:rPr>
          <w:rFonts w:ascii="Arial" w:cs="Arial" w:eastAsia="Arial" w:hAnsi="Arial"/>
          <w:b/>
          <w:bCs/>
          <w:color w:val="1F4E79"/>
          <w:sz w:val="32"/>
          <w:szCs w:val="32"/>
        </w:rPr>
        <w:t xml:space="preserve">Introduction</w:t>
      </w:r>
    </w:p>
    <w:p>
      <w:pPr>
        <w:pBdr>
          <w:bottom w:val="single" w:color="2E75B6" w:sz="8" w:space="1"/>
        </w:pBdr>
        <w:spacing w:after="160"/>
      </w:pPr>
    </w:p>
    <w:p>
      <w:pPr>
        <w:spacing w:after="140" w:line="276"/>
      </w:pPr>
      <w:r>
        <w:rPr>
          <w:rFonts w:ascii="Arial" w:cs="Arial" w:eastAsia="Arial" w:hAnsi="Arial"/>
          <w:color w:val="1A1A2E"/>
          <w:sz w:val="22"/>
          <w:szCs w:val="22"/>
        </w:rPr>
        <w:t xml:space="preserve">Classification models are among the most widely deployed tools in modern machine learning. Rather than predicting a continuous numerical value, they assign an input to one of several discrete categories. The decision may be binary — spam or not spam, malignant or benign — or it may span many classes, such as identifying the quality grade of a manufactured product.</w:t>
      </w:r>
    </w:p>
    <w:p>
      <w:pPr>
        <w:spacing w:after="140" w:line="276"/>
      </w:pPr>
      <w:r>
        <w:rPr>
          <w:rFonts w:ascii="Arial" w:cs="Arial" w:eastAsia="Arial" w:hAnsi="Arial"/>
          <w:color w:val="1A1A2E"/>
          <w:sz w:val="22"/>
          <w:szCs w:val="22"/>
        </w:rPr>
        <w:t xml:space="preserve">What elevates classification beyond a computational curiosity is its direct translation into measurable improvements in human welfare. A spam filter running silently in the background saves office workers an estimated 30 minutes per day. A medical classifier identifying suspicious tissue reduces diagnostic delay from weeks to seconds. A sentiment analyser distilling millions of opinions into actionable insight replaces an army of human analysts.</w:t>
      </w:r>
    </w:p>
    <w:p>
      <w:pPr>
        <w:spacing w:after="140" w:line="276"/>
      </w:pPr>
      <w:r>
        <w:rPr>
          <w:rFonts w:ascii="Arial" w:cs="Arial" w:eastAsia="Arial" w:hAnsi="Arial"/>
          <w:color w:val="1A1A2E"/>
          <w:sz w:val="22"/>
          <w:szCs w:val="22"/>
        </w:rPr>
        <w:t xml:space="preserve">This document examines four representative applications, each chosen to illustrate a distinct algorithm family and problem domain. For every case we explore the underlying challenge, the algorithmic approach chosen to address it, the mechanics of how the model operates, its real-world deployment context, and the tangible benefit delivered to individuals and society.</w:t>
      </w:r>
    </w:p>
    <w:p>
      <w:pPr>
        <w:spacing w:after="200"/>
      </w:pPr>
    </w:p>
    <w:p>
      <w:pPr>
        <w:pStyle w:val="Heading2"/>
        <w:spacing w:after="120" w:before="320"/>
      </w:pPr>
      <w:r>
        <w:rPr>
          <w:rFonts w:ascii="Arial" w:cs="Arial" w:eastAsia="Arial" w:hAnsi="Arial"/>
          <w:b/>
          <w:bCs/>
          <w:color w:val="1F4E79"/>
          <w:sz w:val="28"/>
          <w:szCs w:val="28"/>
        </w:rPr>
        <w:t xml:space="preserve">1.  Spam Detection via Naive Bayes Classifier</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Challenge</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Electronic inboxes are overwhelmed by unsolicited messages every day. Manually filtering each message is impractical, and rule-based filters frequently fail to adapt to evolving tactics.</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Approach</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 probabilistic model learns the statistical patterns of legitimate versus junk messages. By examining word frequencies and applying Bayes' theorem, the algorithm calculates the probability that a new, unseen message belongs to each category.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Real-World Use</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Major providers handle billions of messages daily, blocking over 45% of all global email traffic identified as unsolicited. This protection operates transparently and preserves user productivity without manual intervention.</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Human Benefit</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Protects personal privacy, reduces phishing success rates, and recovers hours of productive time for individuals and organisations worldwide.</w:t>
            </w:r>
          </w:p>
        </w:tc>
      </w:tr>
    </w:tbl>
    <w:p>
      <w:pPr>
        <w:spacing w:after="120"/>
      </w:pPr>
    </w:p>
    <w:p>
      <w:pPr>
        <w:spacing w:after="80" w:before="140"/>
      </w:pPr>
      <w:r>
        <w:rPr>
          <w:rFonts w:ascii="Arial" w:cs="Arial" w:eastAsia="Arial" w:hAnsi="Arial"/>
          <w:b/>
          <w:bCs/>
          <w:color w:val="2E75B6"/>
          <w:sz w:val="23"/>
          <w:szCs w:val="23"/>
        </w:rPr>
        <w:t xml:space="preserve">How It Works</w:t>
      </w:r>
    </w:p>
    <w:p>
      <w:pPr>
        <w:pStyle w:val="ListParagraph"/>
        <w:numPr>
          <w:ilvl w:val="0"/>
          <w:numId w:val="2"/>
        </w:numPr>
        <w:spacing w:after="100"/>
      </w:pPr>
      <w:r>
        <w:rPr>
          <w:rFonts w:ascii="Arial" w:cs="Arial" w:eastAsia="Arial" w:hAnsi="Arial"/>
          <w:b w:val="false"/>
          <w:bCs w:val="false"/>
          <w:color w:val="1A1A2E"/>
          <w:sz w:val="22"/>
          <w:szCs w:val="22"/>
        </w:rPr>
        <w:t xml:space="preserve">The training corpus is divided into two labelled groups: wanted messages and unwanted ones.</w:t>
      </w:r>
    </w:p>
    <w:p>
      <w:pPr>
        <w:pStyle w:val="ListParagraph"/>
        <w:numPr>
          <w:ilvl w:val="0"/>
          <w:numId w:val="2"/>
        </w:numPr>
        <w:spacing w:after="100"/>
      </w:pPr>
      <w:r>
        <w:rPr>
          <w:rFonts w:ascii="Arial" w:cs="Arial" w:eastAsia="Arial" w:hAnsi="Arial"/>
          <w:b w:val="false"/>
          <w:bCs w:val="false"/>
          <w:color w:val="1A1A2E"/>
          <w:sz w:val="22"/>
          <w:szCs w:val="22"/>
        </w:rPr>
        <w:t xml:space="preserve">Word occurrence frequencies are computed independently for each group.</w:t>
      </w:r>
    </w:p>
    <w:p>
      <w:pPr>
        <w:pStyle w:val="ListParagraph"/>
        <w:numPr>
          <w:ilvl w:val="0"/>
          <w:numId w:val="2"/>
        </w:numPr>
        <w:spacing w:after="100"/>
      </w:pPr>
      <w:r>
        <w:rPr>
          <w:rFonts w:ascii="Arial" w:cs="Arial" w:eastAsia="Arial" w:hAnsi="Arial"/>
          <w:b w:val="false"/>
          <w:bCs w:val="false"/>
          <w:color w:val="1A1A2E"/>
          <w:sz w:val="22"/>
          <w:szCs w:val="22"/>
        </w:rPr>
        <w:t xml:space="preserve">Conditional probability tables record how likely each word is given each group.</w:t>
      </w:r>
    </w:p>
    <w:p>
      <w:pPr>
        <w:pStyle w:val="ListParagraph"/>
        <w:numPr>
          <w:ilvl w:val="0"/>
          <w:numId w:val="2"/>
        </w:numPr>
        <w:spacing w:after="100"/>
      </w:pPr>
      <w:r>
        <w:rPr>
          <w:rFonts w:ascii="Arial" w:cs="Arial" w:eastAsia="Arial" w:hAnsi="Arial"/>
          <w:b w:val="false"/>
          <w:bCs w:val="false"/>
          <w:color w:val="1A1A2E"/>
          <w:sz w:val="22"/>
          <w:szCs w:val="22"/>
        </w:rPr>
        <w:t xml:space="preserve">At prediction time, word probabilities are multiplied and the higher-probability category wins.</w:t>
      </w:r>
    </w:p>
    <w:p>
      <w:pPr>
        <w:pStyle w:val="ListParagraph"/>
        <w:numPr>
          <w:ilvl w:val="0"/>
          <w:numId w:val="2"/>
        </w:numPr>
        <w:spacing w:after="100"/>
      </w:pPr>
      <w:r>
        <w:rPr>
          <w:rFonts w:ascii="Arial" w:cs="Arial" w:eastAsia="Arial" w:hAnsi="Arial"/>
          <w:b w:val="false"/>
          <w:bCs w:val="false"/>
          <w:color w:val="1A1A2E"/>
          <w:sz w:val="22"/>
          <w:szCs w:val="22"/>
        </w:rPr>
        <w:t xml:space="preserve">Laplace smoothing prevents zero-probability issues for unseen words.</w:t>
      </w:r>
    </w:p>
    <w:p>
      <w:pPr>
        <w:spacing w:after="200"/>
      </w:pPr>
    </w:p>
    <w:p>
      <w:pPr>
        <w:pStyle w:val="Heading2"/>
        <w:spacing w:after="120" w:before="320"/>
      </w:pPr>
      <w:r>
        <w:rPr>
          <w:rFonts w:ascii="Arial" w:cs="Arial" w:eastAsia="Arial" w:hAnsi="Arial"/>
          <w:b/>
          <w:bCs/>
          <w:color w:val="1F4E79"/>
          <w:sz w:val="28"/>
          <w:szCs w:val="28"/>
        </w:rPr>
        <w:t xml:space="preserve">2.  Breast Cancer Detection via Support Vector Machines</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Challenge</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Accurate differentiation between malignant and benign tumours is critical for timely treatment. Radiologists face enormous workloads and fatigue-related errors remain a persistent concern.</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Approach</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 support vector machine constructs an optimal decision boundary in high-dimensional feature space derived from cell-nucleus measurements obtained during biopsies or imaging.</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Real-World Use</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Trained on the widely studied Wisconsin Diagnostic Breast Cancer dataset (569 samples, 30 features), SVM classifiers routinely achieve accuracy above 97%, matching or exceeding specialist radiologists under controlled conditions.</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Human Benefit</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Earlier detection increases survival rates significantly. Automated pre-screening tools reduce the burden on medical staff and improve access to screening in resource-limited settings.</w:t>
            </w:r>
          </w:p>
        </w:tc>
      </w:tr>
    </w:tbl>
    <w:p>
      <w:pPr>
        <w:spacing w:after="120"/>
      </w:pPr>
    </w:p>
    <w:p>
      <w:pPr>
        <w:spacing w:after="80" w:before="140"/>
      </w:pPr>
      <w:r>
        <w:rPr>
          <w:rFonts w:ascii="Arial" w:cs="Arial" w:eastAsia="Arial" w:hAnsi="Arial"/>
          <w:b/>
          <w:bCs/>
          <w:color w:val="2E75B6"/>
          <w:sz w:val="23"/>
          <w:szCs w:val="23"/>
        </w:rPr>
        <w:t xml:space="preserve">How It Works</w:t>
      </w:r>
    </w:p>
    <w:p>
      <w:pPr>
        <w:pStyle w:val="ListParagraph"/>
        <w:numPr>
          <w:ilvl w:val="0"/>
          <w:numId w:val="2"/>
        </w:numPr>
        <w:spacing w:after="100"/>
      </w:pPr>
      <w:r>
        <w:rPr>
          <w:rFonts w:ascii="Arial" w:cs="Arial" w:eastAsia="Arial" w:hAnsi="Arial"/>
          <w:b w:val="false"/>
          <w:bCs w:val="false"/>
          <w:color w:val="1A1A2E"/>
          <w:sz w:val="22"/>
          <w:szCs w:val="22"/>
        </w:rPr>
        <w:t xml:space="preserve">Features such as radius, texture, perimeter, area, and smoothness are extracted from digitised imagery.</w:t>
      </w:r>
    </w:p>
    <w:p>
      <w:pPr>
        <w:pStyle w:val="ListParagraph"/>
        <w:numPr>
          <w:ilvl w:val="0"/>
          <w:numId w:val="2"/>
        </w:numPr>
        <w:spacing w:after="100"/>
      </w:pPr>
      <w:r>
        <w:rPr>
          <w:rFonts w:ascii="Arial" w:cs="Arial" w:eastAsia="Arial" w:hAnsi="Arial"/>
          <w:b w:val="false"/>
          <w:bCs w:val="false"/>
          <w:color w:val="1A1A2E"/>
          <w:sz w:val="22"/>
          <w:szCs w:val="22"/>
        </w:rPr>
        <w:t xml:space="preserve">The SVM kernel (commonly RBF) maps data into a space where classes become linearly separable.</w:t>
      </w:r>
    </w:p>
    <w:p>
      <w:pPr>
        <w:pStyle w:val="ListParagraph"/>
        <w:numPr>
          <w:ilvl w:val="0"/>
          <w:numId w:val="2"/>
        </w:numPr>
        <w:spacing w:after="100"/>
      </w:pPr>
      <w:r>
        <w:rPr>
          <w:rFonts w:ascii="Arial" w:cs="Arial" w:eastAsia="Arial" w:hAnsi="Arial"/>
          <w:b w:val="false"/>
          <w:bCs w:val="false"/>
          <w:color w:val="1A1A2E"/>
          <w:sz w:val="22"/>
          <w:szCs w:val="22"/>
        </w:rPr>
        <w:t xml:space="preserve">The algorithm maximises the margin between the boundary and the nearest data points from each class.</w:t>
      </w:r>
    </w:p>
    <w:p>
      <w:pPr>
        <w:pStyle w:val="ListParagraph"/>
        <w:numPr>
          <w:ilvl w:val="0"/>
          <w:numId w:val="2"/>
        </w:numPr>
        <w:spacing w:after="100"/>
      </w:pPr>
      <w:r>
        <w:rPr>
          <w:rFonts w:ascii="Arial" w:cs="Arial" w:eastAsia="Arial" w:hAnsi="Arial"/>
          <w:b w:val="false"/>
          <w:bCs w:val="false"/>
          <w:color w:val="1A1A2E"/>
          <w:sz w:val="22"/>
          <w:szCs w:val="22"/>
        </w:rPr>
        <w:t xml:space="preserve">Cross-validation tunes the regularisation and kernel parameters to generalise well to unseen patients.</w:t>
      </w:r>
    </w:p>
    <w:p>
      <w:pPr>
        <w:pStyle w:val="ListParagraph"/>
        <w:numPr>
          <w:ilvl w:val="0"/>
          <w:numId w:val="2"/>
        </w:numPr>
        <w:spacing w:after="100"/>
      </w:pPr>
      <w:r>
        <w:rPr>
          <w:rFonts w:ascii="Arial" w:cs="Arial" w:eastAsia="Arial" w:hAnsi="Arial"/>
          <w:b w:val="false"/>
          <w:bCs w:val="false"/>
          <w:color w:val="1A1A2E"/>
          <w:sz w:val="22"/>
          <w:szCs w:val="22"/>
        </w:rPr>
        <w:t xml:space="preserve">Final predictions flag masses as malignant or benign with associated confidence scores.</w:t>
      </w:r>
    </w:p>
    <w:p>
      <w:pPr>
        <w:spacing w:after="200"/>
      </w:pPr>
    </w:p>
    <w:p>
      <w:pPr>
        <w:pStyle w:val="Heading2"/>
        <w:spacing w:after="120" w:before="320"/>
      </w:pPr>
      <w:r>
        <w:rPr>
          <w:rFonts w:ascii="Arial" w:cs="Arial" w:eastAsia="Arial" w:hAnsi="Arial"/>
          <w:b/>
          <w:bCs/>
          <w:color w:val="1F4E79"/>
          <w:sz w:val="28"/>
          <w:szCs w:val="28"/>
        </w:rPr>
        <w:t xml:space="preserve">3.  Sentiment Analysis of Film Reviews</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Challenge</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Studios, streaming platforms, and critics require timely understanding of audience opinion. Manual analysis of millions of online reviews is neither scalable nor objective.</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Approach</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Naive Bayes text classification assigns a positive or negative sentiment label to each review by modelling the probability distribution of vocabulary across sentiment classes.</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Real-World Use</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Platforms such as Rotten Tomatoes, IMDb, and Letterboxd aggregate millions of viewer reviews. Sentiment classifiers enable dashboards that surface audience mood in near real-time, informing marketing and distribution decisions.</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Human Benefit</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Provides studios with rapid feedback loops, empowers viewers to find content aligned with community opinion, and supports researchers studying cultural trends.</w:t>
            </w:r>
          </w:p>
        </w:tc>
      </w:tr>
    </w:tbl>
    <w:p>
      <w:pPr>
        <w:spacing w:after="120"/>
      </w:pPr>
    </w:p>
    <w:p>
      <w:pPr>
        <w:spacing w:after="80" w:before="140"/>
      </w:pPr>
      <w:r>
        <w:rPr>
          <w:rFonts w:ascii="Arial" w:cs="Arial" w:eastAsia="Arial" w:hAnsi="Arial"/>
          <w:b/>
          <w:bCs/>
          <w:color w:val="2E75B6"/>
          <w:sz w:val="23"/>
          <w:szCs w:val="23"/>
        </w:rPr>
        <w:t xml:space="preserve">How It Works</w:t>
      </w:r>
    </w:p>
    <w:p>
      <w:pPr>
        <w:pStyle w:val="ListParagraph"/>
        <w:numPr>
          <w:ilvl w:val="0"/>
          <w:numId w:val="2"/>
        </w:numPr>
        <w:spacing w:after="100"/>
      </w:pPr>
      <w:r>
        <w:rPr>
          <w:rFonts w:ascii="Arial" w:cs="Arial" w:eastAsia="Arial" w:hAnsi="Arial"/>
          <w:b w:val="false"/>
          <w:bCs w:val="false"/>
          <w:color w:val="1A1A2E"/>
          <w:sz w:val="22"/>
          <w:szCs w:val="22"/>
        </w:rPr>
        <w:t xml:space="preserve">Reviews are tokenised and converted to a bag-of-words representation.</w:t>
      </w:r>
    </w:p>
    <w:p>
      <w:pPr>
        <w:pStyle w:val="ListParagraph"/>
        <w:numPr>
          <w:ilvl w:val="0"/>
          <w:numId w:val="2"/>
        </w:numPr>
        <w:spacing w:after="100"/>
      </w:pPr>
      <w:r>
        <w:rPr>
          <w:rFonts w:ascii="Arial" w:cs="Arial" w:eastAsia="Arial" w:hAnsi="Arial"/>
          <w:b w:val="false"/>
          <w:bCs w:val="false"/>
          <w:color w:val="1A1A2E"/>
          <w:sz w:val="22"/>
          <w:szCs w:val="22"/>
        </w:rPr>
        <w:t xml:space="preserve">Stop words are removed and terms may be stemmed or lemmatised.</w:t>
      </w:r>
    </w:p>
    <w:p>
      <w:pPr>
        <w:pStyle w:val="ListParagraph"/>
        <w:numPr>
          <w:ilvl w:val="0"/>
          <w:numId w:val="2"/>
        </w:numPr>
        <w:spacing w:after="100"/>
      </w:pPr>
      <w:r>
        <w:rPr>
          <w:rFonts w:ascii="Arial" w:cs="Arial" w:eastAsia="Arial" w:hAnsi="Arial"/>
          <w:b w:val="false"/>
          <w:bCs w:val="false"/>
          <w:color w:val="1A1A2E"/>
          <w:sz w:val="22"/>
          <w:szCs w:val="22"/>
        </w:rPr>
        <w:t xml:space="preserve">Multinomial Naive Bayes computes the likelihood of the observed word set given each sentiment class.</w:t>
      </w:r>
    </w:p>
    <w:p>
      <w:pPr>
        <w:pStyle w:val="ListParagraph"/>
        <w:numPr>
          <w:ilvl w:val="0"/>
          <w:numId w:val="2"/>
        </w:numPr>
        <w:spacing w:after="100"/>
      </w:pPr>
      <w:r>
        <w:rPr>
          <w:rFonts w:ascii="Arial" w:cs="Arial" w:eastAsia="Arial" w:hAnsi="Arial"/>
          <w:b w:val="false"/>
          <w:bCs w:val="false"/>
          <w:color w:val="1A1A2E"/>
          <w:sz w:val="22"/>
          <w:szCs w:val="22"/>
        </w:rPr>
        <w:t xml:space="preserve">Priors (base rates of positive and negative reviews) are combined with likelihoods via Bayes' theorem.</w:t>
      </w:r>
    </w:p>
    <w:p>
      <w:pPr>
        <w:pStyle w:val="ListParagraph"/>
        <w:numPr>
          <w:ilvl w:val="0"/>
          <w:numId w:val="2"/>
        </w:numPr>
        <w:spacing w:after="100"/>
      </w:pPr>
      <w:r>
        <w:rPr>
          <w:rFonts w:ascii="Arial" w:cs="Arial" w:eastAsia="Arial" w:hAnsi="Arial"/>
          <w:b w:val="false"/>
          <w:bCs w:val="false"/>
          <w:color w:val="1A1A2E"/>
          <w:sz w:val="22"/>
          <w:szCs w:val="22"/>
        </w:rPr>
        <w:t xml:space="preserve">The class with the highest posterior probability determines the predicted sentiment.</w:t>
      </w:r>
    </w:p>
    <w:p>
      <w:pPr>
        <w:spacing w:after="200"/>
      </w:pPr>
    </w:p>
    <w:p>
      <w:pPr>
        <w:pStyle w:val="Heading2"/>
        <w:spacing w:after="120" w:before="320"/>
      </w:pPr>
      <w:r>
        <w:rPr>
          <w:rFonts w:ascii="Arial" w:cs="Arial" w:eastAsia="Arial" w:hAnsi="Arial"/>
          <w:b/>
          <w:bCs/>
          <w:color w:val="1F4E79"/>
          <w:sz w:val="28"/>
          <w:szCs w:val="28"/>
        </w:rPr>
        <w:t xml:space="preserve">4.  Wine Quality Prediction via Decision Trees</w:t>
      </w:r>
    </w:p>
    <w:p>
      <w:pPr>
        <w:pBdr>
          <w:bottom w:val="single" w:color="2E75B6"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Challenge</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Traditional wine grading depends on a limited panel of trained tasters, introducing subjectivity and bottleneck delays in quality assurance during large-scale production.</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Approach</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 decision tree constructs a hierarchical series of threshold tests on measurable physicochemical properties, arriving at a quality score without human sensory evaluation.</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Real-World Use</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Wineries in Portugal and internationally have piloted machine-learning grading systems using the UCI Wine Quality dataset (red and white variants, over 6,000 samples). Automated assessment operates continuously on the production line.</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Human Benefit</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Reduces reliance on costly expert tasters for routine batches, enables consistent grading at scale, and identifies process variables that most strongly influence final quality.</w:t>
            </w:r>
          </w:p>
        </w:tc>
      </w:tr>
    </w:tbl>
    <w:p>
      <w:pPr>
        <w:spacing w:after="120"/>
      </w:pPr>
    </w:p>
    <w:p>
      <w:pPr>
        <w:spacing w:after="80" w:before="140"/>
      </w:pPr>
      <w:r>
        <w:rPr>
          <w:rFonts w:ascii="Arial" w:cs="Arial" w:eastAsia="Arial" w:hAnsi="Arial"/>
          <w:b/>
          <w:bCs/>
          <w:color w:val="2E75B6"/>
          <w:sz w:val="23"/>
          <w:szCs w:val="23"/>
        </w:rPr>
        <w:t xml:space="preserve">How It Works</w:t>
      </w:r>
    </w:p>
    <w:p>
      <w:pPr>
        <w:pStyle w:val="ListParagraph"/>
        <w:numPr>
          <w:ilvl w:val="0"/>
          <w:numId w:val="2"/>
        </w:numPr>
        <w:spacing w:after="100"/>
      </w:pPr>
      <w:r>
        <w:rPr>
          <w:rFonts w:ascii="Arial" w:cs="Arial" w:eastAsia="Arial" w:hAnsi="Arial"/>
          <w:b w:val="false"/>
          <w:bCs w:val="false"/>
          <w:color w:val="1A1A2E"/>
          <w:sz w:val="22"/>
          <w:szCs w:val="22"/>
        </w:rPr>
        <w:t xml:space="preserve">Properties such as fixed acidity, volatile acidity, citric acid, residual sugar, and alcohol content are measured analytically.</w:t>
      </w:r>
    </w:p>
    <w:p>
      <w:pPr>
        <w:pStyle w:val="ListParagraph"/>
        <w:numPr>
          <w:ilvl w:val="0"/>
          <w:numId w:val="2"/>
        </w:numPr>
        <w:spacing w:after="100"/>
      </w:pPr>
      <w:r>
        <w:rPr>
          <w:rFonts w:ascii="Arial" w:cs="Arial" w:eastAsia="Arial" w:hAnsi="Arial"/>
          <w:b w:val="false"/>
          <w:bCs w:val="false"/>
          <w:color w:val="1A1A2E"/>
          <w:sz w:val="22"/>
          <w:szCs w:val="22"/>
        </w:rPr>
        <w:t xml:space="preserve">The tree algorithm selects the feature and split threshold that maximises information gain or minimises Gini impurity at each node.</w:t>
      </w:r>
    </w:p>
    <w:p>
      <w:pPr>
        <w:pStyle w:val="ListParagraph"/>
        <w:numPr>
          <w:ilvl w:val="0"/>
          <w:numId w:val="2"/>
        </w:numPr>
        <w:spacing w:after="100"/>
      </w:pPr>
      <w:r>
        <w:rPr>
          <w:rFonts w:ascii="Arial" w:cs="Arial" w:eastAsia="Arial" w:hAnsi="Arial"/>
          <w:b w:val="false"/>
          <w:bCs w:val="false"/>
          <w:color w:val="1A1A2E"/>
          <w:sz w:val="22"/>
          <w:szCs w:val="22"/>
        </w:rPr>
        <w:t xml:space="preserve">Branching continues recursively until leaves are sufficiently pure or depth limits are reached.</w:t>
      </w:r>
    </w:p>
    <w:p>
      <w:pPr>
        <w:pStyle w:val="ListParagraph"/>
        <w:numPr>
          <w:ilvl w:val="0"/>
          <w:numId w:val="2"/>
        </w:numPr>
        <w:spacing w:after="100"/>
      </w:pPr>
      <w:r>
        <w:rPr>
          <w:rFonts w:ascii="Arial" w:cs="Arial" w:eastAsia="Arial" w:hAnsi="Arial"/>
          <w:b w:val="false"/>
          <w:bCs w:val="false"/>
          <w:color w:val="1A1A2E"/>
          <w:sz w:val="22"/>
          <w:szCs w:val="22"/>
        </w:rPr>
        <w:t xml:space="preserve">Pruning reduces overfitting, and ensembles such as random forests further stabilise predictions.</w:t>
      </w:r>
    </w:p>
    <w:p>
      <w:pPr>
        <w:pStyle w:val="ListParagraph"/>
        <w:numPr>
          <w:ilvl w:val="0"/>
          <w:numId w:val="2"/>
        </w:numPr>
        <w:spacing w:after="100"/>
      </w:pPr>
      <w:r>
        <w:rPr>
          <w:rFonts w:ascii="Arial" w:cs="Arial" w:eastAsia="Arial" w:hAnsi="Arial"/>
          <w:b w:val="false"/>
          <w:bCs w:val="false"/>
          <w:color w:val="1A1A2E"/>
          <w:sz w:val="22"/>
          <w:szCs w:val="22"/>
        </w:rPr>
        <w:t xml:space="preserve">Output is a quality class (e.g., low, medium, high) or a numeric score on a standard scale.</w:t>
      </w:r>
    </w:p>
    <w:p>
      <w:pPr>
        <w:spacing w:after="200"/>
      </w:pPr>
    </w:p>
    <w:p>
      <w:pPr>
        <w:pStyle w:val="Heading1"/>
        <w:spacing w:after="120" w:before="200"/>
      </w:pPr>
      <w:r>
        <w:rPr>
          <w:rFonts w:ascii="Arial" w:cs="Arial" w:eastAsia="Arial" w:hAnsi="Arial"/>
          <w:b/>
          <w:bCs/>
          <w:color w:val="1F4E79"/>
          <w:sz w:val="32"/>
          <w:szCs w:val="32"/>
        </w:rPr>
        <w:t xml:space="preserve">Conclusion</w:t>
      </w:r>
    </w:p>
    <w:p>
      <w:pPr>
        <w:pBdr>
          <w:bottom w:val="single" w:color="2E75B6" w:sz="8" w:space="1"/>
        </w:pBdr>
        <w:spacing w:after="160"/>
      </w:pPr>
    </w:p>
    <w:p>
      <w:pPr>
        <w:spacing w:after="140" w:line="276"/>
      </w:pPr>
      <w:r>
        <w:rPr>
          <w:rFonts w:ascii="Arial" w:cs="Arial" w:eastAsia="Arial" w:hAnsi="Arial"/>
          <w:color w:val="1A1A2E"/>
          <w:sz w:val="22"/>
          <w:szCs w:val="22"/>
        </w:rPr>
        <w:t xml:space="preserve">The four applications surveyed here — email filtering, cancer detection, sentiment analysis, and quality prediction — span domains as different as consumer technology and life-critical medicine. Yet they share a common thread: each replaces or augments a human judgement task that is either too slow, too expensive, too error-prone, or simply too large in volume for unaided human cognition.</w:t>
      </w:r>
    </w:p>
    <w:p>
      <w:pPr>
        <w:spacing w:after="140" w:line="276"/>
      </w:pPr>
      <w:r>
        <w:rPr>
          <w:rFonts w:ascii="Arial" w:cs="Arial" w:eastAsia="Arial" w:hAnsi="Arial"/>
          <w:color w:val="1A1A2E"/>
          <w:sz w:val="22"/>
          <w:szCs w:val="22"/>
        </w:rPr>
        <w:t xml:space="preserve">Naive Bayes thrives on high-dimensional text through its conditional independence assumption. Support vector machines find optimal boundaries in complex feature spaces, proving invaluable where data dimensionality is high and labelled examples are scarce. Decision trees and their ensemble descendants offer interpretable, auditable reasoning chains — a property especially valued in regulated industries.</w:t>
      </w:r>
    </w:p>
    <w:p>
      <w:pPr>
        <w:spacing w:after="140" w:line="276"/>
      </w:pPr>
      <w:r>
        <w:rPr>
          <w:rFonts w:ascii="Arial" w:cs="Arial" w:eastAsia="Arial" w:hAnsi="Arial"/>
          <w:color w:val="1A1A2E"/>
          <w:sz w:val="22"/>
          <w:szCs w:val="22"/>
        </w:rPr>
        <w:t xml:space="preserve">Looking ahead, the trajectory of classification modelling points toward greater transparency, lower data requirements via few-shot and transfer learning, and tighter integration with domain expertise. As these techniques mature, their potential to address challenges in education, environmental monitoring, financial inclusion, and public health will only deepen.</w:t>
      </w:r>
    </w:p>
    <w:p>
      <w:pPr>
        <w:spacing w:after="140" w:line="276"/>
      </w:pPr>
      <w:r>
        <w:rPr>
          <w:rFonts w:ascii="Arial" w:cs="Arial" w:eastAsia="Arial" w:hAnsi="Arial"/>
          <w:i/>
          <w:iCs/>
          <w:color w:val="1A1A2E"/>
          <w:sz w:val="22"/>
          <w:szCs w:val="22"/>
        </w:rPr>
        <w:t xml:space="preserve">The common denominator across every successful deployment is not algorithmic sophistication alone, but the thoughtful pairing of the right model with a clearly defined human need. Classification modelling, at its best, is a discipline of empathy as much as mathematics.</w:t>
      </w:r>
    </w:p>
    <w:p>
      <w:pPr>
        <w:spacing w:after="20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FFFFFF"/>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2026-06-24T10:12:18.523Z</dcterms:created>
  <dcterms:modified xsi:type="dcterms:W3CDTF">2026-06-24T10:12:18.523Z</dcterms:modified>
</cp:coreProperties>
</file>

<file path=docProps/custom.xml><?xml version="1.0" encoding="utf-8"?>
<Properties xmlns="http://schemas.openxmlformats.org/officeDocument/2006/custom-properties" xmlns:vt="http://schemas.openxmlformats.org/officeDocument/2006/docPropsVTypes"/>
</file>