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400"/>
              <w:left w:type="dxa" w:w="400"/>
              <w:bottom w:type="dxa" w:w="400"/>
              <w:right w:type="dxa" w:w="400"/>
            </w:tcMar>
          </w:tcPr>
          <w:p>
            <w:pPr>
              <w:spacing w:after="100"/>
              <w:jc w:val="center"/>
            </w:pPr>
            <w:r>
              <w:rPr>
                <w:rFonts w:ascii="Arial" w:cs="Arial" w:eastAsia="Arial" w:hAnsi="Arial"/>
                <w:b/>
                <w:bCs/>
                <w:color w:val="FFFFFF"/>
                <w:sz w:val="52"/>
                <w:szCs w:val="52"/>
              </w:rPr>
              <w:t xml:space="preserve">⚠️  PSM-X5</w:t>
            </w:r>
          </w:p>
          <w:p>
            <w:pPr>
              <w:spacing w:after="100"/>
              <w:jc w:val="center"/>
            </w:pPr>
            <w:r>
              <w:rPr>
                <w:rFonts w:ascii="Arial" w:cs="Arial" w:eastAsia="Arial" w:hAnsi="Arial"/>
                <w:color w:val="D4A574"/>
                <w:sz w:val="36"/>
                <w:szCs w:val="36"/>
              </w:rPr>
              <w:t xml:space="preserve">Process Safety Management X5</w:t>
            </w:r>
          </w:p>
          <w:p>
            <w:pPr>
              <w:spacing w:after="60"/>
              <w:jc w:val="center"/>
            </w:pPr>
            <w:r>
              <w:rPr>
                <w:rFonts w:ascii="Arial" w:cs="Arial" w:eastAsia="Arial" w:hAnsi="Arial"/>
                <w:i/>
                <w:iCs/>
                <w:color w:val="E5E7EB"/>
                <w:sz w:val="24"/>
                <w:szCs w:val="24"/>
              </w:rPr>
              <w:t xml:space="preserve">Plateforme Agentique de Sécurité des Procédés</w:t>
            </w:r>
          </w:p>
        </w:tc>
      </w:tr>
    </w:tbl>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5E7EB" w:sz="1"/>
              <w:left w:val="single" w:color="E5E7EB" w:sz="1"/>
              <w:bottom w:val="single" w:color="E5E7EB" w:sz="1"/>
              <w:right w:val="single" w:color="E94560" w:sz="2"/>
            </w:tcBorders>
            <w:tcMar>
              <w:top w:type="dxa" w:w="80"/>
              <w:left w:type="dxa" w:w="120"/>
              <w:bottom w:type="dxa" w:w="80"/>
              <w:right w:type="dxa" w:w="120"/>
            </w:tcMar>
          </w:tcPr>
          <w:p>
            <w:pPr>
              <w:jc w:val="right"/>
            </w:pPr>
            <w:r>
              <w:rPr>
                <w:rFonts w:ascii="Arial" w:cs="Arial" w:eastAsia="Arial" w:hAnsi="Arial"/>
                <w:b/>
                <w:bCs/>
                <w:color w:val="0F3460"/>
                <w:sz w:val="20"/>
                <w:szCs w:val="20"/>
              </w:rPr>
              <w:t xml:space="preserve">Plateforme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AgenticX5 — Module #26</w:t>
            </w:r>
          </w:p>
        </w:tc>
      </w:tr>
      <w:tr>
        <w:tc>
          <w:tcPr>
            <w:tcW w:type="dxa" w:w="2400"/>
            <w:tcBorders>
              <w:top w:val="single" w:color="E5E7EB" w:sz="1"/>
              <w:left w:val="single" w:color="E5E7EB" w:sz="1"/>
              <w:bottom w:val="single" w:color="E5E7EB" w:sz="1"/>
              <w:right w:val="single" w:color="E94560" w:sz="2"/>
            </w:tcBorders>
            <w:tcMar>
              <w:top w:type="dxa" w:w="80"/>
              <w:left w:type="dxa" w:w="120"/>
              <w:bottom w:type="dxa" w:w="80"/>
              <w:right w:type="dxa" w:w="120"/>
            </w:tcMar>
          </w:tcPr>
          <w:p>
            <w:pPr>
              <w:jc w:val="right"/>
            </w:pPr>
            <w:r>
              <w:rPr>
                <w:rFonts w:ascii="Arial" w:cs="Arial" w:eastAsia="Arial" w:hAnsi="Arial"/>
                <w:b/>
                <w:bCs/>
                <w:color w:val="0F3460"/>
                <w:sz w:val="20"/>
                <w:szCs w:val="20"/>
              </w:rPr>
              <w:t xml:space="preserve">Écosystème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GenAISafety / Preventera</w:t>
            </w:r>
          </w:p>
        </w:tc>
      </w:tr>
      <w:tr>
        <w:tc>
          <w:tcPr>
            <w:tcW w:type="dxa" w:w="2400"/>
            <w:tcBorders>
              <w:top w:val="single" w:color="E5E7EB" w:sz="1"/>
              <w:left w:val="single" w:color="E5E7EB" w:sz="1"/>
              <w:bottom w:val="single" w:color="E5E7EB" w:sz="1"/>
              <w:right w:val="single" w:color="E94560" w:sz="2"/>
            </w:tcBorders>
            <w:tcMar>
              <w:top w:type="dxa" w:w="80"/>
              <w:left w:type="dxa" w:w="120"/>
              <w:bottom w:type="dxa" w:w="80"/>
              <w:right w:type="dxa" w:w="120"/>
            </w:tcMar>
          </w:tcPr>
          <w:p>
            <w:pPr>
              <w:jc w:val="right"/>
            </w:pPr>
            <w:r>
              <w:rPr>
                <w:rFonts w:ascii="Arial" w:cs="Arial" w:eastAsia="Arial" w:hAnsi="Arial"/>
                <w:b/>
                <w:bCs/>
                <w:color w:val="0F3460"/>
                <w:sz w:val="20"/>
                <w:szCs w:val="20"/>
              </w:rPr>
              <w:t xml:space="preserve">Version</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v1.0 — Descriptif Projet</w:t>
            </w:r>
          </w:p>
        </w:tc>
      </w:tr>
      <w:tr>
        <w:tc>
          <w:tcPr>
            <w:tcW w:type="dxa" w:w="2400"/>
            <w:tcBorders>
              <w:top w:val="single" w:color="E5E7EB" w:sz="1"/>
              <w:left w:val="single" w:color="E5E7EB" w:sz="1"/>
              <w:bottom w:val="single" w:color="E5E7EB" w:sz="1"/>
              <w:right w:val="single" w:color="E94560" w:sz="2"/>
            </w:tcBorders>
            <w:tcMar>
              <w:top w:type="dxa" w:w="80"/>
              <w:left w:type="dxa" w:w="120"/>
              <w:bottom w:type="dxa" w:w="80"/>
              <w:right w:type="dxa" w:w="120"/>
            </w:tcMar>
          </w:tcPr>
          <w:p>
            <w:pPr>
              <w:jc w:val="right"/>
            </w:pPr>
            <w:r>
              <w:rPr>
                <w:rFonts w:ascii="Arial" w:cs="Arial" w:eastAsia="Arial" w:hAnsi="Arial"/>
                <w:b/>
                <w:bCs/>
                <w:color w:val="0F3460"/>
                <w:sz w:val="20"/>
                <w:szCs w:val="20"/>
              </w:rPr>
              <w:t xml:space="preserve">Date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Mars 2026</w:t>
            </w:r>
          </w:p>
        </w:tc>
      </w:tr>
      <w:tr>
        <w:tc>
          <w:tcPr>
            <w:tcW w:type="dxa" w:w="2400"/>
            <w:tcBorders>
              <w:top w:val="single" w:color="E5E7EB" w:sz="1"/>
              <w:left w:val="single" w:color="E5E7EB" w:sz="1"/>
              <w:bottom w:val="single" w:color="E5E7EB" w:sz="1"/>
              <w:right w:val="single" w:color="E94560" w:sz="2"/>
            </w:tcBorders>
            <w:tcMar>
              <w:top w:type="dxa" w:w="80"/>
              <w:left w:type="dxa" w:w="120"/>
              <w:bottom w:type="dxa" w:w="80"/>
              <w:right w:type="dxa" w:w="120"/>
            </w:tcMar>
          </w:tcPr>
          <w:p>
            <w:pPr>
              <w:jc w:val="right"/>
            </w:pPr>
            <w:r>
              <w:rPr>
                <w:rFonts w:ascii="Arial" w:cs="Arial" w:eastAsia="Arial" w:hAnsi="Arial"/>
                <w:b/>
                <w:bCs/>
                <w:color w:val="0F3460"/>
                <w:sz w:val="20"/>
                <w:szCs w:val="20"/>
              </w:rPr>
              <w:t xml:space="preserve">Classification</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Confidentiel</w:t>
            </w:r>
          </w:p>
        </w:tc>
      </w:tr>
      <w:tr>
        <w:tc>
          <w:tcPr>
            <w:tcW w:type="dxa" w:w="2400"/>
            <w:tcBorders>
              <w:top w:val="single" w:color="E5E7EB" w:sz="1"/>
              <w:left w:val="single" w:color="E5E7EB" w:sz="1"/>
              <w:bottom w:val="single" w:color="E5E7EB" w:sz="1"/>
              <w:right w:val="single" w:color="E94560" w:sz="2"/>
            </w:tcBorders>
            <w:tcMar>
              <w:top w:type="dxa" w:w="80"/>
              <w:left w:type="dxa" w:w="120"/>
              <w:bottom w:type="dxa" w:w="80"/>
              <w:right w:type="dxa" w:w="120"/>
            </w:tcMar>
          </w:tcPr>
          <w:p>
            <w:pPr>
              <w:jc w:val="right"/>
            </w:pPr>
            <w:r>
              <w:rPr>
                <w:rFonts w:ascii="Arial" w:cs="Arial" w:eastAsia="Arial" w:hAnsi="Arial"/>
                <w:b/>
                <w:bCs/>
                <w:color w:val="0F3460"/>
                <w:sz w:val="20"/>
                <w:szCs w:val="20"/>
              </w:rPr>
              <w:t xml:space="preserve">Auteur</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Mario Deshaies, VP AI / CTO</w:t>
            </w:r>
          </w:p>
        </w:tc>
      </w:tr>
    </w:tbl>
    <w:p>
      <w:pPr>
        <w:spacing w:before="1200"/>
        <w:jc w:val="center"/>
      </w:pPr>
      <w:r>
        <w:rPr>
          <w:rFonts w:ascii="Arial" w:cs="Arial" w:eastAsia="Arial" w:hAnsi="Arial"/>
          <w:color w:val="6B7280"/>
          <w:sz w:val="18"/>
          <w:szCs w:val="18"/>
        </w:rPr>
        <w:t xml:space="preserve">genaisafety.online  —  team@agenticx5.com</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1. Résumé Exécutif</w:t>
            </w:r>
          </w:p>
          <w:p>
            <w:r>
              <w:rPr>
                <w:rFonts w:ascii="Arial" w:cs="Arial" w:eastAsia="Arial" w:hAnsi="Arial"/>
                <w:i/>
                <w:iCs/>
                <w:color w:val="D4A574"/>
                <w:sz w:val="20"/>
                <w:szCs w:val="20"/>
              </w:rPr>
              <w:t xml:space="preserve">Pourquoi PSM-X5 transforme la sécurité des procédés</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PSM-X5 (Process Safety Management X5) est la 26e plateforme de l’écosystème AgenticX5, dédiée à l’automatisation intelligente de la gestion de la sécurité des procédés industriels. Basée sur les 14 éléments du standard OSHA PSM (29 CFR 1910.119), enrichie par les cadres IEC 61511, ISA-84, API, NFPA et les meilleures pratiques CCPS/ICMM, PSM-X5 transforme une obligation réglementaire complexe en un système agentique proactif, prédictif et entièrement traçable.</w:t>
      </w:r>
    </w:p>
    <w:p>
      <w:pPr>
        <w:spacing w:after="160"/>
        <w:jc w:val="left"/>
      </w:pPr>
      <w:r>
        <w:rPr>
          <w:rFonts w:ascii="Arial" w:cs="Arial" w:eastAsia="Arial" w:hAnsi="Arial"/>
          <w:b w:val="false"/>
          <w:bCs w:val="false"/>
          <w:i w:val="false"/>
          <w:iCs w:val="false"/>
          <w:color w:val="333333"/>
          <w:sz w:val="22"/>
          <w:szCs w:val="22"/>
        </w:rPr>
        <w:t xml:space="preserve">Contrairement aux approches traditionnelles — papier, silos, audits rétroactifs — PSM-X5 orchestre 14 agents IA spécialisés qui collaborent en temps réel pour identifier les déviations, prédire les scénarios de relâchement catastrophique, automatiser les workflows MOC/PSSR, et générer les packs d’évidence pour audits de conformité réglementaire.</w:t>
      </w:r>
    </w:p>
    <w:p>
      <w:pPr>
        <w:spacing w:after="160"/>
        <w:jc w:val="left"/>
      </w:pPr>
      <w:r>
        <w:rPr>
          <w:rFonts w:ascii="Arial" w:cs="Arial" w:eastAsia="Arial" w:hAnsi="Arial"/>
          <w:b w:val="false"/>
          <w:bCs w:val="false"/>
          <w:i w:val="false"/>
          <w:iCs w:val="false"/>
          <w:color w:val="333333"/>
          <w:sz w:val="22"/>
          <w:szCs w:val="22"/>
        </w:rPr>
        <w:t xml:space="preserve">La plateforme est agnostique par rapport au secteur d’activité : mines et métallurgie, pétrochimie, raffinage, énergie, manufacturing, traitement des eaux, agroalimentaire, ou toute industrie manipulant des substances hautement dangereuses (HHC).</w:t>
      </w:r>
    </w:p>
    <w:p>
      <w:pPr>
        <w:pStyle w:val="Heading3"/>
        <w:spacing w:after="200" w:before="240"/>
      </w:pPr>
      <w:r>
        <w:rPr>
          <w:rFonts w:ascii="Arial" w:cs="Arial" w:eastAsia="Arial" w:hAnsi="Arial"/>
          <w:b/>
          <w:bCs/>
          <w:color w:val="0F3460"/>
          <w:sz w:val="24"/>
          <w:szCs w:val="24"/>
        </w:rPr>
        <w:t xml:space="preserve">Métriques Cibles PSM-X5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Agents IA spécialisés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14 agents PSM + coordination EDGY-AgenticX5</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Standards couverts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OSHA PSM, EPA RMP, IEC 61511, ISA-84, API 754, NFPA, CCPS, RAGAGEP</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Éléments PSM automatisés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14/14 éléments OSHA PSM couverts par agents IA</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Prédiction scénarios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HAZOP/LOPA assistés IA, Bow-Tie automatisé &lt;5min</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Réduction alarm floods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Corrélation SENTINEL·X5, -65 à -87% d’alarmes parasites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Temps audit conformité</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Génération pack évidence &lt;2h (vs 2-4 semaines manuel)</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Secteurs cibles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Mines, Pétrochimie, Raffinage, Énergie, Manufacturing, Agroalimentaire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Conformité multi-juridictionnelle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OSHA, CNESST, EU Seveso III, COMAH UK, INERIS FR, SAIS SA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2. Contexte et Problématique</w:t>
            </w:r>
          </w:p>
          <w:p>
            <w:r>
              <w:rPr>
                <w:rFonts w:ascii="Arial" w:cs="Arial" w:eastAsia="Arial" w:hAnsi="Arial"/>
                <w:i/>
                <w:iCs/>
                <w:color w:val="D4A574"/>
                <w:sz w:val="20"/>
                <w:szCs w:val="20"/>
              </w:rPr>
              <w:t xml:space="preserve">Le défi mondial de la sécurité des procédés</w:t>
            </w:r>
          </w:p>
        </w:tc>
      </w:tr>
    </w:tbl>
    <w:p>
      <w:pPr>
        <w:spacing w:before="200"/>
      </w:pPr>
    </w:p>
    <w:p>
      <w:pPr>
        <w:pStyle w:val="Heading2"/>
        <w:spacing w:after="200" w:before="240"/>
      </w:pPr>
      <w:r>
        <w:rPr>
          <w:rFonts w:ascii="Arial" w:cs="Arial" w:eastAsia="Arial" w:hAnsi="Arial"/>
          <w:b/>
          <w:bCs/>
          <w:color w:val="0F3460"/>
          <w:sz w:val="28"/>
          <w:szCs w:val="28"/>
        </w:rPr>
        <w:t xml:space="preserve">2.1 Le cadre réglementaire PSM</w:t>
      </w:r>
    </w:p>
    <w:p>
      <w:pPr>
        <w:spacing w:after="160"/>
        <w:jc w:val="left"/>
      </w:pPr>
      <w:r>
        <w:rPr>
          <w:rFonts w:ascii="Arial" w:cs="Arial" w:eastAsia="Arial" w:hAnsi="Arial"/>
          <w:b w:val="false"/>
          <w:bCs w:val="false"/>
          <w:i w:val="false"/>
          <w:iCs w:val="false"/>
          <w:color w:val="333333"/>
          <w:sz w:val="22"/>
          <w:szCs w:val="22"/>
        </w:rPr>
        <w:t xml:space="preserve">Le Process Safety Management (PSM) a été institué par OSHA en 1992 suite à la catastrophe de Bhopal (1984) et aux amendements du Clean Air Act de 1990. Le standard 29 CFR 1910.119 impose aux employeurs manipulant des substances hautement dangereuses (HHC) au-dessus de quantités seuils d’implémenter un programme de sécurité des procédés structuré autour de 14 éléments interconnectés.</w:t>
      </w:r>
    </w:p>
    <w:p>
      <w:pPr>
        <w:spacing w:after="160"/>
        <w:jc w:val="left"/>
      </w:pPr>
      <w:r>
        <w:rPr>
          <w:rFonts w:ascii="Arial" w:cs="Arial" w:eastAsia="Arial" w:hAnsi="Arial"/>
          <w:b w:val="false"/>
          <w:bCs w:val="false"/>
          <w:i w:val="false"/>
          <w:iCs w:val="false"/>
          <w:color w:val="333333"/>
          <w:sz w:val="22"/>
          <w:szCs w:val="22"/>
        </w:rPr>
        <w:t xml:space="preserve">PSM est un standard « performance-based » : il définit les objectifs et laisse aux employeurs la flexibilité de conception. C’est précisément ce qui rend l’IA agentique si pertinente — elle permet de créer des implémentations adaptées, intelligentes et auto-améliorantes.</w:t>
      </w:r>
    </w:p>
    <w:p>
      <w:pPr>
        <w:pStyle w:val="Heading2"/>
        <w:spacing w:after="200" w:before="240"/>
      </w:pPr>
      <w:r>
        <w:rPr>
          <w:rFonts w:ascii="Arial" w:cs="Arial" w:eastAsia="Arial" w:hAnsi="Arial"/>
          <w:b/>
          <w:bCs/>
          <w:color w:val="0F3460"/>
          <w:sz w:val="28"/>
          <w:szCs w:val="28"/>
        </w:rPr>
        <w:t xml:space="preserve">2.2 Les défis actuels</w:t>
      </w:r>
    </w:p>
    <w:p>
      <w:pPr>
        <w:spacing w:after="160"/>
        <w:jc w:val="left"/>
      </w:pPr>
      <w:r>
        <w:rPr>
          <w:rFonts w:ascii="Arial" w:cs="Arial" w:eastAsia="Arial" w:hAnsi="Arial"/>
          <w:b w:val="false"/>
          <w:bCs w:val="false"/>
          <w:i w:val="false"/>
          <w:iCs w:val="false"/>
          <w:color w:val="333333"/>
          <w:sz w:val="22"/>
          <w:szCs w:val="22"/>
        </w:rPr>
        <w:t xml:space="preserve">Les programmes PSM traditionnels souffrent de problèmes systémiques qui limitent leur efficacité : la documentation reste largement papier ou dans des systèmes fragmentés, les HAZOP sont des exercices ponctuels coûteux de 3 à 5 jours ne produisant que des snapshots statiques, les processus MOC (Management of Change) sont bureaucratiques avec des délais de traitement de 2 à 6 semaines, les audits de conformité triennaux requis par OSHA mobilisent des équipes entières pendant des semaines, et l’investigation d’incidents reste réactive plutôt que prédictive.</w:t>
      </w:r>
    </w:p>
    <w:p>
      <w:pPr>
        <w:spacing w:after="160"/>
        <w:jc w:val="left"/>
      </w:pPr>
      <w:r>
        <w:rPr>
          <w:rFonts w:ascii="Arial" w:cs="Arial" w:eastAsia="Arial" w:hAnsi="Arial"/>
          <w:b w:val="false"/>
          <w:bCs w:val="false"/>
          <w:i w:val="false"/>
          <w:iCs w:val="false"/>
          <w:color w:val="333333"/>
          <w:sz w:val="22"/>
          <w:szCs w:val="22"/>
        </w:rPr>
        <w:t xml:space="preserve">Une seule citation OSHA pour non-conformité PSM peut coûter jusqu’à 156 259 $ USD pour violation répétée. Au-delà des amendes, un relâchement catastrophique peut arrêter les opérations et détruire la réputation d’une organisation.</w:t>
      </w:r>
    </w:p>
    <w:p>
      <w:pPr>
        <w:pStyle w:val="Heading2"/>
        <w:spacing w:after="200" w:before="240"/>
      </w:pPr>
      <w:r>
        <w:rPr>
          <w:rFonts w:ascii="Arial" w:cs="Arial" w:eastAsia="Arial" w:hAnsi="Arial"/>
          <w:b/>
          <w:bCs/>
          <w:color w:val="0F3460"/>
          <w:sz w:val="28"/>
          <w:szCs w:val="28"/>
        </w:rPr>
        <w:t xml:space="preserve">2.3 L’opportunité PSM-X5</w:t>
      </w:r>
    </w:p>
    <w:p>
      <w:pPr>
        <w:spacing w:after="160"/>
        <w:jc w:val="left"/>
      </w:pPr>
      <w:r>
        <w:rPr>
          <w:rFonts w:ascii="Arial" w:cs="Arial" w:eastAsia="Arial" w:hAnsi="Arial"/>
          <w:b w:val="false"/>
          <w:bCs w:val="false"/>
          <w:i w:val="false"/>
          <w:iCs w:val="false"/>
          <w:color w:val="333333"/>
          <w:sz w:val="22"/>
          <w:szCs w:val="22"/>
        </w:rPr>
        <w:t xml:space="preserve">PSM-X5 transforme chacun des 14 éléments en processus agentique continu, prédictif et traçable. L’IA ne remplace pas l’expertise humaine — elle l’amplifie. Chaque décision critique maintient le Human-in-the-Loop, conformément à la Charte d’Écosystème AgenticX5.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3. Les 14 Éléments PSM Agentiques</w:t>
            </w:r>
          </w:p>
          <w:p>
            <w:r>
              <w:rPr>
                <w:rFonts w:ascii="Arial" w:cs="Arial" w:eastAsia="Arial" w:hAnsi="Arial"/>
                <w:i/>
                <w:iCs/>
                <w:color w:val="D4A574"/>
                <w:sz w:val="20"/>
                <w:szCs w:val="20"/>
              </w:rPr>
              <w:t xml:space="preserve">Chaque élément OSHA transformé par l’IA</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Chacun des 14 éléments OSHA PSM est couvert par un ou plusieurs agents IA spécialisés dans PSM-X5. Voici la correspondance complète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560"/>
        <w:gridCol w:w="2400"/>
      </w:tblGrid>
      <w:tr>
        <w:tc>
          <w:tcPr>
            <w:tcW w:type="dxa" w:w="600"/>
            <w:tcBorders>
              <w:top w:val="single" w:color="E5E7EB" w:sz="1"/>
              <w:left w:val="single" w:color="E5E7EB" w:sz="1"/>
              <w:bottom w:val="single" w:color="E5E7EB" w:sz="1"/>
              <w:right w:val="single" w:color="E5E7EB" w:sz="1"/>
            </w:tcBorders>
            <w:shd w:fill="16697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E5E7EB" w:sz="1"/>
              <w:left w:val="single" w:color="E5E7EB" w:sz="1"/>
              <w:bottom w:val="single" w:color="E5E7EB" w:sz="1"/>
              <w:right w:val="single" w:color="E5E7EB" w:sz="1"/>
            </w:tcBorders>
            <w:shd w:fill="16697A" w:val="clear"/>
            <w:tcMar>
              <w:top w:type="dxa" w:w="80"/>
              <w:left w:type="dxa" w:w="120"/>
              <w:bottom w:type="dxa" w:w="80"/>
              <w:right w:type="dxa" w:w="120"/>
            </w:tcMar>
          </w:tcPr>
          <w:p>
            <w:r>
              <w:rPr>
                <w:rFonts w:ascii="Arial" w:cs="Arial" w:eastAsia="Arial" w:hAnsi="Arial"/>
                <w:b/>
                <w:bCs/>
                <w:color w:val="FFFFFF"/>
                <w:sz w:val="18"/>
                <w:szCs w:val="18"/>
              </w:rPr>
              <w:t xml:space="preserve">Élément PSM</w:t>
            </w:r>
          </w:p>
        </w:tc>
        <w:tc>
          <w:tcPr>
            <w:tcW w:type="dxa" w:w="3560"/>
            <w:tcBorders>
              <w:top w:val="single" w:color="E5E7EB" w:sz="1"/>
              <w:left w:val="single" w:color="E5E7EB" w:sz="1"/>
              <w:bottom w:val="single" w:color="E5E7EB" w:sz="1"/>
              <w:right w:val="single" w:color="E5E7EB" w:sz="1"/>
            </w:tcBorders>
            <w:shd w:fill="16697A" w:val="clear"/>
            <w:tcMar>
              <w:top w:type="dxa" w:w="80"/>
              <w:left w:type="dxa" w:w="120"/>
              <w:bottom w:type="dxa" w:w="80"/>
              <w:right w:type="dxa" w:w="120"/>
            </w:tcMar>
          </w:tcPr>
          <w:p>
            <w:r>
              <w:rPr>
                <w:rFonts w:ascii="Arial" w:cs="Arial" w:eastAsia="Arial" w:hAnsi="Arial"/>
                <w:b/>
                <w:bCs/>
                <w:color w:val="FFFFFF"/>
                <w:sz w:val="18"/>
                <w:szCs w:val="18"/>
              </w:rPr>
              <w:t xml:space="preserve">Automatisation IA AgenticX5</w:t>
            </w:r>
          </w:p>
        </w:tc>
        <w:tc>
          <w:tcPr>
            <w:tcW w:type="dxa" w:w="2400"/>
            <w:tcBorders>
              <w:top w:val="single" w:color="E5E7EB" w:sz="1"/>
              <w:left w:val="single" w:color="E5E7EB" w:sz="1"/>
              <w:bottom w:val="single" w:color="E5E7EB" w:sz="1"/>
              <w:right w:val="single" w:color="E5E7EB" w:sz="1"/>
            </w:tcBorders>
            <w:shd w:fill="16697A" w:val="clear"/>
            <w:tcMar>
              <w:top w:type="dxa" w:w="80"/>
              <w:left w:type="dxa" w:w="120"/>
              <w:bottom w:type="dxa" w:w="80"/>
              <w:right w:type="dxa" w:w="120"/>
            </w:tcMar>
          </w:tcPr>
          <w:p>
            <w:r>
              <w:rPr>
                <w:rFonts w:ascii="Arial" w:cs="Arial" w:eastAsia="Arial" w:hAnsi="Arial"/>
                <w:b/>
                <w:bCs/>
                <w:color w:val="FFFFFF"/>
                <w:sz w:val="18"/>
                <w:szCs w:val="18"/>
              </w:rPr>
              <w:t xml:space="preserve">Agent(s) PSM-X5</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1</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Employee Participation</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Plateforme engagement digital, sondages culture sécurité automatisés, feedback loop continu, NLP sentiment analysis</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A1-Participation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Process Safety Information (PSI)</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Indexation RAG de toute la doc PSI (P&amp;ID, MSDS, specs), mise à jour auto via MOC, accès naturel langage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A2-PSI-RAG</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3</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Process Hazard Analysis (PHA)</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HAZOP/HAZID assistés IA, génération noeud-déviation auto, LOPA semi-quantitatif, Bow-Tie automatisé</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A3-PHA-Engine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Operating Procedures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Génération/mise à jour procédures IA, vérification conformité automatique, alertes obsoléscence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A4-OpsProc</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5</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Training</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Parcours adaptatifs LiteraCIA, VR scénarios SafeTwinX5, certification tracking, formation HHC automatisée</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A5-Training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6</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Contractors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Onboarding automatisé avec vérification compétences, orientation site, certificats HHC, monitoring conformité</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A6-Contractor</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7</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Pre-Startup Safety Review (PSSR)</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Workflow PSSR digital, checklists générées dynamiquement par type d’équipement, validation multi-approbateurs</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A7-PSSR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8</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Mechanical Integrity</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Maintenance prédictive IoT, inspection assistée vision, conformité RAGAGEP auto, intégrité SIS/SIF/SIL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A8-MechInt</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9</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Hot Work Permits</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Permis digitaux géolocalisés, détection zones ATEX auto, expiration/renouvellement, contrôle atmosphère</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A9-HotWork</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Management of Change (MOC)</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Workflow MOC intégral IA, évaluation impact automatique, notification stakeholders, mise à jour PSI cascade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A10-MOC</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11</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Incident Investigation</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Root Cause Analysis IA assisté, Bow-Tie post-incident, corrélation SafetyGraph Neo4j, actions correctives</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A11-RCA</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Emergency Planning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Plans d’urgence dynamiques, simulation scénarios what-if, coordination autorités locales, drills auto-générés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A12-Emergency</w:t>
            </w:r>
          </w:p>
        </w:tc>
      </w:tr>
      <w:tr>
        <w:tc>
          <w:tcPr>
            <w:tcW w:type="dxa" w:w="6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13</w:t>
            </w:r>
          </w:p>
        </w:tc>
        <w:tc>
          <w:tcPr>
            <w:tcW w:type="dxa" w:w="28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bCs/>
                <w:color w:val="333333"/>
                <w:sz w:val="17"/>
                <w:szCs w:val="17"/>
              </w:rPr>
              <w:t xml:space="preserve">Compliance Audits</w:t>
            </w:r>
          </w:p>
        </w:tc>
        <w:tc>
          <w:tcPr>
            <w:tcW w:type="dxa" w:w="356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Génération pack évidence triennal, gap analysis automatisé, scoring conformité par élément, audit trail PROV-O</w:t>
            </w:r>
          </w:p>
        </w:tc>
        <w:tc>
          <w:tcPr>
            <w:tcW w:type="dxa" w:w="2400"/>
            <w:tcBorders>
              <w:top w:val="single" w:color="E5E7EB" w:sz="1"/>
              <w:left w:val="single" w:color="E5E7EB" w:sz="1"/>
              <w:bottom w:val="single" w:color="E5E7EB" w:sz="1"/>
              <w:right w:val="single" w:color="E5E7EB" w:sz="1"/>
            </w:tcBorders>
            <w:shd w:fill="E6F7F9" w:val="clear"/>
            <w:tcMar>
              <w:top w:type="dxa" w:w="80"/>
              <w:left w:type="dxa" w:w="120"/>
              <w:bottom w:type="dxa" w:w="80"/>
              <w:right w:type="dxa" w:w="120"/>
            </w:tcMar>
          </w:tcPr>
          <w:p>
            <w:r>
              <w:rPr>
                <w:rFonts w:ascii="Arial" w:cs="Arial" w:eastAsia="Arial" w:hAnsi="Arial"/>
                <w:b w:val="false"/>
                <w:bCs w:val="false"/>
                <w:color w:val="333333"/>
                <w:sz w:val="17"/>
                <w:szCs w:val="17"/>
              </w:rPr>
              <w:t xml:space="preserve">A13-Audit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Trade Secrets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Classification auto documents, accès RBAC granulaire, traçabilité consultations, conformité partage PSI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A14-InfoSec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4. Architecture Multi-Agents PSM-X5</w:t>
            </w:r>
          </w:p>
          <w:p>
            <w:r>
              <w:rPr>
                <w:rFonts w:ascii="Arial" w:cs="Arial" w:eastAsia="Arial" w:hAnsi="Arial"/>
                <w:i/>
                <w:iCs/>
                <w:color w:val="D4A574"/>
                <w:sz w:val="20"/>
                <w:szCs w:val="20"/>
              </w:rPr>
              <w:t xml:space="preserve">14 agents spécialisés orchestrés par EDGY</w:t>
            </w:r>
          </w:p>
        </w:tc>
      </w:tr>
    </w:tbl>
    <w:p>
      <w:pPr>
        <w:spacing w:before="200"/>
      </w:pPr>
    </w:p>
    <w:p>
      <w:pPr>
        <w:pStyle w:val="Heading2"/>
        <w:spacing w:after="200" w:before="240"/>
      </w:pPr>
      <w:r>
        <w:rPr>
          <w:rFonts w:ascii="Arial" w:cs="Arial" w:eastAsia="Arial" w:hAnsi="Arial"/>
          <w:b/>
          <w:bCs/>
          <w:color w:val="0F3460"/>
          <w:sz w:val="28"/>
          <w:szCs w:val="28"/>
        </w:rPr>
        <w:t xml:space="preserve">4.1 Pipeline Agentique PSM-X5</w:t>
      </w:r>
    </w:p>
    <w:p>
      <w:pPr>
        <w:spacing w:after="160"/>
        <w:jc w:val="left"/>
      </w:pPr>
      <w:r>
        <w:rPr>
          <w:rFonts w:ascii="Arial" w:cs="Arial" w:eastAsia="Arial" w:hAnsi="Arial"/>
          <w:b w:val="false"/>
          <w:bCs w:val="false"/>
          <w:i w:val="false"/>
          <w:iCs w:val="false"/>
          <w:color w:val="333333"/>
          <w:sz w:val="22"/>
          <w:szCs w:val="22"/>
        </w:rPr>
        <w:t xml:space="preserve">PSM-X5 suit l’architecture WAVE 4 d’AgenticX5 en 5 niveaux, adaptée aux exigences spécifiques de la sécurité des procédés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Niveau 1 — Collecte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Capteurs IoT (pression, température, débit, niveaux), DCS/SCADA, P&amp;ID digitaux, MSDS, historique incidents, données météo</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Niveau 2 — Normalisation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Harmonisation multi-sources, validation données procédé, enrichissement contextuel PSI, mapping RAGAGEP</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Niveau 3 — Intelligence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HAZOP assisté IA, LOPA quantitatif, Bow-Tie automatisé, prédiction déviations, corrélation graphe Neo4j</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Niveau 4 — Coordination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Workflows MOC/PSSR orchestrés, routage multi-approbateurs, résolution conflits, priorisation risques</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Niveau 5 — Interface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Dashboard PSM 14 éléments, alertes temps réel, rapports génératifs, pack évidence audit, API partenaires</w:t>
            </w:r>
          </w:p>
        </w:tc>
      </w:tr>
    </w:tbl>
    <w:p>
      <w:pPr>
        <w:pStyle w:val="Heading2"/>
        <w:spacing w:after="200" w:before="240"/>
      </w:pPr>
      <w:r>
        <w:rPr>
          <w:rFonts w:ascii="Arial" w:cs="Arial" w:eastAsia="Arial" w:hAnsi="Arial"/>
          <w:b/>
          <w:bCs/>
          <w:color w:val="0F3460"/>
          <w:sz w:val="28"/>
          <w:szCs w:val="28"/>
        </w:rPr>
        <w:t xml:space="preserve">4.2 Les 14 Agents SPécialisés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560"/>
        <w:gridCol w:w="3400"/>
      </w:tblGrid>
      <w:tr>
        <w:tc>
          <w:tcPr>
            <w:tcW w:type="dxa" w:w="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Agent ID</w:t>
            </w:r>
          </w:p>
        </w:tc>
        <w:tc>
          <w:tcPr>
            <w:tcW w:type="dxa" w:w="35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Nom / Fonction</w:t>
            </w:r>
          </w:p>
        </w:tc>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Capacités clés</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A1</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Participation</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Engagement Employés</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Sondages NLP, feedback sécurité, analyse sentiment, gamification, tableau bord participation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PSI-RAG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Process Safety Information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RAG 1536 dims sur doc PSI, extraction P&amp;ID, MSDS indexées, recherche sémantique langage naturel</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A3</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PHA-Engine</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Analyse Dangers Procédés</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HAZOP/HAZID IA, génération noeuds/déviations, LOPA semi-quantitatif, Bow-Tie auto</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A4</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OpsProc</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Procédures Opérationnelles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Rédaction/MAJ procédures, conformité auto, alertes obsoléscence, versionning</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A5</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Training</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Formation PSM</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Parcours adaptatifs HHC, VR scénarios urgence, certification tracking, refresher 3 ans auto</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A6</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Contractor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Gestion Sous-traitants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Onboarding digital, vérification qualifications, orientation HHC site-specific, monitoring</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A7</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PSSR</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Revue Pré-Démarrage</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Checklists dynamiques, validation multi-signateurs, intégration MOC, PHA pre-check</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A8</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MechInt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Intégrité Mécanique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Prédictif IoT, SIS/SIF/SIL vérification, RAGAGEP compliance, inspection CV assistée</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A9</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HotWork</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Permis Travaux Chauds</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Permis digitaux géolocalisés, détection ATEX, expiration auto, monitoring atmosphère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A10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MOC</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Management of Change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Workflow complet, évaluation impact auto, notifications cascade, MAJ PSI/PHA intégrée</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A11</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RCA</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Investigation Incidents</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Root Cause Analysis IA, 5-Why automatisé, Bow-Tie post-incident, actions correctives trackées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A12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Emergency</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Planification Urgence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Plans dynamiques, simulation relâchement, coordination PMU, drills auto-générés</w:t>
            </w:r>
          </w:p>
        </w:tc>
      </w:tr>
      <w:tr>
        <w:tc>
          <w:tcPr>
            <w:tcW w:type="dxa" w:w="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A13</w:t>
            </w:r>
          </w:p>
        </w:tc>
        <w:tc>
          <w:tcPr>
            <w:tcW w:type="dxa" w:w="1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Audit</w:t>
            </w:r>
          </w:p>
        </w:tc>
        <w:tc>
          <w:tcPr>
            <w:tcW w:type="dxa" w:w="35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Conformité &amp; Audit</w:t>
            </w:r>
          </w:p>
        </w:tc>
        <w:tc>
          <w:tcPr>
            <w:tcW w:type="dxa" w:w="3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Pack évidence 14 éléments, gap analysis, scoring conformité, rapport triennal PROV-O</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A14</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InfoSec</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Sécurité Information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Classification documents, RBAC, trade secrets, traçabilité accès PSI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5. Capacités Techniques Clés</w:t>
            </w:r>
          </w:p>
          <w:p>
            <w:r>
              <w:rPr>
                <w:rFonts w:ascii="Arial" w:cs="Arial" w:eastAsia="Arial" w:hAnsi="Arial"/>
                <w:i/>
                <w:iCs/>
                <w:color w:val="D4A574"/>
                <w:sz w:val="20"/>
                <w:szCs w:val="20"/>
              </w:rPr>
              <w:t xml:space="preserve">IA appliquée à la sécurité des procédés</w:t>
            </w:r>
          </w:p>
        </w:tc>
      </w:tr>
    </w:tbl>
    <w:p>
      <w:pPr>
        <w:spacing w:before="200"/>
      </w:pPr>
    </w:p>
    <w:p>
      <w:pPr>
        <w:pStyle w:val="Heading2"/>
        <w:spacing w:after="200" w:before="240"/>
      </w:pPr>
      <w:r>
        <w:rPr>
          <w:rFonts w:ascii="Arial" w:cs="Arial" w:eastAsia="Arial" w:hAnsi="Arial"/>
          <w:b/>
          <w:bCs/>
          <w:color w:val="0F3460"/>
          <w:sz w:val="28"/>
          <w:szCs w:val="28"/>
        </w:rPr>
        <w:t xml:space="preserve">5.1 HAZOP/LOPA Assistés par IA</w:t>
      </w:r>
    </w:p>
    <w:p>
      <w:pPr>
        <w:spacing w:after="160"/>
        <w:jc w:val="left"/>
      </w:pPr>
      <w:r>
        <w:rPr>
          <w:rFonts w:ascii="Arial" w:cs="Arial" w:eastAsia="Arial" w:hAnsi="Arial"/>
          <w:b w:val="false"/>
          <w:bCs w:val="false"/>
          <w:i w:val="false"/>
          <w:iCs w:val="false"/>
          <w:color w:val="333333"/>
          <w:sz w:val="22"/>
          <w:szCs w:val="22"/>
        </w:rPr>
        <w:t xml:space="preserve">L’agent A3-PHA-Engine révolutionne l’analyse des dangers des procédés. À partir des P&amp;ID digitaux et de la documentation PSI indexée par A2-PSI-RAG, l’agent génère automatiquement les noeuds d’étude HAZOP (déviations, causes, conséquences, protections existantes) en s’appuyant sur le Knowledge Graph SafetyGraph qui contient 22M+ incidents historiques. L’équipe HAZOP humaine valide, ajuste et enrichit — réduisant un exercice de 3-5 jours à 1-2 jours tout en améliorant la couverture des scénarios.</w:t>
      </w:r>
    </w:p>
    <w:p>
      <w:pPr>
        <w:spacing w:after="160"/>
        <w:jc w:val="left"/>
      </w:pPr>
      <w:r>
        <w:rPr>
          <w:rFonts w:ascii="Arial" w:cs="Arial" w:eastAsia="Arial" w:hAnsi="Arial"/>
          <w:b w:val="false"/>
          <w:bCs w:val="false"/>
          <w:i w:val="false"/>
          <w:iCs w:val="false"/>
          <w:color w:val="333333"/>
          <w:sz w:val="22"/>
          <w:szCs w:val="22"/>
        </w:rPr>
        <w:t xml:space="preserve">La LOPA (Layer of Protection Analysis) semi-quantitative est calculée automatiquement avec les IPL (Independent Protection Layers) identifiées et leurs PFD (Probability of Failure on Demand), alimentant directement les Bow-Tie diagrams générés en &lt;5 minutes.</w:t>
      </w:r>
    </w:p>
    <w:p>
      <w:pPr>
        <w:pStyle w:val="Heading2"/>
        <w:spacing w:after="200" w:before="240"/>
      </w:pPr>
      <w:r>
        <w:rPr>
          <w:rFonts w:ascii="Arial" w:cs="Arial" w:eastAsia="Arial" w:hAnsi="Arial"/>
          <w:b/>
          <w:bCs/>
          <w:color w:val="0F3460"/>
          <w:sz w:val="28"/>
          <w:szCs w:val="28"/>
        </w:rPr>
        <w:t xml:space="preserve">5.2 SIS/SIF/SIL Intelligence</w:t>
      </w:r>
    </w:p>
    <w:p>
      <w:pPr>
        <w:spacing w:after="160"/>
        <w:jc w:val="left"/>
      </w:pPr>
      <w:r>
        <w:rPr>
          <w:rFonts w:ascii="Arial" w:cs="Arial" w:eastAsia="Arial" w:hAnsi="Arial"/>
          <w:b w:val="false"/>
          <w:bCs w:val="false"/>
          <w:i w:val="false"/>
          <w:iCs w:val="false"/>
          <w:color w:val="333333"/>
          <w:sz w:val="22"/>
          <w:szCs w:val="22"/>
        </w:rPr>
        <w:t xml:space="preserve">PSM-X5 intègre la vérification des Systèmes Instrumentés de Sécurité (SIS) conformément à IEC 61511 et ISA-84. L’agent A8-MechInt effectue la vérification SIL (Safety Integrity Level) en continu, surveille les taux de défaillance des SIF (Safety Instrumented Functions), et déclenche des alertes prédictives avant dégradation sous le SIL cible. La fusion avec les données IoT permet un monitoring en temps réel de l’intégrité de chaque boucle de sécurité.</w:t>
      </w:r>
    </w:p>
    <w:p>
      <w:pPr>
        <w:pStyle w:val="Heading2"/>
        <w:spacing w:after="200" w:before="240"/>
      </w:pPr>
      <w:r>
        <w:rPr>
          <w:rFonts w:ascii="Arial" w:cs="Arial" w:eastAsia="Arial" w:hAnsi="Arial"/>
          <w:b/>
          <w:bCs/>
          <w:color w:val="0F3460"/>
          <w:sz w:val="28"/>
          <w:szCs w:val="28"/>
        </w:rPr>
        <w:t xml:space="preserve">5.3 MOC Intelligent et PSSR Dynamique</w:t>
      </w:r>
    </w:p>
    <w:p>
      <w:pPr>
        <w:spacing w:after="160"/>
        <w:jc w:val="left"/>
      </w:pPr>
      <w:r>
        <w:rPr>
          <w:rFonts w:ascii="Arial" w:cs="Arial" w:eastAsia="Arial" w:hAnsi="Arial"/>
          <w:b w:val="false"/>
          <w:bCs w:val="false"/>
          <w:i w:val="false"/>
          <w:iCs w:val="false"/>
          <w:color w:val="333333"/>
          <w:sz w:val="22"/>
          <w:szCs w:val="22"/>
        </w:rPr>
        <w:t xml:space="preserve">Le Management of Change est le talon d’Achille de nombreux programmes PSM. L’agent A10-MOC automatise le workflow complet : soumission de changement, évaluation d’impact automatisée (technique, sécurité, santé, procédures), routage multi-approbateurs intelligent, notification des parties prenantes, et mise à jour en cascade de la PSI, des PHA et des procédures opérationnelles. Les PSSR générées par A7-PSSR incluent des checklists dynamiques adaptées au type de changement.</w:t>
      </w:r>
    </w:p>
    <w:p>
      <w:pPr>
        <w:pStyle w:val="Heading2"/>
        <w:spacing w:after="200" w:before="240"/>
      </w:pPr>
      <w:r>
        <w:rPr>
          <w:rFonts w:ascii="Arial" w:cs="Arial" w:eastAsia="Arial" w:hAnsi="Arial"/>
          <w:b/>
          <w:bCs/>
          <w:color w:val="0F3460"/>
          <w:sz w:val="28"/>
          <w:szCs w:val="28"/>
        </w:rPr>
        <w:t xml:space="preserve">5.4 Root Cause Analysis IA et Corrélation Graph</w:t>
      </w:r>
    </w:p>
    <w:p>
      <w:pPr>
        <w:spacing w:after="160"/>
        <w:jc w:val="left"/>
      </w:pPr>
      <w:r>
        <w:rPr>
          <w:rFonts w:ascii="Arial" w:cs="Arial" w:eastAsia="Arial" w:hAnsi="Arial"/>
          <w:b w:val="false"/>
          <w:bCs w:val="false"/>
          <w:i w:val="false"/>
          <w:iCs w:val="false"/>
          <w:color w:val="333333"/>
          <w:sz w:val="22"/>
          <w:szCs w:val="22"/>
        </w:rPr>
        <w:t xml:space="preserve">L’investigation d’incidents est transformée par A11-RCA qui combine la méthode 5-Why automatisée avec le traversal du Knowledge Graph SafetyGraph pour identifier des patterns causaux cross-incidents. Les Bow-Tie post-incident sont générés automatiquement avec les barrières défaillantes mises en évidence. Les actions correctives sont suivies, assignées et escaladées automatiquement avec vérification d’efficacité.</w:t>
      </w:r>
    </w:p>
    <w:p>
      <w:pPr>
        <w:pStyle w:val="Heading2"/>
        <w:spacing w:after="200" w:before="240"/>
      </w:pPr>
      <w:r>
        <w:rPr>
          <w:rFonts w:ascii="Arial" w:cs="Arial" w:eastAsia="Arial" w:hAnsi="Arial"/>
          <w:b/>
          <w:bCs/>
          <w:color w:val="0F3460"/>
          <w:sz w:val="28"/>
          <w:szCs w:val="28"/>
        </w:rPr>
        <w:t xml:space="preserve">5.5 Audit Continu et Pack Évidence</w:t>
      </w:r>
    </w:p>
    <w:p>
      <w:pPr>
        <w:spacing w:after="160"/>
        <w:jc w:val="left"/>
      </w:pPr>
      <w:r>
        <w:rPr>
          <w:rFonts w:ascii="Arial" w:cs="Arial" w:eastAsia="Arial" w:hAnsi="Arial"/>
          <w:b w:val="false"/>
          <w:bCs w:val="false"/>
          <w:i w:val="false"/>
          <w:iCs w:val="false"/>
          <w:color w:val="333333"/>
          <w:sz w:val="22"/>
          <w:szCs w:val="22"/>
        </w:rPr>
        <w:t xml:space="preserve">Au lieu d’attendre l’audit triennal OSHA pour découvrir les gaps, A13-Audit maintient un scoring de conformité continu pour chacun des 14 éléments PSM. Le pack d’évidence complet est généré en &lt;2h (vs 2-4 semaines en mode manuel), incluant les documents PSI, rapports PHA, registres de formation, logs MOC/PSSR, rapports d’investigation, et historique d’audit — le tout avec traçabilité PROV-O complète.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6. Standards et Conformité Multi-Juridictionnelle</w:t>
            </w:r>
          </w:p>
          <w:p>
            <w:r>
              <w:rPr>
                <w:rFonts w:ascii="Arial" w:cs="Arial" w:eastAsia="Arial" w:hAnsi="Arial"/>
                <w:i/>
                <w:iCs/>
                <w:color w:val="D4A574"/>
                <w:sz w:val="20"/>
                <w:szCs w:val="20"/>
              </w:rPr>
              <w:t xml:space="preserve">40+ normes unifiées</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PSM-X5 est conçu avec la conformité multi-juridictionnelle native, héritant de l’infrastructure SafetyGraph et Standards-Gouvernance AgenticX5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OSHA PSM (29 CFR 1910.119)</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14 éléments complets, États-Unis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EPA RMP (40 CFR Part 68)</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Management Program, règle complémentaire EPA</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IEC 61511 / ISA-84</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SIS/SIF/SIL, systèmes instrumentés de sécurité</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API 754</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Indicateurs sécurité procédés (Tier 1-4)</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CCPS / AIChE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Guidelines PSM, Risk-Based Process Safety (RBPS)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NFPA 30 / 70E / 652</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Liquides inflammables, sécurité électrique, poussières combustibles</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ATEX (EU 2014/34/EU)</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Atmosphères explosives, zones classées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Seveso III (EU 2012/18/EU)</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Directive européenne accidents majeurs</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COMAH (UK)</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Control of Major Accident Hazards, UK</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SAIS (Saudi Arabia)</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Réglementations saoudiennes sécurité industrielle</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CNESST (Québec)</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Règlements provinciaux matières dangereuses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MSHA (USA)</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Mine Safety and Health Administration</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ISO 45001 / 31000</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Système management SST / Gestion risques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RAGAGEP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Recognized and Generally Accepted Good Engineering Practices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7. Interconnexions Écosystème AgenticX5</w:t>
            </w:r>
          </w:p>
          <w:p>
            <w:r>
              <w:rPr>
                <w:rFonts w:ascii="Arial" w:cs="Arial" w:eastAsia="Arial" w:hAnsi="Arial"/>
                <w:i/>
                <w:iCs/>
                <w:color w:val="D4A574"/>
                <w:sz w:val="20"/>
                <w:szCs w:val="20"/>
              </w:rPr>
              <w:t xml:space="preserve">Effet multiplicateur inter-plateformes</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PSM-X5 s’intègre nativement dans l’écosystème de 25+ plateformes AgenticX5, créant un effet multiplicateur unique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EDGY-AgenticX5</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Orchestrateur central, coordination des 14 agents PSM-X5 via LangGraph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SafetyGraph</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Knowledge Graph Neo4j 22M+ incidents, corrélation causale cross-PSM</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SENTINEL·X5</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Alarm Intelligence, réduction floods 65-87%, ISA-18.2 compliance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SafeScan360</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Computer Vision, détection EPI/zones interdites temps réel YOLOv8</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SafeTwinX5</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Jumeau numérique BIM, simulation scénarios relâchement 3D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DensityGuard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Monitoring procédé minier, capteurs densité/atmosphère toxique</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BehaviorX</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Analyse comportementale 7D, facteurs humains pré-incident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HolisticErgo</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Ergonomie postes process, fatigue opérateurs DCS/salle contrôle</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LiteraCIA</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Formation adaptative PSM, parcours certification HHC</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SafeVision SST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Vidéos formation générées IA, scénarios urgence PSM</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Hovermap Safety</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Inspection LiDAR zones confinées ATEX, cartographie 3D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Standards-Gouvernance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Règles opérationnelles automatisées, seuils capteurs, packs évidence</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RackingX5</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Sécurité stockage HHC, intégrité structures, détection surcharges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IGNITIA</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Priorisation investissements PSM, scoring ROI améliorations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8. Stack Technique PSM-X5</w:t>
            </w:r>
          </w:p>
          <w:p>
            <w:r>
              <w:rPr>
                <w:rFonts w:ascii="Arial" w:cs="Arial" w:eastAsia="Arial" w:hAnsi="Arial"/>
                <w:i/>
                <w:iCs/>
                <w:color w:val="D4A574"/>
                <w:sz w:val="20"/>
                <w:szCs w:val="20"/>
              </w:rPr>
              <w:t xml:space="preserve">Technologies production-grade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LLMs &amp; IA Générative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Claude 4.6 Sonnet (rapports, HAZOP assisté), GPT-5o (embedding PSI), Llama 3.3 70B (edge)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Orchestration Agents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LangGraph 0.3.x (14 agents), CrewAI Enterprise (coordination cross-platform)</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Knowledge Graph</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Neo4j Aura Enterprise, Cypher &lt;50ms, PROV-O traçabilité</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RAG &amp; Vector DB</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Pinecone 1536 dims (PSI indexation), LangChain pipelines, hybrid search</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ML Prédictif</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TFT multi-horizons, XGBoost 42 features, GNN GraphSAGE corrélation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Computer Vision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YOLO v8/v11 (inspection, zones ATEX), SafeScan360 intégration</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IoT &amp; SCADA</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MQTT (AWS IoT Core), OPC-UA, Modbus, intégration DCS natifs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SIS/SIL Tools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Vérification SIL IEC 61511, monitoring PFD temps réel, alertes dégradation</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Frontend</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React 18.3, D3.js (Bow-Tie viz), Recharts, Tailwind CSS, shadcn/ui</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Déploiement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Kubernetes 1.30, AWS (primaire), Netlify (dashboards), GitHub Actions CI/CD</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Monitoring</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Datadog, Grafana, OpenTelemetry, MLflow (model tracking)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9. Métriques d’Impact Projetées</w:t>
            </w:r>
          </w:p>
          <w:p>
            <w:r>
              <w:rPr>
                <w:rFonts w:ascii="Arial" w:cs="Arial" w:eastAsia="Arial" w:hAnsi="Arial"/>
                <w:i/>
                <w:iCs/>
                <w:color w:val="D4A574"/>
                <w:sz w:val="20"/>
                <w:szCs w:val="20"/>
              </w:rPr>
              <w:t xml:space="preserve">Avant/Après PSM-X5</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Les métriques suivantes sont des projections modélisées basées sur les résultats documentés des autres plateformes AgenticX5 et les benchmarks industrie. Elles ne constituent pas des garanties.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5E7EB" w:sz="1"/>
              <w:left w:val="single" w:color="E5E7EB" w:sz="1"/>
              <w:bottom w:val="single" w:color="E5E7EB" w:sz="1"/>
              <w:right w:val="single" w:color="E5E7EB"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Métrique</w:t>
            </w:r>
          </w:p>
        </w:tc>
        <w:tc>
          <w:tcPr>
            <w:tcW w:type="dxa" w:w="2680"/>
            <w:tcBorders>
              <w:top w:val="single" w:color="E5E7EB" w:sz="1"/>
              <w:left w:val="single" w:color="E5E7EB" w:sz="1"/>
              <w:bottom w:val="single" w:color="E5E7EB" w:sz="1"/>
              <w:right w:val="single" w:color="E5E7EB"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Avant PSM-X5</w:t>
            </w:r>
          </w:p>
        </w:tc>
        <w:tc>
          <w:tcPr>
            <w:tcW w:type="dxa" w:w="2680"/>
            <w:tcBorders>
              <w:top w:val="single" w:color="E5E7EB" w:sz="1"/>
              <w:left w:val="single" w:color="E5E7EB" w:sz="1"/>
              <w:bottom w:val="single" w:color="E5E7EB" w:sz="1"/>
              <w:right w:val="single" w:color="E5E7EB"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Avec PSM-X5</w:t>
            </w:r>
          </w:p>
        </w:tc>
      </w:tr>
      <w:tr>
        <w:tc>
          <w:tcPr>
            <w:tcW w:type="dxa" w:w="4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Durée exercice HAZOP complet</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3-5 jours</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bCs/>
                <w:color w:val="2D6A4F"/>
                <w:sz w:val="18"/>
                <w:szCs w:val="18"/>
              </w:rPr>
              <w:t xml:space="preserve">1-2 jours (-60%)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Couverture scénarios PHA</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60-70% (subjectivité humaine)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90-95% (augmentée IA)</w:t>
            </w:r>
          </w:p>
        </w:tc>
      </w:tr>
      <w:tr>
        <w:tc>
          <w:tcPr>
            <w:tcW w:type="dxa" w:w="4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Temps traitement MOC</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2-6 semaines</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bCs/>
                <w:color w:val="2D6A4F"/>
                <w:sz w:val="18"/>
                <w:szCs w:val="18"/>
              </w:rPr>
              <w:t xml:space="preserve">2-5 jours (-80%)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Préparation audit triennal OSHA</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2-4 semaines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&lt;2 heures (-99%)</w:t>
            </w:r>
          </w:p>
        </w:tc>
      </w:tr>
      <w:tr>
        <w:tc>
          <w:tcPr>
            <w:tcW w:type="dxa" w:w="4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Délai investigation incident (RCA)</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2-4 semaines</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bCs/>
                <w:color w:val="2D6A4F"/>
                <w:sz w:val="18"/>
                <w:szCs w:val="18"/>
              </w:rPr>
              <w:t xml:space="preserve">24-72 heures (-85%)</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Alarm floods (corrélation SENTINEL)</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 (baseline)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-65 à -87%</w:t>
            </w:r>
          </w:p>
        </w:tc>
      </w:tr>
      <w:tr>
        <w:tc>
          <w:tcPr>
            <w:tcW w:type="dxa" w:w="4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Temps génération Bow-Tie diagram</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2-4 heures manuel</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bCs/>
                <w:color w:val="2D6A4F"/>
                <w:sz w:val="18"/>
                <w:szCs w:val="18"/>
              </w:rPr>
              <w:t xml:space="preserve">&lt;5 minutes (-97%)</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Conformité documentation PSI</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40-60% à jour</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&gt;95% maintien continu</w:t>
            </w:r>
          </w:p>
        </w:tc>
      </w:tr>
      <w:tr>
        <w:tc>
          <w:tcPr>
            <w:tcW w:type="dxa" w:w="4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Refresher training PSM (tracking)</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Manuel, lacunaire</w:t>
            </w:r>
          </w:p>
        </w:tc>
        <w:tc>
          <w:tcPr>
            <w:tcW w:type="dxa" w:w="268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20"/>
            </w:tcMar>
          </w:tcPr>
          <w:p>
            <w:r>
              <w:rPr>
                <w:rFonts w:ascii="Arial" w:cs="Arial" w:eastAsia="Arial" w:hAnsi="Arial"/>
                <w:b/>
                <w:bCs/>
                <w:color w:val="2D6A4F"/>
                <w:sz w:val="18"/>
                <w:szCs w:val="18"/>
              </w:rPr>
              <w:t xml:space="preserve">100% automatisé, alertes 90j avant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Near-miss reporting</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Sous-déclaré (culture peur)</w:t>
            </w:r>
          </w:p>
        </w:tc>
        <w:tc>
          <w:tcPr>
            <w:tcW w:type="dxa" w:w="2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D6A4F"/>
                <w:sz w:val="18"/>
                <w:szCs w:val="18"/>
              </w:rPr>
              <w:t xml:space="preserve">+400-700% (anonymat 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10. Roadmap de Développement</w:t>
            </w:r>
          </w:p>
          <w:p>
            <w:r>
              <w:rPr>
                <w:rFonts w:ascii="Arial" w:cs="Arial" w:eastAsia="Arial" w:hAnsi="Arial"/>
                <w:i/>
                <w:iCs/>
                <w:color w:val="D4A574"/>
                <w:sz w:val="20"/>
                <w:szCs w:val="20"/>
              </w:rPr>
              <w:t xml:space="preserve">Du MVP à l’orchestration complète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v1.0 — MVP Core (0-3 mois)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Agents A2 (PSI-RAG), A3 (PHA-Engine), A10 (MOC), A13 (Audit) + Dashboard 14 éléments scoring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v2.0 — Intégrité (3-6 mois)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 A7 (PSSR), A8 (MechInt), A9 (HotWork) + Intégration IoT/SCADA + SIS/SIL monitoring</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v3.0 — Humain (6-9 mois)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Agents A1 (Participation), A5 (Training), A6 (Contractor) + LiteraCIA PSM + SafeVision vidéos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v4.0 — Investigation (9-12 mois)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 A4 (OpsProc), A11 (RCA), A12 (Emergency) + SENTINEL·X5 correlation + Bow-Tie auto</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v5.0 — Complet (12-18 mois)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Agent A14 (InfoSec) + Orchestration LangGraph 14 agents + Jumeau PSM SafeTwinX5 + Audit continu PROV-O</w:t>
            </w:r>
          </w:p>
        </w:tc>
      </w:tr>
    </w:tbl>
    <w:p>
      <w:pPr>
        <w:pStyle w:val="Heading2"/>
        <w:spacing w:after="200" w:before="240"/>
      </w:pPr>
      <w:r>
        <w:rPr>
          <w:rFonts w:ascii="Arial" w:cs="Arial" w:eastAsia="Arial" w:hAnsi="Arial"/>
          <w:b/>
          <w:bCs/>
          <w:color w:val="0F3460"/>
          <w:sz w:val="28"/>
          <w:szCs w:val="28"/>
        </w:rPr>
        <w:t xml:space="preserve">10.1 Priorités MVP (v1.0)</w:t>
      </w:r>
    </w:p>
    <w:p>
      <w:pPr>
        <w:spacing w:after="160"/>
        <w:jc w:val="left"/>
      </w:pPr>
      <w:r>
        <w:rPr>
          <w:rFonts w:ascii="Arial" w:cs="Arial" w:eastAsia="Arial" w:hAnsi="Arial"/>
          <w:b w:val="false"/>
          <w:bCs w:val="false"/>
          <w:i w:val="false"/>
          <w:iCs w:val="false"/>
          <w:color w:val="333333"/>
          <w:sz w:val="22"/>
          <w:szCs w:val="22"/>
        </w:rPr>
        <w:t xml:space="preserve">Le MVP cible les 4 éléments PSM à plus haut impact et plus forte demande marché : l’indexation intelligente de la PSI (le fondement de tout programme PSM), l’analyse des dangers assistée IA (le plus coûteux en temps humain), le MOC automatisé (le point de défaillance le plus fréquent), et l’audit continu (la douleur récurrente des gestionnaires PSM). Ce MVP est déployable en single-file HTML pour démonstration, avec backend LangGraph pour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11. Secteurs Cibles et Applications</w:t>
            </w:r>
          </w:p>
          <w:p>
            <w:r>
              <w:rPr>
                <w:rFonts w:ascii="Arial" w:cs="Arial" w:eastAsia="Arial" w:hAnsi="Arial"/>
                <w:i/>
                <w:iCs/>
                <w:color w:val="D4A574"/>
                <w:sz w:val="20"/>
                <w:szCs w:val="20"/>
              </w:rPr>
              <w:t xml:space="preserve">Agnostique, multi-industrie</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PSM-X5 est conçu de manière agnostique pour couvrir toute industrie manipulant des substances hautement dangereuses ou opérant des procédés à risque majeur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Mines et Métallurgie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Traitement minéral (DensityGuard), fonderies, concentrateurs, atmosphères toxiques, poussières combustibles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Pétrochimie et Raffinage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HHC threshold chemicals, colonnes distillation, réacteurs, stockage GPL/GNL</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Énergie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Centrales thermiques, gaz naturel, hydrogène, batteries lithium-ion, biogaz</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Manufacturing</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Peintures, solvants, produits pharmaceutiques, semiconducteurs, explosifs</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Traitement des Eaux</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Chlore, ammoniac, produits chimiques dosage, ozonation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Agroalimentaire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Réfrigérants (ammoniac), poussières grain, nettoyage CIP chimique</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Transport &amp; Logistique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TDG matières dangereuses, terminaux, entreposage HHC (via SafeFleet + RackingX5)</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Construction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Explosifs, gaz comprimés, soudage/découpage, espaces confinés ATEX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200"/>
              <w:left w:type="dxa" w:w="300"/>
              <w:bottom w:type="dxa" w:w="200"/>
              <w:right w:type="dxa" w:w="300"/>
            </w:tcMar>
          </w:tcPr>
          <w:p>
            <w:pPr>
              <w:spacing w:after="40"/>
            </w:pPr>
            <w:r>
              <w:rPr>
                <w:rFonts w:ascii="Arial" w:cs="Arial" w:eastAsia="Arial" w:hAnsi="Arial"/>
                <w:b/>
                <w:bCs/>
                <w:color w:val="FFFFFF"/>
                <w:sz w:val="30"/>
                <w:szCs w:val="30"/>
              </w:rPr>
              <w:t xml:space="preserve">⚖️  12. Principes Éthiques et Gouvernance</w:t>
            </w:r>
          </w:p>
          <w:p>
            <w:r>
              <w:rPr>
                <w:rFonts w:ascii="Arial" w:cs="Arial" w:eastAsia="Arial" w:hAnsi="Arial"/>
                <w:i/>
                <w:iCs/>
                <w:color w:val="D4A574"/>
                <w:sz w:val="20"/>
                <w:szCs w:val="20"/>
              </w:rPr>
              <w:t xml:space="preserve">Charte AgenticX5 appliquée au PSM</w:t>
            </w:r>
          </w:p>
        </w:tc>
      </w:tr>
    </w:tbl>
    <w:p>
      <w:pPr>
        <w:spacing w:before="200"/>
      </w:pPr>
    </w:p>
    <w:p>
      <w:pPr>
        <w:spacing w:after="160"/>
        <w:jc w:val="left"/>
      </w:pPr>
      <w:r>
        <w:rPr>
          <w:rFonts w:ascii="Arial" w:cs="Arial" w:eastAsia="Arial" w:hAnsi="Arial"/>
          <w:b w:val="false"/>
          <w:bCs w:val="false"/>
          <w:i w:val="false"/>
          <w:iCs w:val="false"/>
          <w:color w:val="333333"/>
          <w:sz w:val="22"/>
          <w:szCs w:val="22"/>
        </w:rPr>
        <w:t xml:space="preserve">PSM-X5 respecte intégralement la Charte d’Écosystème AgenticX5 et ses principes non négociables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Primauté de la vie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Aucun compromis sécurité dans les recommandations IA — si doute, toujours le scénario le plus conservateur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Human-in-the-Loop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HAZOP, LOPA, MOC critiques, PSSR, investigation : validation humaine obligatoire avant action</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Explicabilité (XAI)</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SHAP values sur chaque recommandation, attention maps, traçabilité PROV-O complète de chaque décision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Honnêté des claims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métriques d’impact sont des projections modélisées, pas des faits documentés tant que non validées</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Conformité native</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OSHA PSM, EPA RMP, IEC 61511, RGPD, Loi 25 intégrés dès conception, pas en post-processing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Réversibilité</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Chaque décision IA est auditable, réversible, et l’humain peut override à tout moment</w:t>
            </w:r>
          </w:p>
        </w:tc>
      </w:tr>
      <w:tr>
        <w:tc>
          <w:tcPr>
            <w:tcW w:type="dxa" w:w="320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b/>
                <w:bCs/>
                <w:color w:val="0F3460"/>
                <w:sz w:val="20"/>
                <w:szCs w:val="20"/>
              </w:rPr>
              <w:t xml:space="preserve">Minimisation données</w:t>
            </w:r>
          </w:p>
        </w:tc>
        <w:tc>
          <w:tcPr>
            <w:tcW w:type="dxa" w:w="6160"/>
            <w:tcBorders>
              <w:top w:val="single" w:color="E5E7EB" w:sz="1"/>
              <w:left w:val="single" w:color="E5E7EB" w:sz="1"/>
              <w:bottom w:val="single" w:color="E5E7EB" w:sz="1"/>
              <w:right w:val="single" w:color="E5E7EB" w:sz="1"/>
            </w:tcBorders>
            <w:shd w:fill="E8F0FE" w:val="clear"/>
            <w:tcMar>
              <w:top w:type="dxa" w:w="80"/>
              <w:left w:type="dxa" w:w="120"/>
              <w:bottom w:type="dxa" w:w="80"/>
              <w:right w:type="dxa" w:w="120"/>
            </w:tcMar>
          </w:tcPr>
          <w:p>
            <w:r>
              <w:rPr>
                <w:rFonts w:ascii="Arial" w:cs="Arial" w:eastAsia="Arial" w:hAnsi="Arial"/>
                <w:color w:val="333333"/>
                <w:sz w:val="20"/>
                <w:szCs w:val="20"/>
              </w:rPr>
              <w:t xml:space="preserve">Seules les données nécessaires au PSM sont collectées, chiffrement E2E, RBAC granulaire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FFF1F3" w:val="clear"/>
            <w:tcMar>
              <w:top w:type="dxa" w:w="300"/>
              <w:left w:type="dxa" w:w="400"/>
              <w:bottom w:type="dxa" w:w="300"/>
              <w:right w:type="dxa" w:w="400"/>
            </w:tcMar>
          </w:tcPr>
          <w:p>
            <w:pPr>
              <w:spacing w:after="160"/>
              <w:jc w:val="center"/>
            </w:pPr>
            <w:r>
              <w:rPr>
                <w:rFonts w:ascii="Arial" w:cs="Arial" w:eastAsia="Arial" w:hAnsi="Arial"/>
                <w:b/>
                <w:bCs/>
                <w:color w:val="E94560"/>
                <w:sz w:val="28"/>
                <w:szCs w:val="28"/>
              </w:rPr>
              <w:t xml:space="preserve">PSM-X5 — Vision</w:t>
            </w:r>
          </w:p>
          <w:p>
            <w:pPr>
              <w:spacing w:after="100"/>
              <w:jc w:val="center"/>
            </w:pPr>
            <w:r>
              <w:rPr>
                <w:rFonts w:ascii="Arial" w:cs="Arial" w:eastAsia="Arial" w:hAnsi="Arial"/>
                <w:i/>
                <w:iCs/>
                <w:color w:val="333333"/>
                <w:sz w:val="22"/>
                <w:szCs w:val="22"/>
              </w:rPr>
              <w:t xml:space="preserve">Transformer la sécurité des procédés d’une obligation réglementaire complexe en un système intelligent, proactif et auto-améliorant. Du réactif au prédictif. Des audits ponctuels à la conformité continue. De la documentation statique à la connaissance vivante.</w:t>
            </w:r>
          </w:p>
          <w:p>
            <w:pPr>
              <w:jc w:val="center"/>
            </w:pPr>
            <w:r>
              <w:rPr>
                <w:rFonts w:ascii="Arial" w:cs="Arial" w:eastAsia="Arial" w:hAnsi="Arial"/>
                <w:color w:val="6B7280"/>
                <w:sz w:val="18"/>
                <w:szCs w:val="18"/>
              </w:rPr>
              <w:t xml:space="preserve">genaisafety.online  —  team@agenticx5.com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6B7280"/>
        <w:sz w:val="16"/>
        <w:szCs w:val="16"/>
      </w:rPr>
      <w:t xml:space="preserve">Confidentiel — AgenticX5 / Preventera</w:t>
    </w:r>
    <w:r>
      <w:rPr>
        <w:rFonts w:ascii="Arial" w:cs="Arial" w:eastAsia="Arial" w:hAnsi="Arial"/>
        <w:color w:val="6B7280"/>
        <w:sz w:val="16"/>
        <w:szCs w:val="16"/>
      </w:rPr>
      <w:ptab w:alignment="right" w:relativeTo="margin" w:leader="none"/>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1"/>
      </w:pBdr>
    </w:pPr>
    <w:r>
      <w:rPr>
        <w:rFonts w:ascii="Arial" w:cs="Arial" w:eastAsia="Arial" w:hAnsi="Arial"/>
        <w:color w:val="6B7280"/>
        <w:sz w:val="16"/>
        <w:szCs w:val="16"/>
      </w:rPr>
      <w:t xml:space="preserve">PSM-X5  |  Process Safety Management X5  |  AgenticX5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1669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2026-03-11T12:22:24.599Z</dcterms:created>
  <dcterms:modified xsi:type="dcterms:W3CDTF">2026-03-11T12:22:24.601Z</dcterms:modified>
</cp:coreProperties>
</file>

<file path=docProps/custom.xml><?xml version="1.0" encoding="utf-8"?>
<Properties xmlns="http://schemas.openxmlformats.org/officeDocument/2006/custom-properties" xmlns:vt="http://schemas.openxmlformats.org/officeDocument/2006/docPropsVTypes"/>
</file>