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5E12CE77" w:rsidR="00013FE2" w:rsidRDefault="00CC4ECF" w:rsidP="63462D2E">
      <w:pPr>
        <w:rPr>
          <w:rFonts w:ascii="Calibri" w:hAnsi="Calibri" w:cs="Calibri"/>
          <w:lang w:val="en-US"/>
        </w:rPr>
      </w:pPr>
      <w:r w:rsidRPr="00CC4ECF">
        <w:rPr>
          <w:rFonts w:ascii="Calibri" w:hAnsi="Calibri" w:cs="Calibri"/>
          <w:lang w:val="en-US"/>
        </w:rPr>
        <w:t>Artificial intelligence based real-time prediction of imminent heart failure </w:t>
      </w:r>
      <w:proofErr w:type="spellStart"/>
      <w:r w:rsidRPr="00CC4ECF">
        <w:rPr>
          <w:rFonts w:ascii="Calibri" w:hAnsi="Calibri" w:cs="Calibri"/>
          <w:lang w:val="en-US"/>
        </w:rPr>
        <w:t>hospitalisation</w:t>
      </w:r>
      <w:proofErr w:type="spellEnd"/>
      <w:r w:rsidRPr="00CC4ECF">
        <w:rPr>
          <w:rFonts w:ascii="Calibri" w:hAnsi="Calibri" w:cs="Calibri"/>
          <w:lang w:val="en-US"/>
        </w:rPr>
        <w:t xml:space="preserve"> in patients undergoing non-invasive telemedicine</w:t>
      </w:r>
      <w:r>
        <w:rPr>
          <w:rFonts w:ascii="Calibri" w:hAnsi="Calibri" w:cs="Calibri"/>
          <w:lang w:val="en-US"/>
        </w:rPr>
        <w:t xml:space="preserve"> 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4F828510" w:rsidR="00013FE2" w:rsidRDefault="00CC4ECF" w:rsidP="005F0588">
      <w:pPr>
        <w:tabs>
          <w:tab w:val="left" w:pos="578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Prognostic</w:t>
      </w:r>
      <w:r w:rsidR="005F0588">
        <w:rPr>
          <w:rFonts w:ascii="Calibri" w:hAnsi="Calibri" w:cs="Calibri"/>
          <w:lang w:val="en-US"/>
        </w:rPr>
        <w:tab/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53ECA059" w:rsidR="00013FE2" w:rsidRDefault="00CC4ECF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Development </w:t>
      </w:r>
      <w:r w:rsidR="009320E3">
        <w:rPr>
          <w:rFonts w:ascii="Calibri" w:hAnsi="Calibri" w:cs="Calibri"/>
          <w:lang w:val="en-US"/>
        </w:rPr>
        <w:t>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7409980D" w:rsidR="00013FE2" w:rsidRDefault="00CC4ECF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Random forest</w:t>
      </w: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79B0B82D" w:rsidR="00013FE2" w:rsidRDefault="00CC4EC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Future heart failure hospitalization 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53AB045F" w:rsidR="00013FE2" w:rsidRDefault="00CC4ECF" w:rsidP="2ED3D235">
      <w:pPr>
        <w:rPr>
          <w:rFonts w:ascii="Calibri" w:hAnsi="Calibri" w:cs="Calibri"/>
          <w:lang w:val="en-US"/>
        </w:rPr>
      </w:pPr>
      <w:r w:rsidRPr="00CC4ECF">
        <w:rPr>
          <w:rFonts w:ascii="Calibri" w:hAnsi="Calibri" w:cs="Calibri"/>
          <w:lang w:val="en-US"/>
        </w:rPr>
        <w:t xml:space="preserve">This analysis was conducted on the data of the TIM-HF2trial, a </w:t>
      </w:r>
      <w:proofErr w:type="spellStart"/>
      <w:r w:rsidRPr="00CC4ECF">
        <w:rPr>
          <w:rFonts w:ascii="Calibri" w:hAnsi="Calibri" w:cs="Calibri"/>
          <w:lang w:val="en-US"/>
        </w:rPr>
        <w:t>randomised</w:t>
      </w:r>
      <w:proofErr w:type="spellEnd"/>
      <w:r w:rsidRPr="00CC4ECF">
        <w:rPr>
          <w:rFonts w:ascii="Calibri" w:hAnsi="Calibri" w:cs="Calibri"/>
          <w:lang w:val="en-US"/>
        </w:rPr>
        <w:t>, multi-</w:t>
      </w:r>
      <w:proofErr w:type="spellStart"/>
      <w:r w:rsidRPr="00CC4ECF">
        <w:rPr>
          <w:rFonts w:ascii="Calibri" w:hAnsi="Calibri" w:cs="Calibri"/>
          <w:lang w:val="en-US"/>
        </w:rPr>
        <w:t>centre</w:t>
      </w:r>
      <w:proofErr w:type="spellEnd"/>
      <w:r w:rsidRPr="00CC4ECF">
        <w:rPr>
          <w:rFonts w:ascii="Calibri" w:hAnsi="Calibri" w:cs="Calibri"/>
          <w:lang w:val="en-US"/>
        </w:rPr>
        <w:t xml:space="preserve"> trial assessing the benefits of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 xml:space="preserve">a structured remote patient management (RPM) </w:t>
      </w:r>
      <w:proofErr w:type="spellStart"/>
      <w:r w:rsidRPr="00CC4ECF">
        <w:rPr>
          <w:rFonts w:ascii="Calibri" w:hAnsi="Calibri" w:cs="Calibri"/>
          <w:lang w:val="en-US"/>
        </w:rPr>
        <w:t>programme</w:t>
      </w:r>
      <w:proofErr w:type="spellEnd"/>
      <w:r w:rsidRPr="00CC4ECF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 xml:space="preserve"> I</w:t>
      </w:r>
      <w:r w:rsidRPr="00CC4ECF">
        <w:rPr>
          <w:rFonts w:ascii="Calibri" w:hAnsi="Calibri" w:cs="Calibri"/>
          <w:lang w:val="en-US"/>
        </w:rPr>
        <w:t>n brief, TIM-HF2 was conducted in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Germany between 2013 and 2018 and included 1,571 patients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 xml:space="preserve">with a history of HF, New York Heart Association (NYHA)class II or III and a HF </w:t>
      </w:r>
      <w:proofErr w:type="spellStart"/>
      <w:r w:rsidRPr="00CC4ECF">
        <w:rPr>
          <w:rFonts w:ascii="Calibri" w:hAnsi="Calibri" w:cs="Calibri"/>
          <w:lang w:val="en-US"/>
        </w:rPr>
        <w:t>hospitalisation</w:t>
      </w:r>
      <w:proofErr w:type="spellEnd"/>
      <w:r w:rsidRPr="00CC4ECF">
        <w:rPr>
          <w:rFonts w:ascii="Calibri" w:hAnsi="Calibri" w:cs="Calibri"/>
          <w:lang w:val="en-US"/>
        </w:rPr>
        <w:t xml:space="preserve"> not longer than one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 xml:space="preserve">year prior to </w:t>
      </w:r>
      <w:proofErr w:type="spellStart"/>
      <w:r w:rsidRPr="00CC4ECF">
        <w:rPr>
          <w:rFonts w:ascii="Calibri" w:hAnsi="Calibri" w:cs="Calibri"/>
          <w:lang w:val="en-US"/>
        </w:rPr>
        <w:t>randomisation</w:t>
      </w:r>
      <w:proofErr w:type="spellEnd"/>
      <w:r w:rsidRPr="00CC4ECF">
        <w:rPr>
          <w:rFonts w:ascii="Calibri" w:hAnsi="Calibri" w:cs="Calibri"/>
          <w:lang w:val="en-US"/>
        </w:rPr>
        <w:t>, regardless of the left ventricular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ejection fraction (LVEF).</w:t>
      </w:r>
    </w:p>
    <w:p w14:paraId="6AE7D3EA" w14:textId="32E40C89" w:rsidR="00CC4ECF" w:rsidRDefault="00CC4ECF" w:rsidP="2ED3D235">
      <w:pPr>
        <w:rPr>
          <w:rFonts w:ascii="Calibri" w:hAnsi="Calibri" w:cs="Calibri"/>
          <w:lang w:val="en-US"/>
        </w:rPr>
      </w:pPr>
      <w:r w:rsidRPr="00CC4ECF">
        <w:rPr>
          <w:rFonts w:ascii="Calibri" w:hAnsi="Calibri" w:cs="Calibri"/>
          <w:lang w:val="en-US"/>
        </w:rPr>
        <w:t>Patients were randomized to either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 xml:space="preserve">RPM + usual care or to usual care </w:t>
      </w:r>
      <w:proofErr w:type="gramStart"/>
      <w:r w:rsidRPr="00CC4ECF">
        <w:rPr>
          <w:rFonts w:ascii="Calibri" w:hAnsi="Calibri" w:cs="Calibri"/>
          <w:lang w:val="en-US"/>
        </w:rPr>
        <w:t>only, and</w:t>
      </w:r>
      <w:proofErr w:type="gramEnd"/>
      <w:r w:rsidRPr="00CC4ECF">
        <w:rPr>
          <w:rFonts w:ascii="Calibri" w:hAnsi="Calibri" w:cs="Calibri"/>
          <w:lang w:val="en-US"/>
        </w:rPr>
        <w:t xml:space="preserve"> followed for 12</w:t>
      </w:r>
      <w:r w:rsidR="00CA2203"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months. All patients underwent quarterly out-patient visits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consisting of medical history, physical examination, collection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of blood samples for biomarkers and assessment of</w:t>
      </w:r>
      <w:r w:rsidR="00CA2203"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concomitant treatments. Patients assigned to RPM were</w:t>
      </w:r>
      <w:r w:rsidR="00CA2203"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equipped with and trained in the use of a home</w:t>
      </w:r>
      <w:r w:rsidR="00CA2203"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telemonitoring system, which transmitted body weight, blood</w:t>
      </w:r>
      <w:r w:rsidR="00CA2203"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pressure, heart rate, ECG recording, peripheral capillary</w:t>
      </w:r>
      <w:r w:rsidR="00CA2203"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oxygen saturation, and self-rated well-being on a scale from</w:t>
      </w:r>
      <w:r w:rsidR="00CA2203"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 xml:space="preserve">one through five to a telemedical </w:t>
      </w:r>
      <w:proofErr w:type="spellStart"/>
      <w:r w:rsidRPr="00CC4ECF">
        <w:rPr>
          <w:rFonts w:ascii="Calibri" w:hAnsi="Calibri" w:cs="Calibri"/>
          <w:lang w:val="en-US"/>
        </w:rPr>
        <w:t>centre</w:t>
      </w:r>
      <w:proofErr w:type="spellEnd"/>
      <w:r w:rsidRPr="00CC4ECF">
        <w:rPr>
          <w:rFonts w:ascii="Calibri" w:hAnsi="Calibri" w:cs="Calibri"/>
          <w:lang w:val="en-US"/>
        </w:rPr>
        <w:t xml:space="preserve"> (TMC) </w:t>
      </w:r>
      <w:proofErr w:type="gramStart"/>
      <w:r w:rsidRPr="00CC4ECF">
        <w:rPr>
          <w:rFonts w:ascii="Calibri" w:hAnsi="Calibri" w:cs="Calibri"/>
          <w:lang w:val="en-US"/>
        </w:rPr>
        <w:t>on a daily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basis</w:t>
      </w:r>
      <w:proofErr w:type="gramEnd"/>
      <w:r w:rsidRPr="00CC4ECF">
        <w:rPr>
          <w:rFonts w:ascii="Calibri" w:hAnsi="Calibri" w:cs="Calibri"/>
          <w:lang w:val="en-US"/>
        </w:rPr>
        <w:t>.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25E0A878" w:rsidR="59BF365D" w:rsidRPr="00013FE2" w:rsidRDefault="00CA2203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P</w:t>
      </w:r>
      <w:r w:rsidR="00BD55C6"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70B67C79" w:rsidR="27E39415" w:rsidRPr="008045F0" w:rsidRDefault="00CA220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5DE7C273" w:rsidR="02C7CA5A" w:rsidRDefault="00BD55C6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10BF07C4" w:rsidR="27E39415" w:rsidRPr="008045F0" w:rsidRDefault="00CA220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dataset was made up of two different study arms where patients were treated differently. One group was monitored while the other was not. </w:t>
      </w:r>
      <w:r w:rsidR="00BD55C6">
        <w:rPr>
          <w:rFonts w:ascii="Calibri" w:hAnsi="Calibri" w:cs="Calibri"/>
          <w:lang w:val="en-US"/>
        </w:rPr>
        <w:t>Groups were distinguished in the analysis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3CD53FAD" w14:textId="051F13AF" w:rsidR="00CC4ECF" w:rsidRDefault="00CC4ECF" w:rsidP="2ED3D235">
      <w:pPr>
        <w:rPr>
          <w:rFonts w:ascii="Calibri" w:hAnsi="Calibri" w:cs="Calibri"/>
          <w:lang w:val="en-US"/>
        </w:rPr>
      </w:pPr>
      <w:r w:rsidRPr="00CC4ECF">
        <w:rPr>
          <w:rFonts w:ascii="Calibri" w:hAnsi="Calibri" w:cs="Calibri"/>
          <w:lang w:val="en-US"/>
        </w:rPr>
        <w:t>we considered 18 variables (5 binary, 13 numerical)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resulting from daily data transmissions, including ECG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characteristics, blood pressure, oxygen saturation, weight, and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self-rated well-being (Table 2). Additionally, we considered the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 xml:space="preserve">baseline risk variable, and whether a previous </w:t>
      </w:r>
      <w:r>
        <w:rPr>
          <w:rFonts w:ascii="Calibri" w:hAnsi="Calibri" w:cs="Calibri"/>
          <w:lang w:val="en-US"/>
        </w:rPr>
        <w:t xml:space="preserve">hospitalization </w:t>
      </w:r>
      <w:r w:rsidRPr="00CC4ECF">
        <w:rPr>
          <w:rFonts w:ascii="Calibri" w:hAnsi="Calibri" w:cs="Calibri"/>
          <w:lang w:val="en-US"/>
        </w:rPr>
        <w:t>due to HF occurred within 30 days prior to data transmission.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This resulted in a total of 20 candidate predictors that were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considered for the model.</w:t>
      </w:r>
    </w:p>
    <w:p w14:paraId="4B96E2EC" w14:textId="5F3E381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09BC56FE" w:rsidR="32FA44C0" w:rsidRPr="008045F0" w:rsidRDefault="00BD55C6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0697CB51" w:rsidR="27E39415" w:rsidRPr="008045F0" w:rsidRDefault="00CA220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085F8C64" w:rsidR="27E39415" w:rsidRPr="008045F0" w:rsidRDefault="00CA220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3739BBAD" w:rsidR="27E39415" w:rsidRPr="008045F0" w:rsidRDefault="00BD55C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Unclear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5DE14E9F" w:rsidR="00013FE2" w:rsidRDefault="00BD55C6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Due to the two different study </w:t>
      </w:r>
      <w:proofErr w:type="gramStart"/>
      <w:r>
        <w:rPr>
          <w:rFonts w:ascii="Calibri" w:hAnsi="Calibri" w:cs="Calibri"/>
          <w:lang w:val="en-US"/>
        </w:rPr>
        <w:t>arms</w:t>
      </w:r>
      <w:proofErr w:type="gramEnd"/>
      <w:r>
        <w:rPr>
          <w:rFonts w:ascii="Calibri" w:hAnsi="Calibri" w:cs="Calibri"/>
          <w:lang w:val="en-US"/>
        </w:rPr>
        <w:t xml:space="preserve"> it is possible that predictors were assessed differently between the patients. 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77777777" w:rsidR="00013FE2" w:rsidRDefault="00013FE2" w:rsidP="2ED3D235">
      <w:pPr>
        <w:rPr>
          <w:rFonts w:ascii="Calibri" w:hAnsi="Calibri" w:cs="Calibri"/>
          <w:lang w:val="en-US"/>
        </w:rPr>
      </w:pP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27920121" w:rsidR="27E39415" w:rsidRPr="008045F0" w:rsidRDefault="00BD55C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274220E3" w:rsidR="27E39415" w:rsidRPr="008045F0" w:rsidRDefault="00BD55C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2EF46C66" w:rsidR="27E39415" w:rsidRPr="008045F0" w:rsidRDefault="00BD55C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71EF46EA" w:rsidR="27E39415" w:rsidRPr="008045F0" w:rsidRDefault="00BD55C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71ABC2A9" w:rsidR="27E39415" w:rsidRPr="008045F0" w:rsidRDefault="00BD55C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6557BD30" w:rsidR="27E39415" w:rsidRPr="008045F0" w:rsidRDefault="00BD55C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5CC379CC" w:rsidR="27E39415" w:rsidRPr="008045F0" w:rsidRDefault="00BD55C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471611A4" w:rsidR="00013FE2" w:rsidRDefault="00BD55C6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It is likely that information of predictors </w:t>
      </w:r>
      <w:proofErr w:type="gramStart"/>
      <w:r>
        <w:rPr>
          <w:rFonts w:ascii="Calibri" w:hAnsi="Calibri" w:cs="Calibri"/>
          <w:lang w:val="en-US"/>
        </w:rPr>
        <w:t>were</w:t>
      </w:r>
      <w:proofErr w:type="gramEnd"/>
      <w:r>
        <w:rPr>
          <w:rFonts w:ascii="Calibri" w:hAnsi="Calibri" w:cs="Calibri"/>
          <w:lang w:val="en-US"/>
        </w:rPr>
        <w:t xml:space="preserve"> used to determine whether patients should be hospitalized or not.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335CF4E4" w:rsidR="00013FE2" w:rsidRDefault="00BD55C6" w:rsidP="2ED3D235">
      <w:pPr>
        <w:rPr>
          <w:rFonts w:ascii="Calibri" w:hAnsi="Calibri" w:cs="Calibri"/>
          <w:lang w:val="en-US"/>
        </w:rPr>
      </w:pPr>
      <w:r w:rsidRPr="00BD55C6">
        <w:rPr>
          <w:rFonts w:ascii="Calibri" w:hAnsi="Calibri" w:cs="Calibri"/>
          <w:lang w:val="en-US"/>
        </w:rPr>
        <w:t>The model for the baseline risk variable was validated in the</w:t>
      </w:r>
      <w:r>
        <w:rPr>
          <w:rFonts w:ascii="Calibri" w:hAnsi="Calibri" w:cs="Calibri"/>
          <w:lang w:val="en-US"/>
        </w:rPr>
        <w:t xml:space="preserve"> </w:t>
      </w:r>
      <w:r w:rsidRPr="00BD55C6">
        <w:rPr>
          <w:rFonts w:ascii="Calibri" w:hAnsi="Calibri" w:cs="Calibri"/>
          <w:lang w:val="en-US"/>
        </w:rPr>
        <w:t>hold-out validation set of 385 patients.</w:t>
      </w:r>
    </w:p>
    <w:p w14:paraId="6D47B94E" w14:textId="61199F2D" w:rsidR="00BD55C6" w:rsidRDefault="00BD55C6" w:rsidP="2ED3D235">
      <w:pPr>
        <w:rPr>
          <w:rFonts w:ascii="Calibri" w:hAnsi="Calibri" w:cs="Calibri"/>
          <w:lang w:val="en-US"/>
        </w:rPr>
      </w:pPr>
      <w:r w:rsidRPr="00BD55C6">
        <w:rPr>
          <w:rFonts w:ascii="Calibri" w:hAnsi="Calibri" w:cs="Calibri"/>
          <w:lang w:val="en-US"/>
        </w:rPr>
        <w:t xml:space="preserve">The risk for HF </w:t>
      </w:r>
      <w:proofErr w:type="spellStart"/>
      <w:r w:rsidRPr="00BD55C6">
        <w:rPr>
          <w:rFonts w:ascii="Calibri" w:hAnsi="Calibri" w:cs="Calibri"/>
          <w:lang w:val="en-US"/>
        </w:rPr>
        <w:t>hospitalisation</w:t>
      </w:r>
      <w:proofErr w:type="spellEnd"/>
      <w:r w:rsidRPr="00BD55C6">
        <w:rPr>
          <w:rFonts w:ascii="Calibri" w:hAnsi="Calibri" w:cs="Calibri"/>
          <w:lang w:val="en-US"/>
        </w:rPr>
        <w:t xml:space="preserve"> within the 7 days following</w:t>
      </w:r>
      <w:r>
        <w:rPr>
          <w:rFonts w:ascii="Calibri" w:hAnsi="Calibri" w:cs="Calibri"/>
          <w:lang w:val="en-US"/>
        </w:rPr>
        <w:t xml:space="preserve"> </w:t>
      </w:r>
      <w:r w:rsidRPr="00BD55C6">
        <w:rPr>
          <w:rFonts w:ascii="Calibri" w:hAnsi="Calibri" w:cs="Calibri"/>
          <w:lang w:val="en-US"/>
        </w:rPr>
        <w:t xml:space="preserve">data transmission was modelled via a Multilayer </w:t>
      </w:r>
      <w:proofErr w:type="gramStart"/>
      <w:r w:rsidRPr="00BD55C6">
        <w:rPr>
          <w:rFonts w:ascii="Calibri" w:hAnsi="Calibri" w:cs="Calibri"/>
          <w:lang w:val="en-US"/>
        </w:rPr>
        <w:t>Perceptron(</w:t>
      </w:r>
      <w:proofErr w:type="gramEnd"/>
      <w:r w:rsidRPr="00BD55C6">
        <w:rPr>
          <w:rFonts w:ascii="Calibri" w:hAnsi="Calibri" w:cs="Calibri"/>
          <w:lang w:val="en-US"/>
        </w:rPr>
        <w:t>MLP) (29) using the daily data transmissions of 570 patients</w:t>
      </w:r>
      <w:r>
        <w:rPr>
          <w:rFonts w:ascii="Calibri" w:hAnsi="Calibri" w:cs="Calibri"/>
          <w:lang w:val="en-US"/>
        </w:rPr>
        <w:t xml:space="preserve"> </w:t>
      </w:r>
      <w:r w:rsidRPr="00BD55C6">
        <w:rPr>
          <w:rFonts w:ascii="Calibri" w:hAnsi="Calibri" w:cs="Calibri"/>
          <w:lang w:val="en-US"/>
        </w:rPr>
        <w:t>from the RPM group over a one-year study period.</w:t>
      </w:r>
    </w:p>
    <w:p w14:paraId="3114018C" w14:textId="7F0621EF" w:rsidR="00BD55C6" w:rsidRDefault="00BD55C6" w:rsidP="2ED3D235">
      <w:pPr>
        <w:rPr>
          <w:rFonts w:ascii="Calibri" w:hAnsi="Calibri" w:cs="Calibri"/>
          <w:lang w:val="en-US"/>
        </w:rPr>
      </w:pPr>
      <w:r w:rsidRPr="00BD55C6">
        <w:rPr>
          <w:rFonts w:ascii="Calibri" w:hAnsi="Calibri" w:cs="Calibri"/>
          <w:lang w:val="en-US"/>
        </w:rPr>
        <w:t>During ML modelling on the daily transmitted data, we faced</w:t>
      </w:r>
      <w:r>
        <w:rPr>
          <w:rFonts w:ascii="Calibri" w:hAnsi="Calibri" w:cs="Calibri"/>
          <w:lang w:val="en-US"/>
        </w:rPr>
        <w:t xml:space="preserve"> </w:t>
      </w:r>
      <w:r w:rsidRPr="00BD55C6">
        <w:rPr>
          <w:rFonts w:ascii="Calibri" w:hAnsi="Calibri" w:cs="Calibri"/>
          <w:lang w:val="en-US"/>
        </w:rPr>
        <w:t>two key challenges: a severe imbalance between patients with and</w:t>
      </w:r>
      <w:r>
        <w:rPr>
          <w:rFonts w:ascii="Calibri" w:hAnsi="Calibri" w:cs="Calibri"/>
          <w:lang w:val="en-US"/>
        </w:rPr>
        <w:t xml:space="preserve"> </w:t>
      </w:r>
      <w:r w:rsidRPr="00BD55C6">
        <w:rPr>
          <w:rFonts w:ascii="Calibri" w:hAnsi="Calibri" w:cs="Calibri"/>
          <w:lang w:val="en-US"/>
        </w:rPr>
        <w:t xml:space="preserve">without HF </w:t>
      </w:r>
      <w:proofErr w:type="spellStart"/>
      <w:r w:rsidRPr="00BD55C6">
        <w:rPr>
          <w:rFonts w:ascii="Calibri" w:hAnsi="Calibri" w:cs="Calibri"/>
          <w:lang w:val="en-US"/>
        </w:rPr>
        <w:t>hospitalisations</w:t>
      </w:r>
      <w:proofErr w:type="spellEnd"/>
      <w:r w:rsidRPr="00BD55C6">
        <w:rPr>
          <w:rFonts w:ascii="Calibri" w:hAnsi="Calibri" w:cs="Calibri"/>
          <w:lang w:val="en-US"/>
        </w:rPr>
        <w:t xml:space="preserve"> in the next seven days (training</w:t>
      </w:r>
      <w:r>
        <w:rPr>
          <w:rFonts w:ascii="Calibri" w:hAnsi="Calibri" w:cs="Calibri"/>
          <w:lang w:val="en-US"/>
        </w:rPr>
        <w:t xml:space="preserve"> </w:t>
      </w:r>
      <w:r w:rsidRPr="00BD55C6">
        <w:rPr>
          <w:rFonts w:ascii="Calibri" w:hAnsi="Calibri" w:cs="Calibri"/>
          <w:lang w:val="en-US"/>
        </w:rPr>
        <w:t>prevalence 0.6%), and a lack of heterogeneity in the training set</w:t>
      </w:r>
      <w:r>
        <w:rPr>
          <w:rFonts w:ascii="Calibri" w:hAnsi="Calibri" w:cs="Calibri"/>
          <w:lang w:val="en-US"/>
        </w:rPr>
        <w:t xml:space="preserve"> </w:t>
      </w:r>
      <w:r w:rsidRPr="00BD55C6">
        <w:rPr>
          <w:rFonts w:ascii="Calibri" w:hAnsi="Calibri" w:cs="Calibri"/>
          <w:lang w:val="en-US"/>
        </w:rPr>
        <w:t xml:space="preserve">due to the </w:t>
      </w:r>
      <w:r w:rsidRPr="00BD55C6">
        <w:rPr>
          <w:rFonts w:ascii="Cambria Math" w:hAnsi="Cambria Math" w:cs="Cambria Math"/>
          <w:lang w:val="en-US"/>
        </w:rPr>
        <w:t>∼</w:t>
      </w:r>
      <w:r w:rsidRPr="00BD55C6">
        <w:rPr>
          <w:rFonts w:ascii="Calibri" w:hAnsi="Calibri" w:cs="Calibri"/>
          <w:lang w:val="en-US"/>
        </w:rPr>
        <w:t>180,000 data transmissions stemming from only 570</w:t>
      </w:r>
      <w:r>
        <w:rPr>
          <w:rFonts w:ascii="Calibri" w:hAnsi="Calibri" w:cs="Calibri"/>
          <w:lang w:val="en-US"/>
        </w:rPr>
        <w:t xml:space="preserve"> </w:t>
      </w:r>
      <w:r w:rsidRPr="00BD55C6">
        <w:rPr>
          <w:rFonts w:ascii="Calibri" w:hAnsi="Calibri" w:cs="Calibri"/>
          <w:lang w:val="en-US"/>
        </w:rPr>
        <w:t>individuals.</w:t>
      </w:r>
    </w:p>
    <w:p w14:paraId="688F284D" w14:textId="21EF1D6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Describe how the model was developed, predictor selection and risk group definition</w:t>
      </w:r>
    </w:p>
    <w:p w14:paraId="5A06505E" w14:textId="6408CDBB" w:rsidR="00013FE2" w:rsidRDefault="00CC4ECF" w:rsidP="2ED3D235">
      <w:pPr>
        <w:rPr>
          <w:rFonts w:ascii="Calibri" w:hAnsi="Calibri" w:cs="Calibri"/>
          <w:lang w:val="en-US"/>
        </w:rPr>
      </w:pPr>
      <w:r w:rsidRPr="00CC4ECF">
        <w:rPr>
          <w:rFonts w:ascii="Calibri" w:hAnsi="Calibri" w:cs="Calibri"/>
          <w:lang w:val="en-US"/>
        </w:rPr>
        <w:t xml:space="preserve">The risk for HF </w:t>
      </w:r>
      <w:proofErr w:type="spellStart"/>
      <w:r w:rsidRPr="00CC4ECF">
        <w:rPr>
          <w:rFonts w:ascii="Calibri" w:hAnsi="Calibri" w:cs="Calibri"/>
          <w:lang w:val="en-US"/>
        </w:rPr>
        <w:t>hospitalisation</w:t>
      </w:r>
      <w:proofErr w:type="spellEnd"/>
      <w:r w:rsidRPr="00CC4ECF">
        <w:rPr>
          <w:rFonts w:ascii="Calibri" w:hAnsi="Calibri" w:cs="Calibri"/>
          <w:lang w:val="en-US"/>
        </w:rPr>
        <w:t xml:space="preserve"> within the 7 days following</w:t>
      </w:r>
      <w:r w:rsidR="00CA2203"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 xml:space="preserve">data transmission was modelled via a Multilayer </w:t>
      </w:r>
      <w:proofErr w:type="gramStart"/>
      <w:r w:rsidRPr="00CC4ECF">
        <w:rPr>
          <w:rFonts w:ascii="Calibri" w:hAnsi="Calibri" w:cs="Calibri"/>
          <w:lang w:val="en-US"/>
        </w:rPr>
        <w:t>Perceptron(</w:t>
      </w:r>
      <w:proofErr w:type="gramEnd"/>
      <w:r w:rsidRPr="00CC4ECF">
        <w:rPr>
          <w:rFonts w:ascii="Calibri" w:hAnsi="Calibri" w:cs="Calibri"/>
          <w:lang w:val="en-US"/>
        </w:rPr>
        <w:t>MLP) (29) using the daily data transmissions of 570 patients</w:t>
      </w:r>
      <w:r w:rsidR="00CA2203"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from the RPM group over a one-year study period.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75D4E90A" w14:textId="6405BBAD" w:rsidR="00CC4ECF" w:rsidRDefault="00CC4ECF" w:rsidP="2ED3D235">
      <w:pPr>
        <w:rPr>
          <w:rFonts w:ascii="Calibri" w:hAnsi="Calibri" w:cs="Calibri"/>
          <w:lang w:val="en-US"/>
        </w:rPr>
      </w:pPr>
      <w:r w:rsidRPr="00CC4ECF">
        <w:rPr>
          <w:rFonts w:ascii="Calibri" w:hAnsi="Calibri" w:cs="Calibri"/>
          <w:lang w:val="en-US"/>
        </w:rPr>
        <w:t>The main ML model for prediction of unplanned HF</w:t>
      </w:r>
      <w:r w:rsidR="00CA2203">
        <w:rPr>
          <w:rFonts w:ascii="Calibri" w:hAnsi="Calibri" w:cs="Calibri"/>
          <w:lang w:val="en-US"/>
        </w:rPr>
        <w:t xml:space="preserve"> </w:t>
      </w:r>
      <w:proofErr w:type="spellStart"/>
      <w:r w:rsidRPr="00CC4ECF">
        <w:rPr>
          <w:rFonts w:ascii="Calibri" w:hAnsi="Calibri" w:cs="Calibri"/>
          <w:lang w:val="en-US"/>
        </w:rPr>
        <w:t>hospitalisation</w:t>
      </w:r>
      <w:proofErr w:type="spellEnd"/>
      <w:r w:rsidRPr="00CC4ECF">
        <w:rPr>
          <w:rFonts w:ascii="Calibri" w:hAnsi="Calibri" w:cs="Calibri"/>
          <w:lang w:val="en-US"/>
        </w:rPr>
        <w:t xml:space="preserve"> within the following seven days was validated in</w:t>
      </w:r>
      <w:r w:rsidR="00CA2203"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the 195 RPM patients from the hold-out validation set.</w:t>
      </w:r>
    </w:p>
    <w:p w14:paraId="6E9593E9" w14:textId="12A24244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72902DB1" w14:textId="12024E0C" w:rsidR="00013FE2" w:rsidRPr="00CA2203" w:rsidRDefault="00CA2203" w:rsidP="2ED3D235">
      <w:pPr>
        <w:rPr>
          <w:rFonts w:ascii="Calibri" w:hAnsi="Calibri" w:cs="Calibri"/>
        </w:rPr>
      </w:pPr>
      <w:r w:rsidRPr="00CA2203">
        <w:rPr>
          <w:rFonts w:ascii="Calibri" w:hAnsi="Calibri" w:cs="Calibri"/>
        </w:rPr>
        <w:t>AUC in ROC, AUC in P</w:t>
      </w:r>
      <w:r>
        <w:rPr>
          <w:rFonts w:ascii="Calibri" w:hAnsi="Calibri" w:cs="Calibri"/>
        </w:rPr>
        <w:t>R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78C8E938" w:rsidR="00013FE2" w:rsidRDefault="00CA2203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None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06A4BB2E" w:rsidR="59BF365D" w:rsidRPr="00CD7E16" w:rsidRDefault="00CC4ECF" w:rsidP="59BF365D">
      <w:pPr>
        <w:rPr>
          <w:rFonts w:ascii="Calibri" w:hAnsi="Calibri" w:cs="Calibri"/>
          <w:lang w:val="en-US"/>
        </w:rPr>
      </w:pPr>
      <w:r w:rsidRPr="00CC4ECF">
        <w:rPr>
          <w:rFonts w:ascii="Calibri" w:hAnsi="Calibri" w:cs="Calibri"/>
          <w:lang w:val="en-US"/>
        </w:rPr>
        <w:t>Biomarkers, which were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collected quarterly during the study, contained up to 11.4%missing values. All other predictors contained less than 5%missing values. For daily transmitted variables, we used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forward-filling to impute missing values where previous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recordings were available, and backward-filling otherwise. For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variables contained in the baseline risk model, we used linear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regression imputation using up to four regressors chosen based</w:t>
      </w:r>
      <w:r>
        <w:rPr>
          <w:rFonts w:ascii="Calibri" w:hAnsi="Calibri" w:cs="Calibri"/>
          <w:lang w:val="en-US"/>
        </w:rPr>
        <w:t xml:space="preserve"> </w:t>
      </w:r>
      <w:r w:rsidRPr="00CC4ECF">
        <w:rPr>
          <w:rFonts w:ascii="Calibri" w:hAnsi="Calibri" w:cs="Calibri"/>
          <w:lang w:val="en-US"/>
        </w:rPr>
        <w:t>on highest correlation.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13ABF342" w:rsidR="27E39415" w:rsidRPr="008045F0" w:rsidRDefault="00BD55C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565F3D83" w:rsidR="27E39415" w:rsidRPr="008045F0" w:rsidRDefault="00BD55C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1EC7A422" w:rsidR="27E39415" w:rsidRPr="008045F0" w:rsidRDefault="00BD55C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665BEFA3" w:rsidR="008045F0" w:rsidRPr="008045F0" w:rsidRDefault="00CC4ECF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6BF06226" w:rsidR="008045F0" w:rsidRPr="008045F0" w:rsidRDefault="00BD55C6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lastRenderedPageBreak/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7FF235AD" w:rsidR="008045F0" w:rsidRPr="008045F0" w:rsidRDefault="00BD55C6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0A022104" w:rsidR="008045F0" w:rsidRPr="008045F0" w:rsidRDefault="00BD55C6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0EB950FA" w:rsidR="008045F0" w:rsidRPr="008045F0" w:rsidRDefault="00BD55C6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766434F9" w:rsidR="27E39415" w:rsidRDefault="00BD55C6" w:rsidP="27E39415">
      <w:pPr>
        <w:rPr>
          <w:lang w:val="en-US"/>
        </w:rPr>
      </w:pPr>
      <w:r>
        <w:rPr>
          <w:lang w:val="en-US"/>
        </w:rPr>
        <w:t>Y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2F7EFAA8" w:rsidR="008045F0" w:rsidRDefault="009320E3">
      <w:pPr>
        <w:rPr>
          <w:lang w:val="en-US"/>
        </w:rPr>
      </w:pPr>
      <w:r>
        <w:rPr>
          <w:lang w:val="en-US"/>
        </w:rPr>
        <w:t>Unclear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6EADE032" w:rsidR="00013FE2" w:rsidRDefault="00BD55C6" w:rsidP="2ED3D235">
      <w:pPr>
        <w:rPr>
          <w:lang w:val="en-US"/>
        </w:rPr>
      </w:pPr>
      <w:r>
        <w:rPr>
          <w:lang w:val="en-US"/>
        </w:rPr>
        <w:t xml:space="preserve">Considerable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patients, however very little positive outcomes (HF </w:t>
      </w:r>
      <w:proofErr w:type="spellStart"/>
      <w:r>
        <w:rPr>
          <w:lang w:val="en-US"/>
        </w:rPr>
        <w:t>hospitalisations</w:t>
      </w:r>
      <w:proofErr w:type="spellEnd"/>
      <w:r>
        <w:rPr>
          <w:lang w:val="en-US"/>
        </w:rPr>
        <w:t xml:space="preserve">). Exact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positive outcomes unclear. Good validation via hold-out set.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4AF59478" w:rsidR="2ED3D235" w:rsidRDefault="00BD55C6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1E0DB8"/>
    <w:rsid w:val="00230C60"/>
    <w:rsid w:val="002941A5"/>
    <w:rsid w:val="002B5CE6"/>
    <w:rsid w:val="00302C5F"/>
    <w:rsid w:val="003B090E"/>
    <w:rsid w:val="003F514D"/>
    <w:rsid w:val="005F0588"/>
    <w:rsid w:val="00630E5A"/>
    <w:rsid w:val="00663D51"/>
    <w:rsid w:val="0068763C"/>
    <w:rsid w:val="007B43D7"/>
    <w:rsid w:val="008045F0"/>
    <w:rsid w:val="0093004F"/>
    <w:rsid w:val="009320E3"/>
    <w:rsid w:val="00A477FD"/>
    <w:rsid w:val="00AD1FA0"/>
    <w:rsid w:val="00B1520B"/>
    <w:rsid w:val="00BC61F5"/>
    <w:rsid w:val="00BD55C6"/>
    <w:rsid w:val="00C4659E"/>
    <w:rsid w:val="00CA2203"/>
    <w:rsid w:val="00CA44E1"/>
    <w:rsid w:val="00CC4ECF"/>
    <w:rsid w:val="00CD7E16"/>
    <w:rsid w:val="00D15864"/>
    <w:rsid w:val="00DF7B89"/>
    <w:rsid w:val="00E05DE0"/>
    <w:rsid w:val="00E80407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988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2024-11-12T08:48:00Z</dcterms:created>
  <dcterms:modified xsi:type="dcterms:W3CDTF">2024-11-12T10:12:00Z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