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3C4CF944" w:rsidR="00013FE2" w:rsidRDefault="00D44DC3" w:rsidP="63462D2E">
      <w:pPr>
        <w:rPr>
          <w:rFonts w:ascii="Calibri" w:hAnsi="Calibri" w:cs="Calibri"/>
          <w:lang w:val="en-US"/>
        </w:rPr>
      </w:pPr>
      <w:r w:rsidRPr="00D44DC3">
        <w:rPr>
          <w:rFonts w:ascii="Calibri" w:hAnsi="Calibri" w:cs="Calibri"/>
          <w:lang w:val="en-US"/>
        </w:rPr>
        <w:t xml:space="preserve">Home Monitoring of Asthma Exacerbations in Children and Adults </w:t>
      </w:r>
      <w:proofErr w:type="gramStart"/>
      <w:r w:rsidRPr="00D44DC3">
        <w:rPr>
          <w:rFonts w:ascii="Calibri" w:hAnsi="Calibri" w:cs="Calibri"/>
          <w:lang w:val="en-US"/>
        </w:rPr>
        <w:t>With</w:t>
      </w:r>
      <w:proofErr w:type="gramEnd"/>
      <w:r w:rsidRPr="00D44DC3">
        <w:rPr>
          <w:rFonts w:ascii="Calibri" w:hAnsi="Calibri" w:cs="Calibri"/>
          <w:lang w:val="en-US"/>
        </w:rPr>
        <w:t xml:space="preserve"> Use of an AI-Aided Stethoscope.</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1E2DD8E6" w:rsidR="00013FE2" w:rsidRDefault="007B0AF0" w:rsidP="2ED3D235">
      <w:pPr>
        <w:rPr>
          <w:rFonts w:ascii="Calibri" w:hAnsi="Calibri" w:cs="Calibri"/>
          <w:lang w:val="en-US"/>
        </w:rPr>
      </w:pPr>
      <w:r>
        <w:rPr>
          <w:rFonts w:ascii="Calibri" w:hAnsi="Calibri" w:cs="Calibri"/>
          <w:lang w:val="en-US"/>
        </w:rPr>
        <w:t>Diagnostic</w:t>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1DC8C425" w:rsidR="00013FE2" w:rsidRDefault="007B0AF0"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446CD74C" w:rsidR="00013FE2" w:rsidRDefault="0022532B" w:rsidP="2ED3D235">
      <w:pPr>
        <w:rPr>
          <w:rFonts w:ascii="Calibri" w:hAnsi="Calibri" w:cs="Calibri"/>
          <w:lang w:val="en-US"/>
        </w:rPr>
      </w:pPr>
      <w:r>
        <w:rPr>
          <w:rFonts w:ascii="Calibri" w:hAnsi="Calibri" w:cs="Calibri"/>
          <w:lang w:val="en-US"/>
        </w:rPr>
        <w:t>Random forest</w:t>
      </w:r>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06E8ED99" w:rsidR="00013FE2" w:rsidRDefault="007B0AF0">
      <w:pPr>
        <w:rPr>
          <w:rFonts w:ascii="Calibri" w:hAnsi="Calibri" w:cs="Calibri"/>
          <w:lang w:val="en-US"/>
        </w:rPr>
      </w:pPr>
      <w:r>
        <w:rPr>
          <w:rFonts w:ascii="Calibri" w:hAnsi="Calibri" w:cs="Calibri"/>
          <w:lang w:val="en-US"/>
        </w:rPr>
        <w:t>Asthma exacerbations</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97D903" w14:textId="29B4C50F" w:rsidR="00013FE2" w:rsidRDefault="007B0AF0" w:rsidP="2ED3D235">
      <w:pPr>
        <w:rPr>
          <w:rFonts w:ascii="Calibri" w:hAnsi="Calibri" w:cs="Calibri"/>
          <w:lang w:val="en-US"/>
        </w:rPr>
      </w:pPr>
      <w:r w:rsidRPr="007B0AF0">
        <w:rPr>
          <w:rFonts w:ascii="Calibri" w:hAnsi="Calibri" w:cs="Calibri"/>
          <w:lang w:val="en-US"/>
        </w:rPr>
        <w:t>Patients were recruited from the general Slavic population via advertisements and recruitment efforts conducted by medical centers. The inclusion criterion for children and adults was diagnosed asthma (primary or secondary care). In younger children, suspicion of asthma was also accepted. Any other comorbidities that might affect asthma assessment or influence the measured parameters constituted exclusion criteria.</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16F89A7B" w:rsidR="59BF365D" w:rsidRPr="00013FE2" w:rsidRDefault="007B0AF0" w:rsidP="59BF365D">
      <w:pPr>
        <w:rPr>
          <w:rFonts w:ascii="Calibri" w:hAnsi="Calibri" w:cs="Calibri"/>
          <w:lang w:val="en-US"/>
        </w:rPr>
      </w:pPr>
      <w:r>
        <w:rPr>
          <w:rFonts w:ascii="Calibri" w:hAnsi="Calibri" w:cs="Calibri"/>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5A4B25D7" w:rsidR="27E39415" w:rsidRPr="008045F0" w:rsidRDefault="007B0AF0"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55899841" w:rsidR="02C7CA5A" w:rsidRDefault="007B0AF0"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385F3399" w:rsidR="27E39415" w:rsidRPr="008045F0" w:rsidRDefault="007B0AF0" w:rsidP="27E39415">
      <w:pPr>
        <w:rPr>
          <w:rFonts w:ascii="Calibri" w:hAnsi="Calibri" w:cs="Calibri"/>
          <w:lang w:val="en-US"/>
        </w:rPr>
      </w:pPr>
      <w:r>
        <w:rPr>
          <w:rFonts w:ascii="Calibri" w:hAnsi="Calibri" w:cs="Calibri"/>
          <w:lang w:val="en-US"/>
        </w:rPr>
        <w:lastRenderedPageBreak/>
        <w:t>Reasonable eligibility criteria</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7A1171F7" w14:textId="480018A4" w:rsidR="007B0AF0" w:rsidRDefault="007B0AF0" w:rsidP="2ED3D235">
      <w:pPr>
        <w:rPr>
          <w:rFonts w:ascii="Calibri" w:hAnsi="Calibri" w:cs="Calibri"/>
          <w:lang w:val="en-US"/>
        </w:rPr>
      </w:pPr>
      <w:r>
        <w:rPr>
          <w:rFonts w:ascii="Calibri" w:hAnsi="Calibri" w:cs="Calibri"/>
          <w:lang w:val="en-US"/>
        </w:rPr>
        <w:t xml:space="preserve">Pulse oximeters </w:t>
      </w:r>
      <w:r w:rsidRPr="007B0AF0">
        <w:rPr>
          <w:rFonts w:ascii="Calibri" w:hAnsi="Calibri" w:cs="Calibri"/>
          <w:lang w:val="en-US"/>
        </w:rPr>
        <w:t xml:space="preserve">and peak flow meters (Mini Wright Peak Flow and Low Range [Clement Clarke International]), to collect SpO2 and PEF measurements. Other parameters were measured with the European Conformity (CE)-certified </w:t>
      </w:r>
      <w:proofErr w:type="spellStart"/>
      <w:r w:rsidRPr="007B0AF0">
        <w:rPr>
          <w:rFonts w:ascii="Calibri" w:hAnsi="Calibri" w:cs="Calibri"/>
          <w:lang w:val="en-US"/>
        </w:rPr>
        <w:t>StethoMe</w:t>
      </w:r>
      <w:proofErr w:type="spellEnd"/>
      <w:r w:rsidRPr="007B0AF0">
        <w:rPr>
          <w:rFonts w:ascii="Calibri" w:hAnsi="Calibri" w:cs="Calibri"/>
          <w:lang w:val="en-US"/>
        </w:rPr>
        <w:t xml:space="preserve"> stethoscope, which records auscultatory sounds from standard chest points (Figure 1) and transfers sound files wirelessly to a dedicated mobile phone application. The recordings were automatically analyzed by the AI module, and results (pathologic auscultatory sound intensities, HR, RR, I/E) were displayed in the application.</w:t>
      </w:r>
      <w:r>
        <w:rPr>
          <w:rFonts w:ascii="Calibri" w:hAnsi="Calibri" w:cs="Calibri"/>
          <w:lang w:val="en-US"/>
        </w:rPr>
        <w:t xml:space="preserve"> </w:t>
      </w:r>
      <w:r w:rsidRPr="007B0AF0">
        <w:rPr>
          <w:rFonts w:ascii="Calibri" w:hAnsi="Calibri" w:cs="Calibri"/>
          <w:lang w:val="en-US"/>
        </w:rPr>
        <w:t>In addition, the user provided other health state information in a survey in the mobile telephone application</w:t>
      </w:r>
      <w:r>
        <w:rPr>
          <w:rFonts w:ascii="Calibri" w:hAnsi="Calibri" w:cs="Calibri"/>
          <w:lang w:val="en-US"/>
        </w:rPr>
        <w:t>.</w:t>
      </w:r>
      <w:r w:rsidRPr="007B0AF0">
        <w:rPr>
          <w:lang w:val="en-US"/>
        </w:rPr>
        <w:t xml:space="preserve"> </w:t>
      </w:r>
      <w:r w:rsidRPr="007B0AF0">
        <w:rPr>
          <w:rFonts w:ascii="Calibri" w:hAnsi="Calibri" w:cs="Calibri"/>
          <w:lang w:val="en-US"/>
        </w:rPr>
        <w:t xml:space="preserve">We used </w:t>
      </w:r>
      <w:proofErr w:type="spellStart"/>
      <w:r w:rsidRPr="007B0AF0">
        <w:rPr>
          <w:rFonts w:ascii="Calibri" w:hAnsi="Calibri" w:cs="Calibri"/>
          <w:lang w:val="en-US"/>
        </w:rPr>
        <w:t>StethoMe</w:t>
      </w:r>
      <w:proofErr w:type="spellEnd"/>
      <w:r w:rsidRPr="007B0AF0">
        <w:rPr>
          <w:rFonts w:ascii="Calibri" w:hAnsi="Calibri" w:cs="Calibri"/>
          <w:lang w:val="en-US"/>
        </w:rPr>
        <w:t xml:space="preserve"> AI for automatic analysis of auscultatory recordings and aggregation of results for each examination</w:t>
      </w:r>
    </w:p>
    <w:p w14:paraId="4B96E2EC" w14:textId="150EF674"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1E6ED72A" w:rsidR="32FA44C0" w:rsidRPr="008045F0" w:rsidRDefault="007B0AF0"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1D412AAB" w:rsidR="27E39415" w:rsidRPr="008045F0" w:rsidRDefault="007B0AF0"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680EB5BD" w:rsidR="27E39415" w:rsidRPr="008045F0" w:rsidRDefault="007B0AF0"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4583093A" w:rsidR="27E39415" w:rsidRPr="008045F0" w:rsidRDefault="007B0AF0"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510F0358" w:rsidR="00013FE2" w:rsidRDefault="007B0AF0" w:rsidP="2ED3D235">
      <w:pPr>
        <w:rPr>
          <w:rFonts w:ascii="Calibri" w:hAnsi="Calibri" w:cs="Calibri"/>
          <w:lang w:val="en-US"/>
        </w:rPr>
      </w:pPr>
      <w:r>
        <w:rPr>
          <w:rFonts w:ascii="Calibri" w:hAnsi="Calibri" w:cs="Calibri"/>
          <w:lang w:val="en-US"/>
        </w:rPr>
        <w:t>Predictors are independent and assessed the same way.</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5F20A2C5" w14:textId="39342C9C" w:rsidR="00013FE2" w:rsidRDefault="007B0AF0" w:rsidP="2ED3D235">
      <w:pPr>
        <w:rPr>
          <w:rFonts w:ascii="Calibri" w:hAnsi="Calibri" w:cs="Calibri"/>
          <w:lang w:val="en-US"/>
        </w:rPr>
      </w:pPr>
      <w:r w:rsidRPr="007B0AF0">
        <w:rPr>
          <w:rFonts w:ascii="Calibri" w:hAnsi="Calibri" w:cs="Calibri"/>
          <w:lang w:val="en-US"/>
        </w:rPr>
        <w:t>Data were analyzed by physicians who assessed the asthma exacerbation level (none, mild, moderate, severe) for each examination. The assessment was carried out at the</w:t>
      </w:r>
      <w:r>
        <w:rPr>
          <w:rFonts w:ascii="Calibri" w:hAnsi="Calibri" w:cs="Calibri"/>
          <w:lang w:val="en-US"/>
        </w:rPr>
        <w:t xml:space="preserve"> </w:t>
      </w:r>
      <w:r w:rsidRPr="007B0AF0">
        <w:rPr>
          <w:rFonts w:ascii="Calibri" w:hAnsi="Calibri" w:cs="Calibri"/>
          <w:lang w:val="en-US"/>
        </w:rPr>
        <w:t xml:space="preserve">examination level rather than the recording level. A total of 17 physicians with different specializations were involved in this process (2 internal medicine specialists, 4 pulmonologists, 9 pediatricians, 5 allergologists, 4 family medicine specialists [some had a double specialization]), each assessing examinations performed by participants assigned </w:t>
      </w:r>
      <w:r w:rsidRPr="007B0AF0">
        <w:rPr>
          <w:rFonts w:ascii="Calibri" w:hAnsi="Calibri" w:cs="Calibri"/>
          <w:lang w:val="en-US"/>
        </w:rPr>
        <w:lastRenderedPageBreak/>
        <w:t xml:space="preserve">exclusively to them. Each physician </w:t>
      </w:r>
      <w:proofErr w:type="gramStart"/>
      <w:r w:rsidRPr="007B0AF0">
        <w:rPr>
          <w:rFonts w:ascii="Calibri" w:hAnsi="Calibri" w:cs="Calibri"/>
          <w:lang w:val="en-US"/>
        </w:rPr>
        <w:t>took into account</w:t>
      </w:r>
      <w:proofErr w:type="gramEnd"/>
      <w:r w:rsidRPr="007B0AF0">
        <w:rPr>
          <w:rFonts w:ascii="Calibri" w:hAnsi="Calibri" w:cs="Calibri"/>
          <w:lang w:val="en-US"/>
        </w:rPr>
        <w:t xml:space="preserve"> all of the information generated by the participant (Table 1), listened to each auscultation recording, and analyzed the spectrogram</w:t>
      </w:r>
    </w:p>
    <w:p w14:paraId="7667EE2A" w14:textId="2F4AAECC"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2E3C6757" w:rsidR="27E39415" w:rsidRPr="008045F0" w:rsidRDefault="0022532B" w:rsidP="27E39415">
      <w:pPr>
        <w:rPr>
          <w:rFonts w:ascii="Calibri" w:hAnsi="Calibri" w:cs="Calibri"/>
          <w:lang w:val="en-US"/>
        </w:rPr>
      </w:pPr>
      <w:r>
        <w:rPr>
          <w:rFonts w:ascii="Calibri" w:hAnsi="Calibri" w:cs="Calibri"/>
          <w:lang w:val="en-US"/>
        </w:rPr>
        <w:t>PN</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44302130" w:rsidR="27E39415" w:rsidRPr="008045F0" w:rsidRDefault="0022532B" w:rsidP="27E39415">
      <w:pPr>
        <w:rPr>
          <w:rFonts w:ascii="Calibri" w:hAnsi="Calibri" w:cs="Calibri"/>
          <w:lang w:val="en-US"/>
        </w:rPr>
      </w:pPr>
      <w:r>
        <w:rPr>
          <w:rFonts w:ascii="Calibri" w:hAnsi="Calibri" w:cs="Calibri"/>
          <w:lang w:val="en-US"/>
        </w:rPr>
        <w:t>N</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280DB153" w:rsidR="27E39415" w:rsidRPr="008045F0" w:rsidRDefault="0022532B" w:rsidP="27E39415">
      <w:pPr>
        <w:rPr>
          <w:rFonts w:ascii="Calibri" w:hAnsi="Calibri" w:cs="Calibri"/>
          <w:lang w:val="en-US"/>
        </w:rPr>
      </w:pPr>
      <w:r>
        <w:rPr>
          <w:rFonts w:ascii="Calibri" w:hAnsi="Calibri" w:cs="Calibri"/>
          <w:lang w:val="en-US"/>
        </w:rPr>
        <w:t>N</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15F9A637" w:rsidR="27E39415" w:rsidRPr="008045F0" w:rsidRDefault="0022532B" w:rsidP="27E39415">
      <w:pPr>
        <w:rPr>
          <w:rFonts w:ascii="Calibri" w:hAnsi="Calibri" w:cs="Calibri"/>
          <w:lang w:val="en-US"/>
        </w:rPr>
      </w:pPr>
      <w:r>
        <w:rPr>
          <w:rFonts w:ascii="Calibri" w:hAnsi="Calibri" w:cs="Calibri"/>
          <w:lang w:val="en-US"/>
        </w:rPr>
        <w:t>N</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256A448E" w:rsidR="27E39415" w:rsidRPr="008045F0" w:rsidRDefault="0022532B" w:rsidP="27E39415">
      <w:pPr>
        <w:rPr>
          <w:rFonts w:ascii="Calibri" w:hAnsi="Calibri" w:cs="Calibri"/>
          <w:lang w:val="en-US"/>
        </w:rPr>
      </w:pPr>
      <w:r>
        <w:rPr>
          <w:rFonts w:ascii="Calibri" w:hAnsi="Calibri" w:cs="Calibri"/>
          <w:lang w:val="en-US"/>
        </w:rPr>
        <w:t>N</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78D4B461" w:rsidR="27E39415" w:rsidRPr="008045F0" w:rsidRDefault="0022532B"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0748CFDA" w:rsidR="27E39415" w:rsidRPr="008045F0" w:rsidRDefault="0022532B" w:rsidP="27E39415">
      <w:pPr>
        <w:rPr>
          <w:rFonts w:ascii="Calibri" w:hAnsi="Calibri" w:cs="Calibri"/>
          <w:lang w:val="en-US"/>
        </w:rPr>
      </w:pPr>
      <w:r>
        <w:rPr>
          <w:rFonts w:ascii="Calibri" w:hAnsi="Calibri" w:cs="Calibri"/>
          <w:lang w:val="en-US"/>
        </w:rPr>
        <w:t>High</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F0FE00" w14:textId="5D30B6B2" w:rsidR="0022532B" w:rsidRPr="0022532B" w:rsidRDefault="0022532B" w:rsidP="2ED3D235">
      <w:pPr>
        <w:rPr>
          <w:rFonts w:ascii="Calibri" w:hAnsi="Calibri" w:cs="Calibri"/>
          <w:lang w:val="en-US"/>
        </w:rPr>
      </w:pPr>
      <w:r w:rsidRPr="0022532B">
        <w:rPr>
          <w:rFonts w:ascii="Calibri" w:hAnsi="Calibri" w:cs="Calibri"/>
          <w:lang w:val="en-US"/>
        </w:rPr>
        <w:t>Each physician was assigned specific participants, so different participants were evaluated by different physicians, rather than a consistent assessor across all cases.</w:t>
      </w:r>
      <w:r>
        <w:rPr>
          <w:rFonts w:ascii="Calibri" w:hAnsi="Calibri" w:cs="Calibri"/>
          <w:lang w:val="en-US"/>
        </w:rPr>
        <w:t xml:space="preserve"> </w:t>
      </w:r>
      <w:r w:rsidRPr="0022532B">
        <w:rPr>
          <w:rFonts w:ascii="Calibri" w:hAnsi="Calibri" w:cs="Calibri"/>
          <w:lang w:val="en-US"/>
        </w:rPr>
        <w:t>Physicians had access to all data generated by the participants, including predictors, during outcome assessment. </w:t>
      </w:r>
      <w:r>
        <w:rPr>
          <w:rFonts w:ascii="Calibri" w:hAnsi="Calibri" w:cs="Calibri"/>
          <w:lang w:val="en-US"/>
        </w:rPr>
        <w:t>Definition of mild and moderate and severe asthma unclear.</w:t>
      </w:r>
    </w:p>
    <w:p w14:paraId="51D32C7D" w14:textId="4399AF90"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595452DD" w14:textId="12D85481" w:rsidR="0022532B" w:rsidRPr="0022532B" w:rsidRDefault="0022532B" w:rsidP="2ED3D235">
      <w:pPr>
        <w:rPr>
          <w:rFonts w:ascii="Calibri" w:hAnsi="Calibri" w:cs="Calibri"/>
          <w:lang w:val="en-US"/>
        </w:rPr>
      </w:pPr>
      <w:r w:rsidRPr="0022532B">
        <w:rPr>
          <w:rFonts w:ascii="Calibri" w:hAnsi="Calibri" w:cs="Calibri"/>
          <w:lang w:val="en-US"/>
        </w:rPr>
        <w:t xml:space="preserve">A total of 149 patients participated in the study. Among the 6,442 complete examinations, which included a total of 41,872 recordings, </w:t>
      </w:r>
    </w:p>
    <w:p w14:paraId="688F284D" w14:textId="00792B1A"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74B4BBD4" w:rsidR="00013FE2" w:rsidRDefault="0022532B" w:rsidP="2ED3D235">
      <w:pPr>
        <w:rPr>
          <w:rFonts w:ascii="Calibri" w:hAnsi="Calibri" w:cs="Calibri"/>
          <w:lang w:val="en-US"/>
        </w:rPr>
      </w:pPr>
      <w:r w:rsidRPr="0022532B">
        <w:rPr>
          <w:rFonts w:ascii="Calibri" w:hAnsi="Calibri" w:cs="Calibri"/>
          <w:lang w:val="en-US"/>
        </w:rPr>
        <w:t xml:space="preserve">For this purpose, 12 feature sets were defined, each including patient age, gender, an identifier physician assessing the exacerbation level, and ≥1 user-registered parameters </w:t>
      </w:r>
      <w:r w:rsidRPr="0022532B">
        <w:rPr>
          <w:rFonts w:ascii="Calibri" w:hAnsi="Calibri" w:cs="Calibri"/>
          <w:lang w:val="en-US"/>
        </w:rPr>
        <w:lastRenderedPageBreak/>
        <w:t xml:space="preserve">from Table 1. For each evaluated set, a random forest regressor (RFR) was fitted to the reference standard exacerbation levels mapped to a scale from 0 to 1.0 (none: 0; mild: 1/3; moderate: 2/3; severe: 1). Each RFR consisted of 100 decision trees trained using the squared error criterion and without constraining their maxi-mum depth. For quantitative evaluation of the performance of the RFR, we rescaled the model’s prediction labels from the 4-point scale to binary values by thresholding at 0.5 (values &gt;0.5 were mapped to 1, and values &lt;0.5 were mapped to 0) </w:t>
      </w:r>
      <w:proofErr w:type="gramStart"/>
      <w:r w:rsidRPr="0022532B">
        <w:rPr>
          <w:rFonts w:ascii="Calibri" w:hAnsi="Calibri" w:cs="Calibri"/>
          <w:lang w:val="en-US"/>
        </w:rPr>
        <w:t>so as to</w:t>
      </w:r>
      <w:proofErr w:type="gramEnd"/>
      <w:r w:rsidRPr="0022532B">
        <w:rPr>
          <w:rFonts w:ascii="Calibri" w:hAnsi="Calibri" w:cs="Calibri"/>
          <w:lang w:val="en-US"/>
        </w:rPr>
        <w:t xml:space="preserve"> predict the existence of at least moderate exacerbation level, as identified by the physician’s labels.</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1BB9724B" w14:textId="5496AE99" w:rsidR="00013FE2" w:rsidRDefault="0022532B" w:rsidP="2ED3D235">
      <w:pPr>
        <w:rPr>
          <w:rFonts w:ascii="Calibri" w:hAnsi="Calibri" w:cs="Calibri"/>
          <w:lang w:val="en-US"/>
        </w:rPr>
      </w:pPr>
      <w:r w:rsidRPr="0022532B">
        <w:rPr>
          <w:rFonts w:ascii="Calibri" w:hAnsi="Calibri" w:cs="Calibri"/>
          <w:lang w:val="en-US"/>
        </w:rPr>
        <w:t>Each feature set was evaluated in a 10-fold cross-validation experiment, and each experiment was repeated 20 times to estimate the feature set’s mean AUC and 95% CIs. In each fold of the cross-validation process, the data set was categorized into a training set comprising 90% of patients</w:t>
      </w:r>
    </w:p>
    <w:p w14:paraId="6E9593E9" w14:textId="4343D11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72902DB1" w14:textId="6CB7017C" w:rsidR="00013FE2" w:rsidRDefault="0022532B" w:rsidP="2ED3D235">
      <w:pPr>
        <w:rPr>
          <w:rFonts w:ascii="Calibri" w:hAnsi="Calibri" w:cs="Calibri"/>
          <w:lang w:val="en-US"/>
        </w:rPr>
      </w:pPr>
      <w:r>
        <w:rPr>
          <w:rFonts w:ascii="Calibri" w:hAnsi="Calibri" w:cs="Calibri"/>
          <w:lang w:val="en-US"/>
        </w:rPr>
        <w:t>AUC</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337ADE00" w:rsidR="00013FE2" w:rsidRDefault="0022532B" w:rsidP="2ED3D235">
      <w:pPr>
        <w:rPr>
          <w:rFonts w:ascii="Calibri" w:hAnsi="Calibri" w:cs="Calibri"/>
          <w:lang w:val="en-US"/>
        </w:rPr>
      </w:pPr>
      <w:r>
        <w:rPr>
          <w:rFonts w:ascii="Calibri" w:hAnsi="Calibri" w:cs="Calibri"/>
          <w:lang w:val="en-US"/>
        </w:rPr>
        <w:t>None</w:t>
      </w:r>
    </w:p>
    <w:p w14:paraId="6C2BAAC0" w14:textId="507103E9"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102E8693" w:rsidR="59BF365D" w:rsidRPr="00CD7E16" w:rsidRDefault="0022532B" w:rsidP="59BF365D">
      <w:pPr>
        <w:rPr>
          <w:rFonts w:ascii="Calibri" w:hAnsi="Calibri" w:cs="Calibri"/>
          <w:lang w:val="en-US"/>
        </w:rPr>
      </w:pPr>
      <w:r w:rsidRPr="0022532B">
        <w:rPr>
          <w:rFonts w:ascii="Calibri" w:hAnsi="Calibri" w:cs="Calibri"/>
          <w:lang w:val="en-US"/>
        </w:rPr>
        <w:t xml:space="preserve">6.4% did not meet quality criteria and were not analyzed further; exclusion was determined by </w:t>
      </w:r>
      <w:proofErr w:type="spellStart"/>
      <w:r w:rsidRPr="0022532B">
        <w:rPr>
          <w:rFonts w:ascii="Calibri" w:hAnsi="Calibri" w:cs="Calibri"/>
          <w:lang w:val="en-US"/>
        </w:rPr>
        <w:t>StethoMe</w:t>
      </w:r>
      <w:proofErr w:type="spellEnd"/>
      <w:r w:rsidRPr="0022532B">
        <w:rPr>
          <w:rFonts w:ascii="Calibri" w:hAnsi="Calibri" w:cs="Calibri"/>
          <w:lang w:val="en-US"/>
        </w:rPr>
        <w:t xml:space="preserve"> AI </w:t>
      </w:r>
      <w:proofErr w:type="gramStart"/>
      <w:r w:rsidRPr="0022532B">
        <w:rPr>
          <w:rFonts w:ascii="Calibri" w:hAnsi="Calibri" w:cs="Calibri"/>
          <w:lang w:val="en-US"/>
        </w:rPr>
        <w:t>on the basis of</w:t>
      </w:r>
      <w:proofErr w:type="gramEnd"/>
      <w:r w:rsidRPr="0022532B">
        <w:rPr>
          <w:rFonts w:ascii="Calibri" w:hAnsi="Calibri" w:cs="Calibri"/>
          <w:lang w:val="en-US"/>
        </w:rPr>
        <w:t xml:space="preserve"> inadequate quality of the majority of recordings for an examination.</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63ED613C" w:rsidR="27E39415" w:rsidRPr="008045F0" w:rsidRDefault="0022532B" w:rsidP="27E39415">
      <w:pPr>
        <w:rPr>
          <w:rFonts w:ascii="Calibri" w:hAnsi="Calibri" w:cs="Calibri"/>
          <w:lang w:val="en-US"/>
        </w:rPr>
      </w:pPr>
      <w:r>
        <w:rPr>
          <w:rFonts w:ascii="Calibri" w:hAnsi="Calibri" w:cs="Calibri"/>
          <w:lang w:val="en-US"/>
        </w:rPr>
        <w:t>Y</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3AE3A5C1" w:rsidR="27E39415" w:rsidRPr="008045F0" w:rsidRDefault="0022532B" w:rsidP="27E39415">
      <w:pPr>
        <w:rPr>
          <w:rFonts w:ascii="Calibri" w:hAnsi="Calibri" w:cs="Calibri"/>
          <w:lang w:val="en-US"/>
        </w:rPr>
      </w:pPr>
      <w:r>
        <w:rPr>
          <w:rFonts w:ascii="Calibri" w:hAnsi="Calibri" w:cs="Calibri"/>
          <w:lang w:val="en-US"/>
        </w:rPr>
        <w:t>PN</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4A5AA0EC" w:rsidR="27E39415" w:rsidRPr="008045F0" w:rsidRDefault="0022532B" w:rsidP="27E39415">
      <w:pPr>
        <w:rPr>
          <w:rFonts w:ascii="Calibri" w:hAnsi="Calibri" w:cs="Calibri"/>
          <w:lang w:val="en-US"/>
        </w:rPr>
      </w:pPr>
      <w:r>
        <w:rPr>
          <w:rFonts w:ascii="Calibri" w:hAnsi="Calibri" w:cs="Calibri"/>
          <w:lang w:val="en-US"/>
        </w:rPr>
        <w:t>Y</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174750FE" w:rsidR="008045F0" w:rsidRPr="008045F0" w:rsidRDefault="0022532B" w:rsidP="008045F0">
      <w:pPr>
        <w:spacing w:line="278" w:lineRule="auto"/>
        <w:rPr>
          <w:rFonts w:ascii="Calibri" w:hAnsi="Calibri" w:cs="Calibri"/>
          <w:lang w:val="en-US"/>
        </w:rPr>
      </w:pPr>
      <w:r>
        <w:rPr>
          <w:rFonts w:ascii="Calibri" w:hAnsi="Calibri" w:cs="Calibri"/>
          <w:lang w:val="en-US"/>
        </w:rPr>
        <w:t>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lastRenderedPageBreak/>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25FAD64C" w:rsidR="008045F0" w:rsidRPr="008045F0" w:rsidRDefault="0022532B"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22FBFA07" w:rsidR="008045F0" w:rsidRPr="008045F0" w:rsidRDefault="0022532B"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37B39EE8" w:rsidR="008045F0" w:rsidRPr="008045F0" w:rsidRDefault="0022532B" w:rsidP="008045F0">
      <w:pPr>
        <w:spacing w:line="278" w:lineRule="auto"/>
        <w:rPr>
          <w:rFonts w:ascii="Calibri" w:hAnsi="Calibri" w:cs="Calibri"/>
          <w:lang w:val="en-US"/>
        </w:rPr>
      </w:pPr>
      <w:r>
        <w:rPr>
          <w:rFonts w:ascii="Calibri" w:hAnsi="Calibri" w:cs="Calibri"/>
          <w:lang w:val="en-US"/>
        </w:rPr>
        <w:t>Y</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00E40540" w:rsidR="008045F0" w:rsidRPr="008045F0" w:rsidRDefault="0022532B"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46AA08FE" w:rsidR="27E39415" w:rsidRDefault="0022532B" w:rsidP="27E39415">
      <w:pPr>
        <w:rPr>
          <w:lang w:val="en-US"/>
        </w:rPr>
      </w:pPr>
      <w:r>
        <w:rPr>
          <w:lang w:val="en-US"/>
        </w:rPr>
        <w:t>U</w:t>
      </w:r>
    </w:p>
    <w:p w14:paraId="63D46967" w14:textId="3E5CE9E2" w:rsidR="27E39415" w:rsidRDefault="008045F0" w:rsidP="2ED3D235">
      <w:pPr>
        <w:rPr>
          <w:b/>
          <w:bCs/>
          <w:lang w:val="en-US"/>
        </w:rPr>
      </w:pPr>
      <w:r w:rsidRPr="2ED3D235">
        <w:rPr>
          <w:b/>
          <w:bCs/>
          <w:lang w:val="en-US"/>
        </w:rPr>
        <w:t>Risk of bias introduced by the analysis</w:t>
      </w:r>
    </w:p>
    <w:p w14:paraId="52004790" w14:textId="78A88FC0" w:rsidR="008045F0" w:rsidRDefault="0022532B">
      <w:pPr>
        <w:rPr>
          <w:lang w:val="en-US"/>
        </w:rPr>
      </w:pPr>
      <w:r>
        <w:rPr>
          <w:lang w:val="en-US"/>
        </w:rPr>
        <w:t>Low</w:t>
      </w:r>
    </w:p>
    <w:p w14:paraId="2656F321" w14:textId="30282AFD" w:rsidR="008045F0" w:rsidRPr="008045F0" w:rsidRDefault="008045F0" w:rsidP="2ED3D235">
      <w:pPr>
        <w:rPr>
          <w:b/>
          <w:bCs/>
          <w:lang w:val="en-US"/>
        </w:rPr>
      </w:pPr>
      <w:r w:rsidRPr="2ED3D235">
        <w:rPr>
          <w:b/>
          <w:bCs/>
          <w:lang w:val="en-US"/>
        </w:rPr>
        <w:t>Rationale of bias rating</w:t>
      </w:r>
    </w:p>
    <w:p w14:paraId="23CCCB0D" w14:textId="69A72204" w:rsidR="00013FE2" w:rsidRDefault="0022532B" w:rsidP="2ED3D235">
      <w:pPr>
        <w:rPr>
          <w:lang w:val="en-US"/>
        </w:rPr>
      </w:pPr>
      <w:r>
        <w:rPr>
          <w:lang w:val="en-US"/>
        </w:rPr>
        <w:t>There is some small risk as the outcome was treated as binary outcome although labeling contained four ordinal classes. Yet due to enough data and proper handling of validation and missing data, analysis domain may still be at low risk overall.</w:t>
      </w:r>
    </w:p>
    <w:p w14:paraId="61013CF9" w14:textId="4408E1D7" w:rsidR="5452F3DD" w:rsidRDefault="5452F3DD" w:rsidP="2ED3D235">
      <w:pPr>
        <w:rPr>
          <w:b/>
          <w:bCs/>
          <w:lang w:val="en-US"/>
        </w:rPr>
      </w:pPr>
      <w:r w:rsidRPr="2ED3D235">
        <w:rPr>
          <w:b/>
          <w:bCs/>
          <w:lang w:val="en-US"/>
        </w:rPr>
        <w:t>Overall Risk of bias</w:t>
      </w:r>
    </w:p>
    <w:p w14:paraId="5CD4643D" w14:textId="61BAB8F0" w:rsidR="2ED3D235" w:rsidRDefault="0022532B"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117E67"/>
    <w:rsid w:val="0022532B"/>
    <w:rsid w:val="00230C60"/>
    <w:rsid w:val="002941A5"/>
    <w:rsid w:val="002B5CE6"/>
    <w:rsid w:val="00302C5F"/>
    <w:rsid w:val="003B090E"/>
    <w:rsid w:val="003F514D"/>
    <w:rsid w:val="00630E5A"/>
    <w:rsid w:val="00663D51"/>
    <w:rsid w:val="007B0AF0"/>
    <w:rsid w:val="007B43D7"/>
    <w:rsid w:val="008045F0"/>
    <w:rsid w:val="0093004F"/>
    <w:rsid w:val="00A477FD"/>
    <w:rsid w:val="00AD1FA0"/>
    <w:rsid w:val="00B1520B"/>
    <w:rsid w:val="00BC61F5"/>
    <w:rsid w:val="00C4659E"/>
    <w:rsid w:val="00CA44E1"/>
    <w:rsid w:val="00CD7E16"/>
    <w:rsid w:val="00D15864"/>
    <w:rsid w:val="00D44DC3"/>
    <w:rsid w:val="00DF7B89"/>
    <w:rsid w:val="00E80407"/>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1032</Words>
  <Characters>6508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2024-11-05T08:58:00Z</dcterms:created>
  <dcterms:modified xsi:type="dcterms:W3CDTF">2024-11-05T09:47:00Z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