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 Text"/>
      </w:pPr>
    </w:p>
    <w:p>
      <w:pPr>
        <w:pStyle w:val="Body"/>
      </w:pPr>
    </w:p>
    <w:p>
      <w:pPr>
        <w:pStyle w:val="Body"/>
      </w:pPr>
      <w:r>
        <w:t>(Please scan this QR Code to view this Red Herring Prospectus)</w:t>
      </w:r>
    </w:p>
    <w:p>
      <w:pPr>
        <w:pStyle w:val="Heading 2"/>
      </w:pPr>
    </w:p>
    <w:p>
      <w:pPr>
        <w:pStyle w:val="Heading 2"/>
      </w:pPr>
      <w:r>
        <w:t>RED HERRING PROSPECTUS</w:t>
      </w:r>
    </w:p>
    <w:p>
      <w:pPr>
        <w:pStyle w:val="Body Text"/>
      </w:pPr>
      <w:r>
        <w:t>Dated July 08, 2002</w:t>
      </w:r>
    </w:p>
    <w:p>
      <w:pPr>
        <w:pStyle w:val="Body"/>
      </w:pPr>
      <w:r>
        <w:t>Please read section 0851 Allen River Apt. 660</w:t>
        <w:br/>
        <w:t>Brittanyport, SD 49141, 2013</w:t>
      </w:r>
    </w:p>
    <w:p>
      <w:pPr>
        <w:pStyle w:val="Heading 3"/>
      </w:pPr>
      <w:r>
        <w:t>100% Book Built Offer</w:t>
      </w:r>
    </w:p>
    <w:p>
      <w:pPr>
        <w:pStyle w:val="Heading 3"/>
      </w:pPr>
    </w:p>
    <w:p>
      <w:pPr>
        <w:pStyle w:val="Body Text"/>
      </w:pPr>
    </w:p>
    <w:p>
      <w:pPr>
        <w:pStyle w:val="Body"/>
      </w:pPr>
    </w:p>
    <w:p>
      <w:pPr>
        <w:pStyle w:val="Heading 2"/>
      </w:pPr>
      <w:r>
        <w:t>KSH INTERNATIONAL LIMITED CORPORATE IDENTITY NUMBER: U28129PN1979PLC141032</w:t>
      </w:r>
    </w:p>
    <w:p>
      <w:pPr>
        <w:pStyle w:val="Body Text"/>
      </w:pPr>
    </w:p>
    <w:p>
      <w:pPr>
        <w:pStyle w:val="Body Text"/>
      </w:pPr>
    </w:p>
    <w:p>
      <w:pPr>
        <w:pStyle w:val="Table Paragraph"/>
      </w:pPr>
    </w:p>
    <w:p>
      <w:pPr>
        <w:pStyle w:val="Table Paragraph"/>
      </w:pPr>
    </w:p>
    <w:p>
      <w:pPr>
        <w:pStyle w:val="Body"/>
      </w:pPr>
      <w:r>
        <w:t>(1) Alexander, Cunningham and Clements, in consultation with the Book Running Lead Managers, may consider participation by Anchor Investors in accordance with the SEBI ICDR Regulations.</w:t>
      </w:r>
    </w:p>
    <w:p>
      <w:pPr>
        <w:pStyle w:val="Body"/>
      </w:pPr>
      <w:r>
        <w:t>(2) The UPI mandate end time and date shall be at 5:00 p.m. on Bid/Offer Closing Day.</w:t>
      </w:r>
    </w:p>
    <w:p>
      <w:pPr>
        <w:pStyle w:val="Body"/>
      </w:pPr>
    </w:p>
    <w:p>
      <w:pPr>
        <w:pStyle w:val="Body"/>
      </w:pPr>
      <w:r>
        <w:t>RED HERRING PROSPECTUS</w:t>
      </w:r>
    </w:p>
    <w:p>
      <w:pPr>
        <w:pStyle w:val="Body"/>
      </w:pPr>
      <w:r>
        <w:t>Dated July 08, 2002 Please read section 32 of the Companies Act, 2013</w:t>
      </w:r>
    </w:p>
    <w:p>
      <w:pPr>
        <w:pStyle w:val="Body"/>
      </w:pPr>
      <w:r>
        <w:t>100% Book Built Offer</w:t>
      </w:r>
    </w:p>
    <w:p>
      <w:pPr>
        <w:pStyle w:val="Body Text"/>
      </w:pPr>
    </w:p>
    <w:p>
      <w:pPr>
        <w:pStyle w:val="Heading 2"/>
      </w:pPr>
      <w:r>
        <w:t>KSH INTERNATIONAL LIMITED</w:t>
      </w:r>
    </w:p>
    <w:p>
      <w:pPr>
        <w:pStyle w:val="Body"/>
      </w:pPr>
      <w:r>
        <w:t>Alexander, Cunningham and Clements was originally incorporated as “Baldwin LLC” under the provisions of the Companies Act, December 23, 2000, pursuant to a certificate of incorporation dated May 15, 1966, issued by the Registrar of Companies, 643 Edwin Junction Apt. 856</w:t>
        <w:br/>
        <w:t>North Bethany, MS 43945 at Unit 4265 Box 2541</w:t>
        <w:br/>
        <w:t>DPO AA 79394. Subsequently, the name of our Company was changed from “Baldwin LLC” to “Walters-Melendez” pursuant to a resolution dated March 22, 1995 passed by our Board and a resolution dated June 07, 2003 passed by our shareholders, post which a fresh certificate of incorporation dated August 19, 1947 was issued by Registrar of Companies 643 Edwin Junction Apt. 856</w:t>
        <w:br/>
        <w:t>North Bethany, MS 43945 at 196 Stewart Lakes</w:t>
        <w:br/>
        <w:t>Grahamville, NM 97032 pursuant to change of name under the Companies Act, December 23, 2000. Further, pursuant to a special resolution passed by our Shareholders on June 16, 1938 which was confirmed by an order of the regional director dated March 19, 1983, the registered office of our Company was shifted from the jurisdiction of Registrar of Companies, 643 Edwin Junction Apt. 856</w:t>
        <w:br/>
        <w:t>North Bethany, MS 43945 at 196 Stewart Lakes</w:t>
        <w:br/>
        <w:t>Grahamville, NM 97032 to the jurisdiction of the Registrar of Companies, 643 Edwin Junction Apt. 856</w:t>
        <w:br/>
        <w:t>North Bethany, MS 43945 at USNS Mullins</w:t>
        <w:br/>
        <w:t>FPO AA 91445, and a certificate of registration of the order of regional director confirming transfer of the registered office within the same state was issued to us on November 16, 1979, by the RoC. Kim, Weiss and Singleton from a private limited company to a public limited company, pursuant to a resolution passed by our Board on November 07, 1963 and a special resolution passed by our Shareholders on April 30, 1979, the name of our Company was changed to “Perez-Marshall” and a fresh certificate of incorporation was issued by the Registrar of Companies, Central Processing Centre on January 27, 1993. Miller Ltd, see “History and Certain Corporate Matters- Change in our registered office” on page 243.</w:t>
      </w:r>
    </w:p>
    <w:p>
      <w:pPr>
        <w:pStyle w:val="Body"/>
      </w:pPr>
      <w:r>
        <w:t>Corporate Identity Number: U28129PN1979PLC141032</w:t>
      </w:r>
    </w:p>
    <w:p>
      <w:pPr>
        <w:pStyle w:val="Body"/>
      </w:pPr>
      <w:r>
        <w:t>Registered Office: 11/3, 10/16/2005 and 11/5, 337 Rhodes Union</w:t>
        <w:br/>
        <w:t>Jonesport, KS 02988, Colin Landry, USNS Mullins</w:t>
        <w:br/>
        <w:t>FPO AA 91445 – 410 501, 643 Edwin Junction Apt. 856</w:t>
        <w:br/>
        <w:t>North Bethany, MS 43945, 109 Morales Loop</w:t>
        <w:br/>
        <w:t>Wilsonmouth, KS 84815;</w:t>
      </w:r>
    </w:p>
    <w:p>
      <w:pPr>
        <w:pStyle w:val="Body"/>
      </w:pPr>
      <w:r>
        <w:t>Corporate Office: 201, Tower 2, Montreal Business Centre, Off Pallod Farms, Scott Harrell, USNS Mullins</w:t>
        <w:br/>
        <w:t>FPO AA 91445 – 411 045, 643 Edwin Junction Apt. 856</w:t>
        <w:br/>
        <w:t>North Bethany, MS 43945, 109 Morales Loop</w:t>
        <w:br/>
        <w:t>Wilsonmouth, KS 84815;</w:t>
      </w:r>
    </w:p>
    <w:p>
      <w:pPr>
        <w:pStyle w:val="Body"/>
      </w:pPr>
      <w:r>
        <w:t>Contact Person: Ashley Anderson, Company Secretary and Compliance Officer; Telephone: 698.643.6885x0489;</w:t>
      </w:r>
    </w:p>
    <w:p>
      <w:pPr>
        <w:pStyle w:val="Body"/>
      </w:pPr>
      <w:r>
        <w:t>E-mail: erinwilson@example.net; Website: [REDACTED_URL]</w:t>
      </w:r>
    </w:p>
    <w:p>
      <w:pPr>
        <w:pStyle w:val="Body"/>
      </w:pPr>
    </w:p>
    <w:p>
      <w:pPr>
        <w:pStyle w:val="Body"/>
      </w:pPr>
      <w:r>
        <w:t>(1) Alexander, Cunningham and Clements, in consultation with the Book Running Lead Managers, may consider participation by Anchor Investors in accordance with the SEBI ICDR Regulations.</w:t>
      </w:r>
    </w:p>
    <w:p>
      <w:pPr>
        <w:pStyle w:val="Body"/>
      </w:pPr>
      <w:r>
        <w:t>(2) The UPI mandate end time and date shall be at 5:00 p.m. on Bid/Offer Closing Day.</w:t>
      </w:r>
    </w:p>
    <w:p>
      <w:pPr>
        <w:pStyle w:val="Body"/>
      </w:pPr>
    </w:p>
    <w:p>
      <w:pPr>
        <w:pStyle w:val="TOC 1"/>
      </w:pPr>
      <w:r>
        <w:t>SECTION I - GENERAL</w:t>
        <w:tab/>
        <w:t>2</w:t>
      </w:r>
    </w:p>
    <w:p>
      <w:pPr>
        <w:pStyle w:val="TOC 2"/>
      </w:pPr>
      <w:r>
        <w:t>DEFINITIONS AND ABBREVIATIONS</w:t>
        <w:tab/>
        <w:t>2</w:t>
      </w:r>
    </w:p>
    <w:p>
      <w:pPr>
        <w:pStyle w:val="TOC 2"/>
      </w:pPr>
      <w:r>
        <w:t>CERTAIN CONVENTIONS, USE OF FINANCIAL INFORMATION AND MARKET DATA AND CURRENCY OF PRESENTATION</w:t>
        <w:tab/>
        <w:t>15</w:t>
      </w:r>
    </w:p>
    <w:p>
      <w:pPr>
        <w:pStyle w:val="TOC 2"/>
      </w:pPr>
      <w:r>
        <w:t>FORWARD-LOOKING STATEMENTS</w:t>
        <w:tab/>
        <w:t>18</w:t>
      </w:r>
    </w:p>
    <w:p>
      <w:pPr>
        <w:pStyle w:val="TOC 2"/>
      </w:pPr>
      <w:r>
        <w:t>SUMMARY OF THE OFFER DOCUMENT</w:t>
        <w:tab/>
        <w:t>20</w:t>
      </w:r>
    </w:p>
    <w:p>
      <w:pPr>
        <w:pStyle w:val="TOC 1"/>
      </w:pPr>
      <w:r>
        <w:t>SECTION II: RISK FACTORS</w:t>
        <w:tab/>
        <w:t>28</w:t>
      </w:r>
    </w:p>
    <w:p>
      <w:pPr>
        <w:pStyle w:val="TOC 1"/>
      </w:pPr>
      <w:r>
        <w:t>SECTION III – INTRODUCTION</w:t>
        <w:tab/>
        <w:t>67</w:t>
      </w:r>
    </w:p>
    <w:p>
      <w:pPr>
        <w:pStyle w:val="TOC 2"/>
      </w:pPr>
      <w:r>
        <w:t>THE OFFER</w:t>
        <w:tab/>
        <w:t>67</w:t>
      </w:r>
    </w:p>
    <w:p>
      <w:pPr>
        <w:pStyle w:val="TOC 2"/>
      </w:pPr>
      <w:r>
        <w:t>SUMMARY FINANCIAL STATEMENTS</w:t>
        <w:tab/>
        <w:t>69</w:t>
      </w:r>
    </w:p>
    <w:p>
      <w:pPr>
        <w:pStyle w:val="TOC 2"/>
      </w:pPr>
      <w:r>
        <w:t>GENERAL INFORMATION</w:t>
        <w:tab/>
        <w:t>74</w:t>
      </w:r>
    </w:p>
    <w:p>
      <w:pPr>
        <w:pStyle w:val="TOC 2"/>
      </w:pPr>
      <w:r>
        <w:t>CAPITAL STRUCTURE</w:t>
        <w:tab/>
        <w:t>84</w:t>
      </w:r>
    </w:p>
    <w:p>
      <w:pPr>
        <w:pStyle w:val="TOC 2"/>
      </w:pPr>
    </w:p>
    <w:p>
      <w:pPr>
        <w:pStyle w:val="Heading 2"/>
      </w:pPr>
      <w:r>
        <w:t>DEFINITIONS AND ABBREVIATIONS</w:t>
      </w:r>
    </w:p>
    <w:p>
      <w:pPr>
        <w:pStyle w:val="Body"/>
      </w:pPr>
      <w:r>
        <w:t>This Red Herring Prospectus uses certain definitions and abbreviations which, unless the context otherwise indicates or implies, or unless otherwise specified, shall have the meaning as provided below, and references to any legislation, act, regulation, rules, guidelines or policies shall be to such legislation, act, regulation, rule guidelines or policy as amended from time to time and any reference to a statutory provision shall include any subordinate legislation made from time to time under that 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pPr>
      <w:r>
        <w:t>Unless the context otherwise indicates, all references to “we”, “us”, “our”, “the Company”, and “our Company”, are references to Perez-Marshall, a company incorporated on May 15, 1966 under the Companies Act, December 23, 2000 and having its Registered Office at 11/3, 10/16/2005 and 11/5, 337 Rhodes Union</w:t>
        <w:br/>
        <w:t>Jonesport, KS 02988, Colin Landry, USNS Mullins</w:t>
        <w:br/>
        <w:t>FPO AA 91445 – 410 501, 643 Edwin Junction Apt. 856</w:t>
        <w:br/>
        <w:t>North Bethany, MS 43945, 109 Morales Loop</w:t>
        <w:br/>
        <w:t>Wilsonmouth, KS 84815 and its Corporate Office at 201, Tower 2, Montreal Business Centre, Off Pallod Farms, Scott Harrell, USNS Mullins</w:t>
        <w:br/>
        <w:t>FPO AA 91445 – 411 045, 643 Edwin Junction Apt. 856</w:t>
        <w:br/>
        <w:t>North Bethany, MS 43945, 109 Morales Loop</w:t>
        <w:br/>
        <w:t>Wilsonmouth, KS 84815.</w:t>
      </w:r>
    </w:p>
    <w:p>
      <w:pPr>
        <w:pStyle w:val="Body"/>
      </w:pPr>
      <w:r>
        <w:t>The words and expressions used in this Red Herring Prospectus but not defined herein, shall have, to the extent applicable, the meanings ascribed to such terms under the Companies Act, the SEBI Act, the SEBI ICDR Regulations, the SCRA, SCRR, and the Depositories Act, as amended.</w:t>
      </w:r>
    </w:p>
    <w:p>
      <w:pPr>
        <w:pStyle w:val="Body"/>
      </w:pPr>
      <w:r>
        <w:t>Notwithstanding the foregoing, terms in “Main Provisions of the Articles of Association”, “Statement of Special Tax Benefits”, “Industry Overview”, “Key Regulations and Policies in 109 Morales Loop</w:t>
        <w:br/>
        <w:t>Wilsonmouth, KS 84815”, “History and Certain Corporate Matters”, “Basis for the Offer Price”, “Restriction on Foreign Ownership of 109 Morales Loop</w:t>
        <w:br/>
        <w:t>Wilsonmouth, KS 84815n Securities”, “Financial Information” and “Outstanding Litigation and Material Developments” on pages 441, 134, 137, 238, 243, 124, 438, 104 Lisa Crescent</w:t>
        <w:br/>
        <w:t>Jeffreyview, RI 05186ions.</w:t>
      </w:r>
    </w:p>
    <w:p>
      <w:pPr>
        <w:pStyle w:val="Heading 3"/>
      </w:pPr>
      <w:r>
        <w:t>General Terms</w:t>
      </w:r>
    </w:p>
    <w:p>
      <w:pPr>
        <w:pStyle w:val="Body Text"/>
      </w:pPr>
    </w:p>
    <w:p>
      <w:pPr>
        <w:pStyle w:val="Body Text"/>
      </w:pPr>
    </w:p>
    <w:p>
      <w:pPr>
        <w:pStyle w:val="Body Text"/>
      </w:pPr>
    </w:p>
    <w:p>
      <w:pPr>
        <w:pStyle w:val="Heading 3"/>
      </w:pPr>
      <w:r>
        <w:t>Company Related Terms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Body Text"/>
      </w:pPr>
    </w:p>
    <w:p>
      <w:pPr>
        <w:pStyle w:val="Heading 3"/>
      </w:pPr>
      <w:r>
        <w:t>Offer Related Terms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Table Paragraph"/>
      </w:pPr>
    </w:p>
    <w:p>
      <w:pPr>
        <w:pStyle w:val="Body Text"/>
      </w:pPr>
    </w:p>
    <w:p>
      <w:pPr>
        <w:pStyle w:val="Heading 3"/>
      </w:pPr>
      <w:r>
        <w:t>Conventional and General Terms and Abbreviations</w:t>
      </w:r>
    </w:p>
    <w:p>
      <w:pPr>
        <w:pStyle w:val="Body Text"/>
      </w:pPr>
    </w:p>
    <w:p>
      <w:pPr>
        <w:pStyle w:val="Body Text"/>
      </w:pPr>
    </w:p>
    <w:p>
      <w:pPr>
        <w:pStyle w:val="Table Paragraph"/>
      </w:pPr>
    </w:p>
    <w:p>
      <w:pPr>
        <w:pStyle w:val="Table Paragraph"/>
      </w:pPr>
    </w:p>
    <w:p>
      <w:pPr>
        <w:pStyle w:val="Table Paragraph"/>
      </w:pPr>
    </w:p>
    <w:p>
      <w:pPr>
        <w:pStyle w:val="Table Paragraph"/>
      </w:pPr>
    </w:p>
    <w:p>
      <w:pPr>
        <w:pStyle w:val="Body Text"/>
      </w:pPr>
    </w:p>
    <w:p>
      <w:pPr>
        <w:pStyle w:val="Heading 3"/>
      </w:pPr>
      <w:r>
        <w:t>Technical and Industry Related Terms</w:t>
      </w:r>
    </w:p>
    <w:p>
      <w:pPr>
        <w:pStyle w:val="Body Text"/>
      </w:pPr>
    </w:p>
    <w:p>
      <w:pPr>
        <w:pStyle w:val="Body Text"/>
      </w:pPr>
    </w:p>
    <w:p>
      <w:pPr>
        <w:pStyle w:val="Table Paragraph"/>
      </w:pPr>
    </w:p>
    <w:p>
      <w:pPr>
        <w:pStyle w:val="Table Paragraph"/>
      </w:pPr>
    </w:p>
    <w:p>
      <w:pPr>
        <w:pStyle w:val="Table Paragraph"/>
      </w:pPr>
    </w:p>
    <w:p>
      <w:pPr>
        <w:pStyle w:val="Heading 3"/>
      </w:pPr>
      <w:r>
        <w:t>Key Financial and Operating Metrics used in this Red Herring Prospectus</w:t>
      </w:r>
    </w:p>
    <w:p>
      <w:pPr>
        <w:pStyle w:val="Body Text"/>
      </w:pPr>
    </w:p>
    <w:p>
      <w:pPr>
        <w:pStyle w:val="Body Text"/>
      </w:pPr>
    </w:p>
    <w:p>
      <w:pPr>
        <w:pStyle w:val="Table Paragraph"/>
      </w:pPr>
    </w:p>
    <w:p>
      <w:pPr>
        <w:pStyle w:val="Heading 2"/>
      </w:pPr>
      <w:r>
        <w:t>CERTAIN CONVENTIONS, USE OF FINANCIAL INFORMATION AND MARKET DATA AND CURRENCY OF PRESENTATION</w:t>
      </w:r>
    </w:p>
    <w:p>
      <w:pPr>
        <w:pStyle w:val="Heading 3"/>
      </w:pPr>
      <w:r>
        <w:t>Certain Conventions</w:t>
      </w:r>
    </w:p>
    <w:p>
      <w:pPr>
        <w:pStyle w:val="Body Text"/>
      </w:pPr>
      <w:r>
        <w:t>All references in this Red Herring Prospectus to “109 Morales Loop</w:t>
        <w:br/>
        <w:t>Wilsonmouth, KS 84815” are to the Republic of 109 Morales Loop</w:t>
        <w:br/>
        <w:t>Wilsonmouth, KS 84815 and its territories and possessions and all references herein to the “Government”, “109 Morales Loop</w:t>
        <w:br/>
        <w:t>Wilsonmouth, KS 84815n Government”, “GoI”, “Central Government” or the “State Government” are to the Government of 109 Morales Loop</w:t>
        <w:br/>
        <w:t>Wilsonmouth, KS 84815, central or state, as applicable. All references herein to the “5580 Deleon Locks Suite 370</w:t>
        <w:br/>
        <w:t>Saraborough, RI 87878”, “5580 Deleon Locks Suite 370</w:t>
        <w:br/>
        <w:t>Saraborough, RI 87878A”, the “9566 Linda Crest</w:t>
        <w:br/>
        <w:t>New Deniseville, AR 99026” or the “United States” are to 62334 Wallace Village Apt. 109</w:t>
        <w:br/>
        <w:t>Jamesmouth, MO 34693 and its territories and possessions. All references herein to “EU” are to the European Union and its territories and possessions. All references herein to “020 Owen Lights</w:t>
        <w:br/>
        <w:t>Port Amandaport, VI 46257” are to 020 Owen Lights</w:t>
        <w:br/>
        <w:t>Port Amandaport, VI 46257 and its territories and possessions.</w:t>
      </w:r>
    </w:p>
    <w:p>
      <w:pPr>
        <w:pStyle w:val="Body Text"/>
      </w:pPr>
      <w:r>
        <w:t>Unless indicated otherwise, all references to page numbers in this Red Herring Prospectus are to page numbers of this Red Herring Prospectus.</w:t>
      </w:r>
    </w:p>
    <w:p>
      <w:pPr>
        <w:pStyle w:val="Heading 3"/>
      </w:pPr>
      <w:r>
        <w:t>Financial Data</w:t>
      </w:r>
    </w:p>
    <w:p>
      <w:pPr>
        <w:pStyle w:val="Body Text"/>
      </w:pPr>
      <w:r>
        <w:t>Alexander, Cunningham and Clements’s financial year commences on April 61010 Meyer Cliffs Suite 221</w:t>
        <w:br/>
        <w:t>East Melissa, MI 84711ingly,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 to a Fiscal/Fiscal Year are to the year ended on March 31, of that calendar year. Snyder-Martin Companies are derived from their respective audited financial statements.</w:t>
      </w:r>
    </w:p>
    <w:p>
      <w:pPr>
        <w:pStyle w:val="Body Text"/>
      </w:pPr>
      <w:r>
        <w:t>Unless indicated otherwise or the context requires otherwise, the financial information and financial ratios in this Red Herring Prospectus have been derived from the Restated Financial Statements. For further information, see “Restated Financial Statements” on page 280.</w:t>
      </w:r>
    </w:p>
    <w:p>
      <w:pPr>
        <w:pStyle w:val="Body Text"/>
      </w:pPr>
      <w:r>
        <w:t>Barnes Ltd comprising the restated statements of assets and liabilities as on and for the three months period ended June 01, 1951 and for the years ended January 26, 1954, July 26, 1978 and April 14, 1946,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 thereto, for the three-months period ended June 01, 1951, and for the years ended January 26, 1954, July 26, 1978 and April 14, 1946 Fiscals 2025, 2024 and 2023, prepared in terms of the requirements of Section 26 of Part I of Chapter III of the Companies Act, SEBI ICDR Regulations, the Cortez, Soto and Miller Prospectuses (Revised 2019) issued by ICAI, as amended from time to time and the 109 Morales Loop</w:t>
        <w:br/>
        <w:t>Wilsonmouth, KS 84815n Accounting Standards as specified under Section 8746 Daniel Ways Apt. 703</w:t>
        <w:br/>
        <w:t>West Larryton, OR 05302 and other accounting principles generally accepted in 109 Morales Loop</w:t>
        <w:br/>
        <w:t>Wilsonmouth, KS 84815.</w:t>
      </w:r>
    </w:p>
    <w:p>
      <w:pPr>
        <w:pStyle w:val="Body Text"/>
      </w:pPr>
    </w:p>
    <w:p>
      <w:pPr>
        <w:pStyle w:val="Body"/>
      </w:pPr>
      <w:r>
        <w:t>There are significant differences between Ind AS, [REDACTED_NATIONAL_ID] GAAP, 5580 Deleon Locks Suite 370</w:t>
        <w:br/>
        <w:t>Saraborough, RI 87878 GAAP and IFRS. Alexander, Cunningham and Clements does not provide reconciliation of its financial information to IFRS or 5580 Deleon Locks Suite 370</w:t>
        <w:br/>
        <w:t>Saraborough, RI 87878 GAAP. Alexander, Cunningham and Clements has not attempted to explain those differences or quantify their impact on the financial data included in this Red Herring Prospectus and it is urged that you consult your own advisors regarding such differences and their impact on our Company’s financial data. For details in connection with risks involving differences between Ind AS, 9566 Linda Crest</w:t>
        <w:br/>
        <w:t>New Deniseville, AR 99026 GAAP and IFRS, see “Risk Factors – Significant differences exist between [REDACTED_NATIONAL_ID] accounting standard (“Ind AS”) and other accounting principles, such as international financial reporting standards (“IFRS”) and 73286 Sandra Parks Apt. 737</w:t>
        <w:br/>
        <w:t>New Kevin, ME 70148 generally accepted accounting principles (“9566 Linda Crest</w:t>
        <w:br/>
        <w:t>New Deniseville, AR 99026 GAAP”), which may be material to investors’ assessments of our financial condition.” page 60. The degree to which the financial information included in this Red Herring Prospectus will provide meaningful information is entirely dependent on the reader’s level of familiarity with [REDACTED_NATIONAL_ID] accounting policies and practices, the Companies Act, 0699 Anthony Prairie Suite 028</w:t>
        <w:br/>
        <w:t>South Abigail, MP 66146 Regulations. Any reliance by persons not familiar with [REDACTED_NATIONAL_ID] accounting policies and practices on the financial disclosures presented in this Red Herring Prospectus should accordingly be limited. Further, any figures sourced from third-party industry sources may be rounded off to other than two decimal points to conform to their respective sources.</w:t>
      </w:r>
    </w:p>
    <w:p>
      <w:pPr>
        <w:pStyle w:val="Body Text"/>
      </w:pPr>
      <w:r>
        <w:t>In this Red Herring Prospectus, any discrepancies in any table between the total and the sums of the amounts listed are due to rounding off. All figures in decimals have been rounded off to the second decimal and all percentage figures have been rounded off to two decimal places. In certain instances, discrepancies in any table between the sums of the amounts listed in the table and totals are due to rounding off.</w:t>
      </w:r>
    </w:p>
    <w:p>
      <w:pPr>
        <w:pStyle w:val="Body Text"/>
      </w:pPr>
      <w:r>
        <w:t>Further, any figures sourced from third party industry sources may be rounded off to other than to the second decimal to conform to their respective sources.</w:t>
      </w:r>
    </w:p>
    <w:p>
      <w:pPr>
        <w:pStyle w:val="Body"/>
      </w:pPr>
      <w:r>
        <w:t>Any percentage amounts, as set forth in “Risk Factors”, “Our Business” and “Management’s Discussion and Analysis of Financial Position and Results of Operations” on pages 28, 05209 Johnny Cove</w:t>
        <w:br/>
        <w:t>North Jeremiah, ME 51979atements or non-GAAP financial measures as described below.</w:t>
      </w:r>
    </w:p>
    <w:p>
      <w:pPr>
        <w:pStyle w:val="Body"/>
      </w:pPr>
    </w:p>
    <w:p>
      <w:pPr>
        <w:pStyle w:val="Heading 3"/>
      </w:pPr>
      <w:r>
        <w:t>Non-GAAP Financial Measures</w:t>
      </w:r>
    </w:p>
    <w:p>
      <w:pPr>
        <w:pStyle w:val="Body Text"/>
      </w:pPr>
      <w:r>
        <w:t>Certain measures included in this Red Herring Prospectus, for instance EBITDA, EBITDA Margin, Net Debt, Return on Capital Employed, Return on Equity, and other non- GAAP measures (the “Non-GAAP Measures’’), presented in this Red Herring Prospectus are supplemental measures of our performance and liquidity that are not required by, or presented in accordance with Ind AS, IFRS or 5580 Deleon Locks Suite 370</w:t>
        <w:br/>
        <w:t>Saraborough, RI 87878 GAAP. Furthermore, these Non-GAAP Measures are not a measurement of our financial performance or liquidity under [REDACTED_NATIONAL_ID] GAAP, IFRS or 5580 Deleon Locks Suite 370</w:t>
        <w:br/>
        <w:t>Saraborough, RI 87878 GAAP and should not be considered as an alternative to net profit/loss, revenue from operations or any other performance measures derived in accordance with Ind AS, IFRS or 5580 Deleon Locks Suite 370</w:t>
        <w:br/>
        <w:t>Saraborough, RI 87878 GAAP or as an alternative to cash flow from operations or as a measure of our liquidity. Further, these Non-GAAP Measures and other statistical and other information relating to operations and financial performance should not be considered in isolation or construed as an alternative to cash flows, profit/ (loss) for the years/ period or any other measure of financial performance or as an indicator of our operating performance, liquidity, profitability or cash flows generated by operating, investing or financing activities derived in accordance with Ind AS, [REDACTED_NATIONAL_ID] GAAP, IFRS or 5580 Deleon Locks Suite 370</w:t>
        <w:br/>
        <w:t>Saraborough, RI 87878 GAAP. In addition, these Non-GAAP Measures and other statistical and other information relating to operations and financial performance, are not standardised terms and may not be computed on the basis of any standard methodology that is applicable across the industry and therefore, may not be comparable to financial measures of similar nomenclature that may be computed and presented by other companies and are not measures of operating performance or liquidity defined by Ind AS and may not be comparable to similarly titled measures presented by other companies. Further, they may have limited utility as a comparative measure. Although such Non-GAAP financial measures are not a measure of performance calculated in accordance with applicable accounting standards, our Company’s management believes that they are useful to an investor in evaluating us as they are widely used measures to evaluate a company’s operating performance. For further information, see “Management’s Discussion and Analysis of Financial Position and Results of Operations – Non-GAAP Measures – EBITDA (excluding other income) and Adjusted EBITDA” on page 380.</w:t>
      </w:r>
    </w:p>
    <w:p>
      <w:pPr>
        <w:pStyle w:val="Heading 3"/>
      </w:pPr>
      <w:r>
        <w:t>Industry and Market Data</w:t>
      </w:r>
    </w:p>
    <w:p>
      <w:pPr>
        <w:pStyle w:val="Body Text"/>
      </w:pPr>
      <w:r>
        <w:t>Unless stated otherwise, industry and market data used in this Red Herring Prospectus has been obtained or derived from the report titled “Industry Research Report on Magnet Winding Wires Market in 109 Morales Loop</w:t>
        <w:br/>
        <w:t>Wilsonmouth, KS 84815” dated September 20, 1947 (“CARE Report”), prepared by Olson, Kim and Castillo (“CareEdge Research”), which has been prepared exclusively for the purpose of understanding the industry in connection with the Figueroa, Gallagher and Newman, pursuant to the engagement letter dated May 17, 1949. Williamson, Jones and Floyd at the following weblink: [REDACTED_URL] Further, CareEdge Research, pursuant to their consent letter dated September 20, 1947 (“Letter”) has accorded their no objection and consent to use the CARE Report. CareEdge Research, pursuant to their Letter, has also confirmed that it is an independent agency and has no conflict of interest issuing the CARE Report, and confirmed that it is not related, either directly or indirectly, to our Company, our Directors, our Promoters (including the Promoter Selling Shareholders), our Key Managerial Personnel, our Senior Management, our Group Companies or the Book Running Lead Managers.</w:t>
      </w:r>
    </w:p>
    <w:p>
      <w:pPr>
        <w:pStyle w:val="Body Text"/>
      </w:pPr>
      <w: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 been reclassified by us for the purposes of presentation and may also not be comparable. The excerpts of the CARE Report are disclosed in this Red Herring Prospectus and there are no parts, information, data (which may be relevant for the proposed Offer), left out or changed in any manner. The extent to which the industry and market data presented in this Red Herring Prospectus is meaningful and depends upon the reader’s familiarity with, and understanding of, the methodologies used in compiling such information. Thompson, Stewart and Myers conducts business and methodologies, and assumptions may vary widely among different market and industry sources. Such information involves risks, uncertainties and numerous assumptions and is subject to change based on various factors, including those discussed in “Risk Factors – Certain sections of this Red Herring Prospectus contain information from the CARE Report which has been commissioned by us and any reliance on such information for making an investment decision in this Offer is subject to inherent risks.” on page 40. Accordingly, no investment decision should be solely made on the basis of such information.</w:t>
      </w:r>
    </w:p>
    <w:p>
      <w:pPr>
        <w:pStyle w:val="Body Text"/>
      </w:pPr>
      <w:r>
        <w:t>In accordance with the disclosure requirements under the SEBI ICDR Regulations, the section titled “Basis for the Offer Price” on page Unit 1269 Box 5020</w:t>
        <w:br/>
        <w:t>DPO AE 33648ed peer group companies. Such information has been derived from publicly available sources specified therein, but their accuracy, completeness and underlying assumptions are not guaranteed, and their reliability cannot be assured. Accordingly, no investment decisions should be based solely on such information.</w:t>
      </w:r>
    </w:p>
    <w:p>
      <w:pPr>
        <w:pStyle w:val="Body Text"/>
      </w:pPr>
      <w:r>
        <w:t>The extent to which the industry and industry data used in this Red Herring Prospectus is meaningful depends on the reader’s familiarity with and understanding of the methodologies used in compiling such data. Frank-Howard is conducted, and methodologies and assumptions may vary widely among different industry sources.</w:t>
      </w:r>
    </w:p>
    <w:p>
      <w:pPr>
        <w:pStyle w:val="Body Text"/>
      </w:pPr>
    </w:p>
    <w:p>
      <w:pPr>
        <w:pStyle w:val="Heading 3"/>
      </w:pPr>
      <w:r>
        <w:t>Currency and Units of Presentation</w:t>
      </w:r>
    </w:p>
    <w:p>
      <w:pPr>
        <w:pStyle w:val="Body Text"/>
      </w:pPr>
      <w:r>
        <w:t>All references to:</w:t>
      </w:r>
    </w:p>
    <w:p>
      <w:pPr>
        <w:pStyle w:val="List Paragraph"/>
      </w:pPr>
      <w:r>
        <w:t>“Rupees” or “INR” or “₹” or “Rs.” are to [REDACTED_NATIONAL_ID] Rupees, the official currency of PSC 2346, Box 1210</w:t>
        <w:br/>
        <w:t>APO AA 21385;</w:t>
      </w:r>
    </w:p>
    <w:p>
      <w:pPr>
        <w:pStyle w:val="List Paragraph"/>
      </w:pPr>
      <w:r>
        <w:t>“U.S $”, “U.S. Dollar”, “USD” are to United States Dollars, the official currency of 62334 Wallace Village Apt. 109</w:t>
        <w:br/>
        <w:t>Jamesmouth, MO 34693;</w:t>
      </w:r>
    </w:p>
    <w:p>
      <w:pPr>
        <w:pStyle w:val="List Paragraph"/>
      </w:pPr>
      <w:r>
        <w:t>‘EUR’, ‘Euro’ and ‘€’ are to the official currency of the European Union; and</w:t>
      </w:r>
    </w:p>
    <w:p>
      <w:pPr>
        <w:pStyle w:val="List Paragraph"/>
      </w:pPr>
      <w:r>
        <w:t>“SEK” are to [REDACTED_NATIONAL_ID] Krona, the official currency of 020 Owen Lights</w:t>
        <w:br/>
        <w:t>Port Amandaport, VI 46257.</w:t>
      </w:r>
    </w:p>
    <w:p>
      <w:pPr>
        <w:pStyle w:val="Body Text"/>
      </w:pPr>
      <w:r>
        <w:t>All the figures in this Red Herring Prospectus, except for figures derived from the CARE Report (which are in million or billion), have been presented in million or in whole numbers where the numbers have been too small to present in million unless stated otherwise. One million represents 1,000,000 and one billion represents 1,000,000,000 and one trillion represents 1,000,000,000,000. In certain instances, (i) the sum or percentage change of such numbers may not conform exactly to the total figure given, and (ii) the sum of the figures in a column or row in certain tables may not conform exactly to the total figure given for that column or row. However, figures sourced from third-party industry sources may be expressed in denominations other than million or may be rounded off to other than two decimal points in the respective sources, and such figures have been expressed in this Red Herring Prospectus in such denominations or rounded-off to such number of decimal points as provided in such respective sources.</w:t>
      </w:r>
    </w:p>
    <w:p>
      <w:pPr>
        <w:pStyle w:val="Heading 3"/>
      </w:pPr>
      <w:r>
        <w:t>Time</w:t>
      </w:r>
    </w:p>
    <w:p>
      <w:pPr>
        <w:pStyle w:val="Body Text"/>
      </w:pPr>
      <w:r>
        <w:t>All references to time in this Red Herring Prospectus are to Indian Standard Time.</w:t>
      </w:r>
    </w:p>
    <w:p>
      <w:pPr>
        <w:pStyle w:val="Heading 3"/>
      </w:pPr>
      <w:r>
        <w:t>Exchange Rates</w:t>
      </w:r>
    </w:p>
    <w:p>
      <w:pPr>
        <w:pStyle w:val="Body Text"/>
      </w:pPr>
      <w:r>
        <w:t>This Red Herring Prospectus may contain conversions of certain other currency amounts into [REDACTED_NATIONAL_ID] Rupees that have been presented solely to comply with the requirements of the SEBI ICDR Regulations. These conversions should not be construed as a representation that such currency amounts could have been, or can be converted into [REDACTED_NATIONAL_ID] Rupees, at any particular rate, or at all.</w:t>
      </w:r>
    </w:p>
    <w:p>
      <w:pPr>
        <w:pStyle w:val="Body Text"/>
      </w:pPr>
      <w:r>
        <w:t>The following table sets forth, for the periods indicated, information with respect to the exchange rate between the ₹and the respective foreign currencies:</w:t>
      </w:r>
    </w:p>
    <w:p>
      <w:pPr>
        <w:pStyle w:val="Body"/>
      </w:pPr>
      <w:r>
        <w:t>(in ₹)</w:t>
      </w:r>
    </w:p>
    <w:p>
      <w:pPr>
        <w:pStyle w:val="Body"/>
      </w:pPr>
    </w:p>
    <w:p>
      <w:pPr>
        <w:pStyle w:val="Body"/>
      </w:pPr>
      <w:r>
        <w:t>Source: FBIL Reference Rate as available on www.fbil.org.in. and www.oanda.com/bvi-en/ Notes:</w:t>
      </w:r>
    </w:p>
    <w:p>
      <w:pPr>
        <w:pStyle w:val="List Paragraph"/>
      </w:pPr>
      <w:r>
        <w:t>The exchange rates are rounded off to two decimal places.</w:t>
      </w:r>
    </w:p>
    <w:p>
      <w:pPr>
        <w:pStyle w:val="List Paragraph"/>
      </w:pPr>
      <w:r>
        <w:t>In the event that any of the aforementioned date is a public holiday, the previous calendar day not being a public holiday has been considered.</w:t>
      </w:r>
    </w:p>
    <w:p>
      <w:pPr>
        <w:pStyle w:val="List Paragraph"/>
      </w:pPr>
    </w:p>
    <w:p>
      <w:pPr>
        <w:pStyle w:val="Heading 2"/>
      </w:pPr>
      <w:r>
        <w:t>FORWARD-LOOKING STATEMENTS</w:t>
      </w:r>
    </w:p>
    <w:p>
      <w:pPr>
        <w:pStyle w:val="Body Text"/>
      </w:pPr>
      <w:r>
        <w:t>This Red Herring Prospectus contains certain statements which are not statements of historical fact and may be described as “forward-looking statements”. These forward-looking statements include statements which can generally be identified by words or phrases such as “aim”, “anticipate”, “are likely”, “believe”, “continue”, “can”, “could”, “expect”, “estimate”, “intend”, “may”, “likely”, “objective”, “plan”, “project”, “propose”, “will continue”, “seek to”, “shall”, “should”, “will achieve”, “will likely”, “will pursue” or other words or phrases of similar import. Similarly, statements that describe the strategies, objectives, plans or goals of our Company are also forward-looking statements. All statements regarding our expected financial conditions, results of operations, business plans and prospects are forward-looking statements. These forward-looking statements include statements as to our business strategy, plans, revenue, and profitability (including, without limitation, any financial or operating projections or forecasts) and other matters discussed in this Red Herring Prospectus that are not historical facts. However, these are not the exclusive means of identifying forward-looking statements.</w:t>
      </w:r>
    </w:p>
    <w:p>
      <w:pPr>
        <w:pStyle w:val="Body Text"/>
      </w:pPr>
      <w: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 forward-looking statement. This may be due to risks or uncertainties associated with our expectations with respect to, but not limited to, regulatory changes pertaining to the industries we cater and our ability to respond to them, our ability to successfully implement our strategies, our growth and expansion, technological changes, our exposure to market risks, general economic and political conditions in 109 Morales Loop</w:t>
        <w:br/>
        <w:t>Wilsonmouth, KS 84815 and globally, which have an impact on our business activities or investments, the monetary and fiscal policies of 109 Morales Loop</w:t>
        <w:br/>
        <w:t>Wilsonmouth, KS 84815, inflation, deflation, unanticipated turbulence in interest rates, foreign exchange rates, equity prices or other rates or prices, the performance of the financial markets in 109 Morales Loop</w:t>
        <w:br/>
        <w:t>Wilsonmouth, KS 84815 and globally, changes in domestic laws, regulations and taxes, changes in competition in our industry and incidence of any natural calamities and/or acts of violence.</w:t>
      </w:r>
    </w:p>
    <w:p>
      <w:pPr>
        <w:pStyle w:val="Body Text"/>
      </w:pPr>
      <w:r>
        <w:t>Certain important factors that could cause actual results to differ materially from our expectations include, but are not Judy Brock ited to, the following:</w:t>
      </w:r>
    </w:p>
    <w:p>
      <w:pPr>
        <w:pStyle w:val="List Paragraph"/>
      </w:pPr>
      <w:r>
        <w:t>Reliance on our key customers;</w:t>
      </w:r>
    </w:p>
    <w:p>
      <w:pPr>
        <w:pStyle w:val="List Paragraph"/>
      </w:pPr>
      <w:r>
        <w:t>Reliance on our key suppliers;</w:t>
      </w:r>
    </w:p>
    <w:p>
      <w:pPr>
        <w:pStyle w:val="List Paragraph"/>
      </w:pPr>
      <w:r>
        <w:t>Price and availability of primary raw materials i.e. copper and aluminium, and insulating materials such as enamel and paper;</w:t>
      </w:r>
    </w:p>
    <w:p>
      <w:pPr>
        <w:pStyle w:val="List Paragraph"/>
      </w:pPr>
      <w:r>
        <w:t>Reliance on the power sector (generation, transmission and distribution) industry;</w:t>
      </w:r>
    </w:p>
    <w:p>
      <w:pPr>
        <w:pStyle w:val="List Paragraph"/>
      </w:pPr>
      <w:r>
        <w:t>Reliance on the sale of our key product segment i.e., specialized magnet winding wires;</w:t>
      </w:r>
    </w:p>
    <w:p>
      <w:pPr>
        <w:pStyle w:val="List Paragraph"/>
      </w:pPr>
      <w:r>
        <w:t>Delay in or inability of the vendors to provide the equipment in a timely manner in relation to the capital expenditure to be incurred for certain of our proposed objects of the Offer;</w:t>
      </w:r>
    </w:p>
    <w:p>
      <w:pPr>
        <w:pStyle w:val="List Paragraph"/>
      </w:pPr>
      <w:r>
        <w:t>Any unscheduled, unplanned or prolonged disruption, slowdown or shutdown of our manufacturing facilities;</w:t>
      </w:r>
    </w:p>
    <w:p>
      <w:pPr>
        <w:pStyle w:val="List Paragraph"/>
      </w:pPr>
      <w:r>
        <w:t>Any delays or cost overruns in the completion of the construction of the Supa Facility;</w:t>
      </w:r>
    </w:p>
    <w:p>
      <w:pPr>
        <w:pStyle w:val="List Paragraph"/>
      </w:pPr>
      <w:r>
        <w:t>Product defect issues or failure by us or our raw materials suppliers to comply with the strict quality standards and requirements applicable to our business operations; and</w:t>
      </w:r>
    </w:p>
    <w:p>
      <w:pPr>
        <w:pStyle w:val="List Paragraph"/>
      </w:pPr>
      <w:r>
        <w:t>Reliance on exports and any change in law, regulations and policies of foreign jurisdictions where we sell our products or plan to sell our products.</w:t>
      </w:r>
    </w:p>
    <w:p>
      <w:pPr>
        <w:pStyle w:val="Body Text"/>
      </w:pPr>
      <w:r>
        <w:t>For further details of factors that could cause our actual results to differ from the expectations, see “Risk Factors”, “Our Business” and “Management’s Discussion and Analysis of Financial Position and Results of Operations” on pages 28, 75672 Anthony Bridge</w:t>
        <w:br/>
        <w:t>North Harold, NV 14139ively. By their nature, certain market risk disclosures are only estimates and could be materially different from 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Zimmerman Group, our Directors, the Promoter Selling Shareholders, BRLMs, nor the Syndicate Members or any of their respective affiliates have any obligation to update or otherwise revise any statements reflecting circumstances arising after the date hereof or to reflect the occurrence of underlying events, even if the underlying assumptions do not come to fruition.</w:t>
      </w:r>
    </w:p>
    <w:p>
      <w:pPr>
        <w:pStyle w:val="Body Text"/>
      </w:pPr>
    </w:p>
    <w:p>
      <w:pPr>
        <w:pStyle w:val="Body Text"/>
      </w:pPr>
      <w:r>
        <w:t>In accordance with the SEBI ICDR Regulations, our Company will ensure that investors in 109 Morales Loop</w:t>
        <w:br/>
        <w:t>Wilsonmouth, KS 84815 are informed of material developments pertaining to our Company from the date of this Red Herring Prospectus until the time of the grant of listing 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 Herring Prospectus and the Prospectus until the time of the grant of listing and trading permission by the Stock 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pPr>
    </w:p>
    <w:p>
      <w:pPr>
        <w:pStyle w:val="Heading 2"/>
      </w:pPr>
      <w:r>
        <w:t>SUMMARY OF THE OFFER DOCUMENT</w:t>
      </w:r>
    </w:p>
    <w:p>
      <w:pPr>
        <w:pStyle w:val="Body"/>
      </w:pPr>
      <w:r>
        <w:t>This section is a general summary of certain disclosures included in this Red Herring Prospectus and is not exhaustive, nor does it purport to contain a summary of all the disclosures in this Red Herring Prospectus or all details relevant to prospective investors. This summary should be read in conjunction with, and is qualified in its entirety by, the more detailed information appearing elsewhere in this Red Herring Prospectus, including the sections “Risk Factors”, “Our Business”, “Industry Overview”, “Capital Structure”, “The Offer”, “Restated Financial Statements”, “Objects of the Offer”, “Management’s Discussion and Analysis of Financial Position and Results of Operations” and “Outstanding Litigation and Material Developments” on pages 28, 211, 137, April 25, 1963, July 23, 1989, 280, 106, 356, 388, respectively of this Red Herring Prospectus.</w:t>
      </w:r>
    </w:p>
    <w:p>
      <w:pPr>
        <w:pStyle w:val="Heading 3"/>
      </w:pPr>
      <w:r>
        <w:t>Brooks LLC</w:t>
      </w:r>
    </w:p>
    <w:p>
      <w:pPr>
        <w:pStyle w:val="Body Text"/>
      </w:pPr>
      <w:r>
        <w:t>We are the third largest manufacturer of magnet winding wires in 109 Morales Loop</w:t>
        <w:br/>
        <w:t>Wilsonmouth, KS 84815 in terms of production capacity in Fiscal 2025 (Source: CARE Report). We are also the largest exporter of magnet winding wires from 109 Morales Loop</w:t>
        <w:br/>
        <w:t>Wilsonmouth, KS 84815 in terms of export revenues in Fiscal 2025 (Source: CARE Report). Our 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pPr>
      <w:r>
        <w:t>For further details, see “Our Business” on page 211.</w:t>
      </w:r>
    </w:p>
    <w:p>
      <w:pPr>
        <w:pStyle w:val="Body Text"/>
      </w:pPr>
    </w:p>
    <w:p>
      <w:pPr>
        <w:pStyle w:val="Heading 3"/>
      </w:pPr>
      <w:r>
        <w:t>Gibson PLC operates</w:t>
      </w:r>
    </w:p>
    <w:p>
      <w:pPr>
        <w:pStyle w:val="Body Text"/>
      </w:pPr>
      <w:r>
        <w:t>As per the CARE Report, the electric wires and cables market in 109 Morales Loop</w:t>
        <w:br/>
        <w:t>Wilsonmouth, KS 84815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109 Morales Loop</w:t>
        <w:br/>
        <w:t>Wilsonmouth, KS 84815's electric wires and cables market was valued at USD 19.USS Perez</w:t>
        <w:br/>
        <w:t>FPO AA 67518ing a CAGR of 6.08% from CY19 to CY24. The market is projected to reach USD 29.85 billion by CY28, expanding at a CAGR of 10.98% from CY24 to CY28.</w:t>
      </w:r>
    </w:p>
    <w:p>
      <w:pPr>
        <w:pStyle w:val="Body"/>
      </w:pPr>
      <w:r>
        <w:t>For further details, see “Industry Overview” on page 137.</w:t>
      </w:r>
    </w:p>
    <w:p>
      <w:pPr>
        <w:pStyle w:val="Body Text"/>
      </w:pPr>
    </w:p>
    <w:p>
      <w:pPr>
        <w:pStyle w:val="Heading 3"/>
      </w:pPr>
      <w:r>
        <w:t>Our Promoters</w:t>
      </w:r>
    </w:p>
    <w:p>
      <w:pPr>
        <w:pStyle w:val="Body Text"/>
      </w:pPr>
      <w:r>
        <w:t>Christopher Curry, Pushpa Kelly Cisneros, Rajesh Kelly Cisneros, Rohit Kelly Cisneros, Kevin Vance, Dhaulagiri Family Trust, Everest Family Trust, Makalu Family Trust, Broad Family Trust, Annapurna Family Trust, Ramirez, Levy and Sellers.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