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 Text"/>
      </w:pPr>
    </w:p>
    <w:p>
      <w:pPr>
        <w:pStyle w:val="Body"/>
      </w:pPr>
    </w:p>
    <w:p>
      <w:pPr>
        <w:pStyle w:val="Body"/>
      </w:pPr>
      <w:r>
        <w:t>(Please scan this QR Code to view this Red Herring Prospectus)</w:t>
      </w:r>
    </w:p>
    <w:p>
      <w:pPr>
        <w:pStyle w:val="Heading 2"/>
      </w:pPr>
    </w:p>
    <w:p>
      <w:pPr>
        <w:pStyle w:val="Heading 2"/>
      </w:pPr>
      <w:r>
        <w:t>RED HERRING PROSPECTUS</w:t>
      </w:r>
    </w:p>
    <w:p>
      <w:pPr>
        <w:pStyle w:val="Body Text"/>
      </w:pPr>
      <w:r>
        <w:t>Dated December 10, 2025</w:t>
      </w:r>
    </w:p>
    <w:p>
      <w:pPr>
        <w:pStyle w:val="Body"/>
      </w:pPr>
      <w:r>
        <w:t>Please read section 32 of the Companies Act, 2013</w:t>
      </w:r>
    </w:p>
    <w:p>
      <w:pPr>
        <w:pStyle w:val="Heading 3"/>
      </w:pPr>
      <w:r>
        <w:t>100% Book Built Offer</w:t>
      </w:r>
    </w:p>
    <w:p>
      <w:pPr>
        <w:pStyle w:val="Heading 3"/>
      </w:pPr>
    </w:p>
    <w:p>
      <w:pPr>
        <w:pStyle w:val="Body Text"/>
      </w:pPr>
    </w:p>
    <w:p>
      <w:pPr>
        <w:pStyle w:val="Body"/>
      </w:pPr>
    </w:p>
    <w:p>
      <w:pPr>
        <w:pStyle w:val="Heading 2"/>
      </w:pPr>
      <w:r>
        <w:t>KSH INTERNATIONAL LIMITED CORPORATE IDENTITY NUMBER: U28129PN1979PLC141032</w:t>
      </w:r>
    </w:p>
    <w:p>
      <w:pPr>
        <w:pStyle w:val="Body Text"/>
      </w:pPr>
    </w:p>
    <w:p>
      <w:pPr>
        <w:pStyle w:val="Body Text"/>
      </w:pPr>
    </w:p>
    <w:p>
      <w:pPr>
        <w:pStyle w:val="Table Paragraph"/>
      </w:pPr>
    </w:p>
    <w:p>
      <w:pPr>
        <w:pStyle w:val="Table Paragraph"/>
      </w:pPr>
    </w:p>
    <w:p>
      <w:pPr>
        <w:pStyle w:val="Body"/>
      </w:pPr>
      <w:r>
        <w:t>(1) Our Company, in consultation with the Book Running Lead Managers, may consider participation by Anchor Investors in accordance with the SEBI ICDR Regulations.</w:t>
      </w:r>
    </w:p>
    <w:p>
      <w:pPr>
        <w:pStyle w:val="Body"/>
      </w:pPr>
      <w:r>
        <w:t>(2) The UPI mandate end time and date shall be at 5:00 p.m. on Bid/Offer Closing Day.</w:t>
      </w:r>
    </w:p>
    <w:p>
      <w:pPr>
        <w:pStyle w:val="Body"/>
      </w:pPr>
    </w:p>
    <w:p>
      <w:pPr>
        <w:pStyle w:val="Body"/>
      </w:pPr>
      <w:r>
        <w:t>RED HERRING PROSPECTUS</w:t>
      </w:r>
    </w:p>
    <w:p>
      <w:pPr>
        <w:pStyle w:val="Body"/>
      </w:pPr>
      <w:r>
        <w:t>Dated December 10, 2025 Please read section 32 of the Companies Act, 2013</w:t>
      </w:r>
    </w:p>
    <w:p>
      <w:pPr>
        <w:pStyle w:val="Body"/>
      </w:pPr>
      <w:r>
        <w:t>100% Book Built Offer</w:t>
      </w:r>
    </w:p>
    <w:p>
      <w:pPr>
        <w:pStyle w:val="Body Text"/>
      </w:pPr>
    </w:p>
    <w:p>
      <w:pPr>
        <w:pStyle w:val="Heading 2"/>
      </w:pPr>
      <w:r>
        <w:t>KSH INTERNATIONAL LIMITED</w:t>
      </w:r>
    </w:p>
    <w:p>
      <w:pPr>
        <w:pStyle w:val="Body"/>
      </w:pPr>
      <w:r>
        <w:t>Our Company was originally incorporated as “Bhandary Metal Extrusion Private Limited” under the provisions of the Companies Act, December 23, 2000, pursuant to a certificate of incorporation dated May 15, 1966, issued by the Registrar of Companies, 643 Edwin Junction Apt. 856</w:t>
        <w:br/>
        <w:t>North Bethany, MS 43945 at Unit 4265 Box 2541</w:t>
        <w:br/>
        <w:t>DPO AA 79394. Subsequently, the name of our Company was changed from “Bhandary Metal Extrusion Private Limited” to “KSH International Private Limited” pursuant to a resolution dated March 22, 1995 passed by our Board and a resolution dated June 07, 2003 passed by our shareholders, post which a fresh certificate of incorporation dated August 19, 1947 was issued by Registrar of Companies 643 Edwin Junction Apt. 856</w:t>
        <w:br/>
        <w:t>North Bethany, MS 43945 at 196 Stewart Lakes</w:t>
        <w:br/>
        <w:t>Grahamville, NM 97032 pursuant to change of name under the Companies Act, December 23, 2000. Further, pursuant to a special resolution passed by our Shareholders on January 13, 2011 which was confirmed by an order of the regional director dated August 16, 2011, the registered office of our Company was shifted from the jurisdiction of Registrar of Companies, 643 Edwin Junction Apt. 856</w:t>
        <w:br/>
        <w:t>North Bethany, MS 43945 at 196 Stewart Lakes</w:t>
        <w:br/>
        <w:t>Grahamville, NM 97032 to the jurisdiction of the Registrar of Companies, 643 Edwin Junction Apt. 856</w:t>
        <w:br/>
        <w:t>North Bethany, MS 43945 at USNS Mullins</w:t>
        <w:br/>
        <w:t>FPO AA 91445,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“KSH International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p>
    <w:p>
      <w:pPr>
        <w:pStyle w:val="Body"/>
      </w:pPr>
      <w:r>
        <w:t>Corporate Identity Number: U28129PN1979PLC141032</w:t>
      </w:r>
    </w:p>
    <w:p>
      <w:pPr>
        <w:pStyle w:val="Body"/>
      </w:pPr>
      <w:r>
        <w:t>Registered Office: 11/3, 10/16/2005 and 11/5, 337 Rhodes Union</w:t>
        <w:br/>
        <w:t>Jonesport, KS 02988, Colin Landry, USNS Mullins</w:t>
        <w:br/>
        <w:t>FPO AA 91445 – 410 501, 643 Edwin Junction Apt. 856</w:t>
        <w:br/>
        <w:t>North Bethany, MS 43945, 109 Morales Loop</w:t>
        <w:br/>
        <w:t>Wilsonmouth, KS 84815;</w:t>
      </w:r>
    </w:p>
    <w:p>
      <w:pPr>
        <w:pStyle w:val="Body"/>
      </w:pPr>
      <w:r>
        <w:t>Corporate Office: 201, Tower 2, Montreal Business Centre, Off Pallod Farms, Scott Harrell, USNS Mullins</w:t>
        <w:br/>
        <w:t>FPO AA 91445 – 411 045, 643 Edwin Junction Apt. 856</w:t>
        <w:br/>
        <w:t>North Bethany, MS 43945, 109 Morales Loop</w:t>
        <w:br/>
        <w:t>Wilsonmouth, KS 84815;</w:t>
      </w:r>
    </w:p>
    <w:p>
      <w:pPr>
        <w:pStyle w:val="Body"/>
      </w:pPr>
      <w:r>
        <w:t>Contact Person: Ashley Anderson, Company Secretary and Compliance Officer; Telephone: 698.643.6885x0489;</w:t>
      </w:r>
    </w:p>
    <w:p>
      <w:pPr>
        <w:pStyle w:val="Body"/>
      </w:pPr>
      <w:r>
        <w:t>E-mail: erinwilson@example.net; Website: https://example-176.com</w:t>
      </w:r>
    </w:p>
    <w:p>
      <w:pPr>
        <w:pStyle w:val="Body"/>
      </w:pPr>
    </w:p>
    <w:p>
      <w:pPr>
        <w:pStyle w:val="Body"/>
      </w:pPr>
      <w:r>
        <w:t>(1) Our Company, in consultation with the Book Running Lead Managers, may consider participation by Anchor Investors in accordance with the SEBI ICDR Regulations.</w:t>
      </w:r>
    </w:p>
    <w:p>
      <w:pPr>
        <w:pStyle w:val="Body"/>
      </w:pPr>
      <w:r>
        <w:t>(2) The UPI mandate end time and date shall be at 5:00 p.m. on Bid/Offer Closing Day.</w:t>
      </w:r>
    </w:p>
    <w:p>
      <w:pPr>
        <w:pStyle w:val="Body"/>
      </w:pPr>
    </w:p>
    <w:p>
      <w:pPr>
        <w:pStyle w:val="TOC 1"/>
      </w:pPr>
      <w:r>
        <w:t>SECTION I - GENERAL</w:t>
        <w:tab/>
        <w:t>2</w:t>
      </w:r>
    </w:p>
    <w:p>
      <w:pPr>
        <w:pStyle w:val="TOC 2"/>
      </w:pPr>
      <w:r>
        <w:t>DEFINITIONS AND ABBREVIATIONS</w:t>
        <w:tab/>
        <w:t>2</w:t>
      </w:r>
    </w:p>
    <w:p>
      <w:pPr>
        <w:pStyle w:val="TOC 2"/>
      </w:pPr>
      <w:r>
        <w:t>CERTAIN CONVENTIONS, USE OF FINANCIAL INFORMATION AND MARKET DATA AND CURRENCY OF PRESENTATION</w:t>
        <w:tab/>
        <w:t>15</w:t>
      </w:r>
    </w:p>
    <w:p>
      <w:pPr>
        <w:pStyle w:val="TOC 2"/>
      </w:pPr>
      <w:r>
        <w:t>FORWARD-LOOKING STATEMENTS</w:t>
        <w:tab/>
        <w:t>18</w:t>
      </w:r>
    </w:p>
    <w:p>
      <w:pPr>
        <w:pStyle w:val="TOC 2"/>
      </w:pPr>
      <w:r>
        <w:t>SUMMARY OF THE OFFER DOCUMENT</w:t>
        <w:tab/>
        <w:t>20</w:t>
      </w:r>
    </w:p>
    <w:p>
      <w:pPr>
        <w:pStyle w:val="TOC 1"/>
      </w:pPr>
      <w:r>
        <w:t>SECTION II: RISK FACTORS</w:t>
        <w:tab/>
        <w:t>28</w:t>
      </w:r>
    </w:p>
    <w:p>
      <w:pPr>
        <w:pStyle w:val="TOC 1"/>
      </w:pPr>
      <w:r>
        <w:t>SECTION III – INTRODUCTION</w:t>
        <w:tab/>
        <w:t>67</w:t>
      </w:r>
    </w:p>
    <w:p>
      <w:pPr>
        <w:pStyle w:val="TOC 2"/>
      </w:pPr>
      <w:r>
        <w:t>THE OFFER</w:t>
        <w:tab/>
        <w:t>67</w:t>
      </w:r>
    </w:p>
    <w:p>
      <w:pPr>
        <w:pStyle w:val="TOC 2"/>
      </w:pPr>
      <w:r>
        <w:t>SUMMARY FINANCIAL STATEMENTS</w:t>
        <w:tab/>
        <w:t>69</w:t>
      </w:r>
    </w:p>
    <w:p>
      <w:pPr>
        <w:pStyle w:val="TOC 2"/>
      </w:pPr>
      <w:r>
        <w:t>GENERAL INFORMATION</w:t>
        <w:tab/>
        <w:t>74</w:t>
      </w:r>
    </w:p>
    <w:p>
      <w:pPr>
        <w:pStyle w:val="TOC 2"/>
      </w:pPr>
      <w:r>
        <w:t>CAPITAL STRUCTURE</w:t>
        <w:tab/>
        <w:t>84</w:t>
      </w:r>
    </w:p>
    <w:p>
      <w:pPr>
        <w:pStyle w:val="TOC 2"/>
      </w:pPr>
    </w:p>
    <w:p>
      <w:pPr>
        <w:pStyle w:val="Heading 2"/>
      </w:pPr>
      <w:r>
        <w:t>DEFINITIONS AND ABBREVIATIONS</w:t>
      </w:r>
    </w:p>
    <w:p>
      <w:pPr>
        <w:pStyle w:val="Body"/>
      </w:pPr>
      <w: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pPr>
      <w:r>
        <w:t>Unless the context otherwise indicates, all references to “we”, “us”, “our”, “the Company”, and “our Company”, are references to KSH International Limited, a company incorporated on May 15, 1966 under the Companies Act, December 23, 2000 and having its Registered Office at 11/3, 10/16/2005 and 11/5, 337 Rhodes Union</w:t>
        <w:br/>
        <w:t>Jonesport, KS 02988, Colin Landry, USNS Mullins</w:t>
        <w:br/>
        <w:t>FPO AA 91445 – 410 501, 643 Edwin Junction Apt. 856</w:t>
        <w:br/>
        <w:t>North Bethany, MS 43945, 109 Morales Loop</w:t>
        <w:br/>
        <w:t>Wilsonmouth, KS 84815 and its Corporate Office at 201, Tower 2, Montreal Business Centre, Off Pallod Farms, Scott Harrell, USNS Mullins</w:t>
        <w:br/>
        <w:t>FPO AA 91445 – 411 045, 643 Edwin Junction Apt. 856</w:t>
        <w:br/>
        <w:t>North Bethany, MS 43945, 109 Morales Loop</w:t>
        <w:br/>
        <w:t>Wilsonmouth, KS 84815.</w:t>
      </w:r>
    </w:p>
    <w:p>
      <w:pPr>
        <w:pStyle w:val="Body"/>
      </w:pPr>
      <w:r>
        <w:t>The words and expressions used in this Red Herring Prospectus but not defined herein, shall have, to the extent applicable, the meanings ascribed to such terms under the Companies Act, the SEBI Act, the SEBI ICDR Regulations, the SCRA, SCRR, and the Depositories Act, as amended.</w:t>
      </w:r>
    </w:p>
    <w:p>
      <w:pPr>
        <w:pStyle w:val="Body"/>
      </w:pPr>
      <w:r>
        <w:t>Notwithstanding the foregoing, terms in “Main Provisions of the Articles of Association”, “Statement of Special Tax Benefits”, “Industry Overview”, “Key Regulations and Policies in 109 Morales Loop</w:t>
        <w:br/>
        <w:t>Wilsonmouth, KS 84815”, “History and Certain Corporate Matters”, “Basis for the Offer Price”, “Restriction on Foreign Ownership of 109 Morales Loop</w:t>
        <w:br/>
        <w:t>Wilsonmouth, KS 84815n Securities”, “Financial Information” and “Outstanding Litigation and Material Developments” on pages 441, 134, 137, 238, 243, 124, 438, 280 and 388, respectively, will have the meaning ascribed to such terms in those respective sections.</w:t>
      </w:r>
    </w:p>
    <w:p>
      <w:pPr>
        <w:pStyle w:val="Heading 3"/>
      </w:pPr>
      <w:r>
        <w:t>General Terms</w:t>
      </w:r>
    </w:p>
    <w:p>
      <w:pPr>
        <w:pStyle w:val="Body Text"/>
      </w:pPr>
    </w:p>
    <w:p>
      <w:pPr>
        <w:pStyle w:val="Body Text"/>
      </w:pPr>
    </w:p>
    <w:p>
      <w:pPr>
        <w:pStyle w:val="Body Text"/>
      </w:pPr>
    </w:p>
    <w:p>
      <w:pPr>
        <w:pStyle w:val="Heading 3"/>
      </w:pPr>
      <w:r>
        <w:t>Company Related Terms</w:t>
      </w:r>
    </w:p>
    <w:p>
      <w:pPr>
        <w:pStyle w:val="Body Text"/>
      </w:pPr>
    </w:p>
    <w:p>
      <w:pPr>
        <w:pStyle w:val="Body Text"/>
      </w:pPr>
    </w:p>
    <w:p>
      <w:pPr>
        <w:pStyle w:val="Table Paragraph"/>
      </w:pPr>
    </w:p>
    <w:p>
      <w:pPr>
        <w:pStyle w:val="Table Paragraph"/>
      </w:pPr>
    </w:p>
    <w:p>
      <w:pPr>
        <w:pStyle w:val="Table Paragraph"/>
      </w:pPr>
    </w:p>
    <w:p>
      <w:pPr>
        <w:pStyle w:val="Table Paragraph"/>
      </w:pPr>
    </w:p>
    <w:p>
      <w:pPr>
        <w:pStyle w:val="Body Text"/>
      </w:pPr>
    </w:p>
    <w:p>
      <w:pPr>
        <w:pStyle w:val="Heading 3"/>
      </w:pPr>
      <w:r>
        <w:t>Offer Related Terms</w:t>
      </w:r>
    </w:p>
    <w:p>
      <w:pPr>
        <w:pStyle w:val="Body Text"/>
      </w:pPr>
    </w:p>
    <w:p>
      <w:pPr>
        <w:pStyle w:val="Body Text"/>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Body Text"/>
      </w:pPr>
    </w:p>
    <w:p>
      <w:pPr>
        <w:pStyle w:val="Heading 3"/>
      </w:pPr>
      <w:r>
        <w:t>Conventional and General Terms and Abbreviations</w:t>
      </w:r>
    </w:p>
    <w:p>
      <w:pPr>
        <w:pStyle w:val="Body Text"/>
      </w:pPr>
    </w:p>
    <w:p>
      <w:pPr>
        <w:pStyle w:val="Body Text"/>
      </w:pPr>
    </w:p>
    <w:p>
      <w:pPr>
        <w:pStyle w:val="Table Paragraph"/>
      </w:pPr>
    </w:p>
    <w:p>
      <w:pPr>
        <w:pStyle w:val="Table Paragraph"/>
      </w:pPr>
    </w:p>
    <w:p>
      <w:pPr>
        <w:pStyle w:val="Table Paragraph"/>
      </w:pPr>
    </w:p>
    <w:p>
      <w:pPr>
        <w:pStyle w:val="Table Paragraph"/>
      </w:pPr>
    </w:p>
    <w:p>
      <w:pPr>
        <w:pStyle w:val="Body Text"/>
      </w:pPr>
    </w:p>
    <w:p>
      <w:pPr>
        <w:pStyle w:val="Heading 3"/>
      </w:pPr>
      <w:r>
        <w:t>Technical and Industry Related Terms</w:t>
      </w:r>
    </w:p>
    <w:p>
      <w:pPr>
        <w:pStyle w:val="Body Text"/>
      </w:pPr>
    </w:p>
    <w:p>
      <w:pPr>
        <w:pStyle w:val="Body Text"/>
      </w:pPr>
    </w:p>
    <w:p>
      <w:pPr>
        <w:pStyle w:val="Table Paragraph"/>
      </w:pPr>
    </w:p>
    <w:p>
      <w:pPr>
        <w:pStyle w:val="Table Paragraph"/>
      </w:pPr>
    </w:p>
    <w:p>
      <w:pPr>
        <w:pStyle w:val="Table Paragraph"/>
      </w:pPr>
    </w:p>
    <w:p>
      <w:pPr>
        <w:pStyle w:val="Heading 3"/>
      </w:pPr>
      <w:r>
        <w:t>Key Financial and Operating Metrics used in this Red Herring Prospectus</w:t>
      </w:r>
    </w:p>
    <w:p>
      <w:pPr>
        <w:pStyle w:val="Body Text"/>
      </w:pPr>
    </w:p>
    <w:p>
      <w:pPr>
        <w:pStyle w:val="Body Text"/>
      </w:pPr>
    </w:p>
    <w:p>
      <w:pPr>
        <w:pStyle w:val="Table Paragraph"/>
      </w:pPr>
    </w:p>
    <w:p>
      <w:pPr>
        <w:pStyle w:val="Heading 2"/>
      </w:pPr>
      <w:r>
        <w:t>CERTAIN CONVENTIONS, USE OF FINANCIAL INFORMATION AND MARKET DATA AND CURRENCY OF PRESENTATION</w:t>
      </w:r>
    </w:p>
    <w:p>
      <w:pPr>
        <w:pStyle w:val="Heading 3"/>
      </w:pPr>
      <w:r>
        <w:t>Certain Conventions</w:t>
      </w:r>
    </w:p>
    <w:p>
      <w:pPr>
        <w:pStyle w:val="Body Text"/>
      </w:pPr>
      <w:r>
        <w:t>All references in this Red Herring Prospectus to “109 Morales Loop</w:t>
        <w:br/>
        <w:t>Wilsonmouth, KS 84815” are to the Republic of 109 Morales Loop</w:t>
        <w:br/>
        <w:t>Wilsonmouth, KS 84815 and its territories and possessions and all references herein to the “Government”, “109 Morales Loop</w:t>
        <w:br/>
        <w:t>Wilsonmouth, KS 84815n Government”, “GoI”, “Central Government” or the “State Government” are to the Government of 109 Morales Loop</w:t>
        <w:br/>
        <w:t>Wilsonmouth, KS 84815, central or state, as applicable. All references herein to the “5580 Deleon Locks Suite 370</w:t>
        <w:br/>
        <w:t>Saraborough, RI 87878”, “5580 Deleon Locks Suite 370</w:t>
        <w:br/>
        <w:t>Saraborough, RI 87878A”, the “9566 Linda Crest</w:t>
        <w:br/>
        <w:t>New Deniseville, AR 99026” or the “United States” are to 62334 Wallace Village Apt. 109</w:t>
        <w:br/>
        <w:t>Jamesmouth, MO 34693 and its territories and possessions. All references herein to “EU” are to the European Union and its territories and possessions. All references herein to “020 Owen Lights</w:t>
        <w:br/>
        <w:t>Port Amandaport, VI 46257” are to 020 Owen Lights</w:t>
        <w:br/>
        <w:t>Port Amandaport, VI 46257 and its territories and possessions.</w:t>
      </w:r>
    </w:p>
    <w:p>
      <w:pPr>
        <w:pStyle w:val="Body Text"/>
      </w:pPr>
      <w:r>
        <w:t>Unless indicated otherwise, all references to page numbers in this Red Herring Prospectus are to page numbers of this Red Herring Prospectus.</w:t>
      </w:r>
    </w:p>
    <w:p>
      <w:pPr>
        <w:pStyle w:val="Heading 3"/>
      </w:pPr>
      <w:r>
        <w:t>Financial Data</w:t>
      </w:r>
    </w:p>
    <w:p>
      <w:pPr>
        <w:pStyle w:val="Body Text"/>
      </w:pPr>
      <w: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Group Companies are derived from their respective audited financial statements.</w:t>
      </w:r>
    </w:p>
    <w:p>
      <w:pPr>
        <w:pStyle w:val="Body Text"/>
      </w:pPr>
      <w:r>
        <w:t>Unless indicated otherwise or the context requires otherwise, the financial information and financial ratios in this Red Herring Prospectus have been derived from the Restated Financial Statements. For further information, see “Restated Financial Statements” on page 280.</w:t>
      </w:r>
    </w:p>
    <w:p>
      <w:pPr>
        <w:pStyle w:val="Body Text"/>
      </w:pPr>
      <w: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109 Morales Loop</w:t>
        <w:br/>
        <w:t>Wilsonmouth, KS 84815n Accounting Standards as specified under Section 133 of the Act and other accounting principles generally accepted in 109 Morales Loop</w:t>
        <w:br/>
        <w:t>Wilsonmouth, KS 84815.</w:t>
      </w:r>
    </w:p>
    <w:p>
      <w:pPr>
        <w:pStyle w:val="Body Text"/>
      </w:pPr>
    </w:p>
    <w:p>
      <w:pPr>
        <w:pStyle w:val="Body"/>
      </w:pPr>
      <w:r>
        <w:t>There are significant differences between Ind AS, NID2418721951 GAAP, 5580 Deleon Locks Suite 370</w:t>
        <w:br/>
        <w:t>Saraborough, RI 87878 GAAP and IFRS. Our Company does not provide reconciliation of its financial information to IFRS or 5580 Deleon Locks Suite 370</w:t>
        <w:br/>
        <w:t>Saraborough, RI 87878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9566 Linda Crest</w:t>
        <w:br/>
        <w:t>New Deniseville, AR 99026 GAAP and IFRS, see “Risk Factors – Significant differences exist between NID2418721951 accounting standard (“Ind AS”) and other accounting principles, such as international financial reporting standards (“IFRS”) and 73286 Sandra Parks Apt. 737</w:t>
        <w:br/>
        <w:t>New Kevin, ME 70148 generally accepted accounting principles (“9566 Linda Crest</w:t>
        <w:br/>
        <w:t>New Deniseville, AR 99026 GAAP”), which may be material to investors’ assessments of our financial condition.” page 60. The degree to which the financial information included in this Red Herring Prospectus will provide meaningful information is entirely dependent on the reader’s level of familiarity with NID2418721951 accounting policies and practices, the Companies Act, 2013 and the SEBI ICDR Regulations. Any reliance by persons not familiar with NID2418721951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pPr>
        <w:pStyle w:val="Body Text"/>
      </w:pPr>
      <w:r>
        <w:t>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 Text"/>
      </w:pPr>
      <w:r>
        <w:t>Further, any figures sourced from third party industry sources may be rounded off to other than to the second decimal to conform to their respective sources.</w:t>
      </w:r>
    </w:p>
    <w:p>
      <w:pPr>
        <w:pStyle w:val="Body"/>
      </w:pPr>
      <w:r>
        <w:t>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Restated Financial Statements or non-GAAP financial measures as described below.</w:t>
      </w:r>
    </w:p>
    <w:p>
      <w:pPr>
        <w:pStyle w:val="Body"/>
      </w:pPr>
    </w:p>
    <w:p>
      <w:pPr>
        <w:pStyle w:val="Heading 3"/>
      </w:pPr>
      <w:r>
        <w:t>Non-GAAP Financial Measures</w:t>
      </w:r>
    </w:p>
    <w:p>
      <w:pPr>
        <w:pStyle w:val="Body Text"/>
      </w:pPr>
      <w:r>
        <w:t>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5580 Deleon Locks Suite 370</w:t>
        <w:br/>
        <w:t>Saraborough, RI 87878 GAAP. Furthermore, these Non-GAAP Measures are not a measurement of our financial performance or liquidity under NID2418721951 GAAP, IFRS or 5580 Deleon Locks Suite 370</w:t>
        <w:br/>
        <w:t>Saraborough, RI 87878 GAAP and should not be considered as an alternative to net profit/loss, revenue from operations or any other performance measures derived in accordance with Ind AS, IFRS or 5580 Deleon Locks Suite 370</w:t>
        <w:br/>
        <w:t>Saraborough, RI 87878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NID2418721951 GAAP, IFRS or 5580 Deleon Locks Suite 370</w:t>
        <w:br/>
        <w:t>Saraborough, RI 87878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p>
    <w:p>
      <w:pPr>
        <w:pStyle w:val="Heading 3"/>
      </w:pPr>
      <w:r>
        <w:t>Industry and Market Data</w:t>
      </w:r>
    </w:p>
    <w:p>
      <w:pPr>
        <w:pStyle w:val="Body Text"/>
      </w:pPr>
      <w:r>
        <w:t>Unless stated otherwise, industry and market data used in this Red Herring Prospectus has been obtained or derived from the report titled “Industry Research Report on Magnet Winding Wires Market in 109 Morales Loop</w:t>
        <w:br/>
        <w:t>Wilsonmouth, KS 84815” dated November 26, 2025 (“CARE Report”), prepared by CARE Analytics and Advisory Private Limited (“CareEdge Research”), which has been prepared exclusively for the purpose of understanding the industry in connection with the Offer and commissioned and paid for by our Company, pursuant to the engagement letter dated May 17, 1949. The CARE Report is available on the website of our Company at the following weblink: https://example-350.com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pPr>
        <w:pStyle w:val="Body Text"/>
      </w:pP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p>
    <w:p>
      <w:pPr>
        <w:pStyle w:val="Body Text"/>
      </w:pPr>
      <w:r>
        <w:t>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pPr>
        <w:pStyle w:val="Body Text"/>
      </w:pPr>
      <w:r>
        <w:t>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pPr>
    </w:p>
    <w:p>
      <w:pPr>
        <w:pStyle w:val="Heading 3"/>
      </w:pPr>
      <w:r>
        <w:t>Currency and Units of Presentation</w:t>
      </w:r>
    </w:p>
    <w:p>
      <w:pPr>
        <w:pStyle w:val="Body Text"/>
      </w:pPr>
      <w:r>
        <w:t>All references to:</w:t>
      </w:r>
    </w:p>
    <w:p>
      <w:pPr>
        <w:pStyle w:val="List Paragraph"/>
      </w:pPr>
      <w:r>
        <w:t>“Rupees” or “INR” or “₹” or “Rs.” are to NID2418721951 Rupees, the official currency of PSC 2346, Box 1210</w:t>
        <w:br/>
        <w:t>APO AA 21385;</w:t>
      </w:r>
    </w:p>
    <w:p>
      <w:pPr>
        <w:pStyle w:val="List Paragraph"/>
      </w:pPr>
      <w:r>
        <w:t>“U.S $”, “U.S. Dollar”, “USD” are to United States Dollars, the official currency of 62334 Wallace Village Apt. 109</w:t>
        <w:br/>
        <w:t>Jamesmouth, MO 34693;</w:t>
      </w:r>
    </w:p>
    <w:p>
      <w:pPr>
        <w:pStyle w:val="List Paragraph"/>
      </w:pPr>
      <w:r>
        <w:t>‘EUR’, ‘Euro’ and ‘€’ are to the official currency of the European Union; and</w:t>
      </w:r>
    </w:p>
    <w:p>
      <w:pPr>
        <w:pStyle w:val="List Paragraph"/>
      </w:pPr>
      <w:r>
        <w:t>“SEK” are to NID8651977114 Krona, the official currency of 020 Owen Lights</w:t>
        <w:br/>
        <w:t>Port Amandaport, VI 46257.</w:t>
      </w:r>
    </w:p>
    <w:p>
      <w:pPr>
        <w:pStyle w:val="Body Text"/>
      </w:pPr>
      <w:r>
        <w:t>All the figures in this Red Herring Prospectus,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pPr>
        <w:pStyle w:val="Heading 3"/>
      </w:pPr>
      <w:r>
        <w:t>Time</w:t>
      </w:r>
    </w:p>
    <w:p>
      <w:pPr>
        <w:pStyle w:val="Body Text"/>
      </w:pPr>
      <w:r>
        <w:t>All references to time in this Red Herring Prospectus are to Indian Standard Time.</w:t>
      </w:r>
    </w:p>
    <w:p>
      <w:pPr>
        <w:pStyle w:val="Heading 3"/>
      </w:pPr>
      <w:r>
        <w:t>Exchange Rates</w:t>
      </w:r>
    </w:p>
    <w:p>
      <w:pPr>
        <w:pStyle w:val="Body Text"/>
      </w:pPr>
      <w:r>
        <w:t>This Red Herring Prospectus may contain conversions of certain other currency amounts into NID2418721951 Rupees that have been presented solely to comply with the requirements of the SEBI ICDR Regulations. These conversions should not be construed as a representation that such currency amounts could have been, or can be converted into NID2418721951 Rupees, at any particular rate, or at all.</w:t>
      </w:r>
    </w:p>
    <w:p>
      <w:pPr>
        <w:pStyle w:val="Body Text"/>
      </w:pPr>
      <w:r>
        <w:t>The following table sets forth, for the periods indicated, information with respect to the exchange rate between the ₹and the respective foreign currencies:</w:t>
      </w:r>
    </w:p>
    <w:p>
      <w:pPr>
        <w:pStyle w:val="Body"/>
      </w:pPr>
      <w:r>
        <w:t>(in ₹)</w:t>
      </w:r>
    </w:p>
    <w:p>
      <w:pPr>
        <w:pStyle w:val="Body"/>
      </w:pPr>
    </w:p>
    <w:p>
      <w:pPr>
        <w:pStyle w:val="Body"/>
      </w:pPr>
      <w:r>
        <w:t>Source: FBIL Reference Rate as available on www.fbil.org.in. and www.oanda.com/bvi-en/ Notes:</w:t>
      </w:r>
    </w:p>
    <w:p>
      <w:pPr>
        <w:pStyle w:val="List Paragraph"/>
      </w:pPr>
      <w:r>
        <w:t>The exchange rates are rounded off to two decimal places.</w:t>
      </w:r>
    </w:p>
    <w:p>
      <w:pPr>
        <w:pStyle w:val="List Paragraph"/>
      </w:pPr>
      <w:r>
        <w:t>In the event that any of the aforementioned date is a public holiday, the previous calendar day not being a public holiday has been considered.</w:t>
      </w:r>
    </w:p>
    <w:p>
      <w:pPr>
        <w:pStyle w:val="List Paragraph"/>
      </w:pPr>
    </w:p>
    <w:p>
      <w:pPr>
        <w:pStyle w:val="Heading 2"/>
      </w:pPr>
      <w:r>
        <w:t>FORWARD-LOOKING STATEMENTS</w:t>
      </w:r>
    </w:p>
    <w:p>
      <w:pPr>
        <w:pStyle w:val="Body Text"/>
      </w:pPr>
      <w:r>
        <w:t>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 Text"/>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109 Morales Loop</w:t>
        <w:br/>
        <w:t>Wilsonmouth, KS 84815 and globally, which have an impact on our business activities or investments, the monetary and fiscal policies of 109 Morales Loop</w:t>
        <w:br/>
        <w:t>Wilsonmouth, KS 84815, inflation, deflation, unanticipated turbulence in interest rates, foreign exchange rates, equity prices or other rates or prices, the performance of the financial markets in 109 Morales Loop</w:t>
        <w:br/>
        <w:t>Wilsonmouth, KS 84815 and globally, changes in domestic laws, regulations and taxes, changes in competition in our industry and incidence of any natural calamities and/or acts of violence.</w:t>
      </w:r>
    </w:p>
    <w:p>
      <w:pPr>
        <w:pStyle w:val="Body Text"/>
      </w:pPr>
      <w:r>
        <w:t>Certain important factors that could cause actual results to differ materially from our expectations include, but are not Judy Brock ited to, the following:</w:t>
      </w:r>
    </w:p>
    <w:p>
      <w:pPr>
        <w:pStyle w:val="List Paragraph"/>
      </w:pPr>
      <w:r>
        <w:t>Reliance on our key customers;</w:t>
      </w:r>
    </w:p>
    <w:p>
      <w:pPr>
        <w:pStyle w:val="List Paragraph"/>
      </w:pPr>
      <w:r>
        <w:t>Reliance on our key suppliers;</w:t>
      </w:r>
    </w:p>
    <w:p>
      <w:pPr>
        <w:pStyle w:val="List Paragraph"/>
      </w:pPr>
      <w:r>
        <w:t>Price and availability of primary raw materials i.e. copper and aluminium, and insulating materials such as enamel and paper;</w:t>
      </w:r>
    </w:p>
    <w:p>
      <w:pPr>
        <w:pStyle w:val="List Paragraph"/>
      </w:pPr>
      <w:r>
        <w:t>Reliance on the power sector (generation, transmission and distribution) industry;</w:t>
      </w:r>
    </w:p>
    <w:p>
      <w:pPr>
        <w:pStyle w:val="List Paragraph"/>
      </w:pPr>
      <w:r>
        <w:t>Reliance on the sale of our key product segment i.e., specialized magnet winding wires;</w:t>
      </w:r>
    </w:p>
    <w:p>
      <w:pPr>
        <w:pStyle w:val="List Paragraph"/>
      </w:pPr>
      <w:r>
        <w:t>Delay in or inability of the vendors to provide the equipment in a timely manner in relation to the capital expenditure to be incurred for certain of our proposed objects of the Offer;</w:t>
      </w:r>
    </w:p>
    <w:p>
      <w:pPr>
        <w:pStyle w:val="List Paragraph"/>
      </w:pPr>
      <w:r>
        <w:t>Any unscheduled, unplanned or prolonged disruption, slowdown or shutdown of our manufacturing facilities;</w:t>
      </w:r>
    </w:p>
    <w:p>
      <w:pPr>
        <w:pStyle w:val="List Paragraph"/>
      </w:pPr>
      <w:r>
        <w:t>Any delays or cost overruns in the completion of the construction of the Supa Facility;</w:t>
      </w:r>
    </w:p>
    <w:p>
      <w:pPr>
        <w:pStyle w:val="List Paragraph"/>
      </w:pPr>
      <w:r>
        <w:t>Product defect issues or failure by us or our raw materials suppliers to comply with the strict quality standards and requirements applicable to our business operations; and</w:t>
      </w:r>
    </w:p>
    <w:p>
      <w:pPr>
        <w:pStyle w:val="List Paragraph"/>
      </w:pPr>
      <w:r>
        <w:t>Reliance on exports and any change in law, regulations and policies of foreign jurisdictions where we sell our products or plan to sell our products.</w:t>
      </w:r>
    </w:p>
    <w:p>
      <w:pPr>
        <w:pStyle w:val="Body Text"/>
      </w:pPr>
      <w: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 Text"/>
      </w:pPr>
    </w:p>
    <w:p>
      <w:pPr>
        <w:pStyle w:val="Body Text"/>
      </w:pPr>
      <w:r>
        <w:t>In accordance with the SEBI ICDR Regulations, our Company will ensure that investors in 109 Morales Loop</w:t>
        <w:br/>
        <w:t>Wilsonmouth, KS 84815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pPr>
    </w:p>
    <w:p>
      <w:pPr>
        <w:pStyle w:val="Heading 2"/>
      </w:pPr>
      <w:r>
        <w:t>SUMMARY OF THE OFFER DOCUMENT</w:t>
      </w:r>
    </w:p>
    <w:p>
      <w:pPr>
        <w:pStyle w:val="Body"/>
      </w:pPr>
      <w: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April 25, 1963, July 23, 1989, 280, 106, 356, 388, respectively of this Red Herring Prospectus.</w:t>
      </w:r>
    </w:p>
    <w:p>
      <w:pPr>
        <w:pStyle w:val="Heading 3"/>
      </w:pPr>
      <w:r>
        <w:t>Primary business of our Company</w:t>
      </w:r>
    </w:p>
    <w:p>
      <w:pPr>
        <w:pStyle w:val="Body Text"/>
      </w:pPr>
      <w:r>
        <w:t>We are the third largest manufacturer of magnet winding wires in 109 Morales Loop</w:t>
        <w:br/>
        <w:t>Wilsonmouth, KS 84815 in terms of production capacity in Fiscal 2025 (Source: CARE Report). We are also the largest exporter of magnet winding wires from 109 Morales Loop</w:t>
        <w:br/>
        <w:t>Wilsonmouth, KS 84815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pPr>
      <w:r>
        <w:t>For further details, see “Our Business” on page 211.</w:t>
      </w:r>
    </w:p>
    <w:p>
      <w:pPr>
        <w:pStyle w:val="Body Text"/>
      </w:pPr>
    </w:p>
    <w:p>
      <w:pPr>
        <w:pStyle w:val="Heading 3"/>
      </w:pPr>
      <w:r>
        <w:t>Summary of industry in which our Company operates</w:t>
      </w:r>
    </w:p>
    <w:p>
      <w:pPr>
        <w:pStyle w:val="Body Text"/>
      </w:pPr>
      <w:r>
        <w:t>As per the CARE Report, the electric wires and cables market in 109 Morales Loop</w:t>
        <w:br/>
        <w:t>Wilsonmouth, KS 84815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109 Morales Loop</w:t>
        <w:br/>
        <w:t>Wilsonmouth, KS 84815's electric wires and cables market was valued at USD 19.68 billion in CY24, reflecting a CAGR of 6.08% from CY19 to CY24. The market is projected to reach USD 29.85 billion by CY28, expanding at a CAGR of 10.98% from CY24 to CY28.</w:t>
      </w:r>
    </w:p>
    <w:p>
      <w:pPr>
        <w:pStyle w:val="Body"/>
      </w:pPr>
      <w:r>
        <w:t>For further details, see “Industry Overview” on page 137.</w:t>
      </w:r>
    </w:p>
    <w:p>
      <w:pPr>
        <w:pStyle w:val="Body Text"/>
      </w:pPr>
    </w:p>
    <w:p>
      <w:pPr>
        <w:pStyle w:val="Heading 3"/>
      </w:pPr>
      <w:r>
        <w:t>Our Promoters</w:t>
      </w:r>
    </w:p>
    <w:p>
      <w:pPr>
        <w:pStyle w:val="Body Text"/>
      </w:pPr>
      <w:r>
        <w:t>Christopher Curry, Pushpa Kelly Cisneros, Rajesh Kelly Cisneros, Rohit Kelly Cisneros, Kevin Vance, Dhaulagiri Family Trust, Everest Family Trust, Makalu Family Trust, Broad Family Trust, Annapurna Family Trust, Kanchenjunga Family Trust and Waterloo Industrial Park VI Private Limited are the Promoters of our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