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 Text"/>
      </w:pPr>
    </w:p>
    <w:p>
      <w:pPr>
        <w:pStyle w:val="Body"/>
      </w:pPr>
    </w:p>
    <w:p>
      <w:pPr>
        <w:pStyle w:val="Body"/>
      </w:pPr>
      <w:r>
        <w:t>(Please scan this QR Code to view this Red Herring Prospectus)</w:t>
      </w:r>
    </w:p>
    <w:p>
      <w:pPr>
        <w:pStyle w:val="Heading 2"/>
      </w:pPr>
    </w:p>
    <w:p>
      <w:pPr>
        <w:pStyle w:val="Heading 2"/>
      </w:pPr>
      <w:r>
        <w:t>RED HERRING PROSPECTUS</w:t>
      </w:r>
    </w:p>
    <w:p>
      <w:pPr>
        <w:pStyle w:val="Body Text"/>
      </w:pPr>
      <w:r>
        <w:t>Dated July 08, 2002</w:t>
      </w:r>
    </w:p>
    <w:p>
      <w:pPr>
        <w:pStyle w:val="Body"/>
      </w:pPr>
      <w:r>
        <w:t>Please read section 0851 Allen River Apt. 660</w:t>
        <w:br/>
        <w:t>Brittanyport, SD 49141, 2013</w:t>
      </w:r>
    </w:p>
    <w:p>
      <w:pPr>
        <w:pStyle w:val="Heading 3"/>
      </w:pPr>
      <w:r>
        <w:t>100% Book Built Offer</w:t>
      </w:r>
    </w:p>
    <w:p>
      <w:pPr>
        <w:pStyle w:val="Heading 3"/>
      </w:pPr>
    </w:p>
    <w:p>
      <w:pPr>
        <w:pStyle w:val="Body Text"/>
      </w:pPr>
    </w:p>
    <w:p>
      <w:pPr>
        <w:pStyle w:val="Body"/>
      </w:pPr>
    </w:p>
    <w:p>
      <w:pPr>
        <w:pStyle w:val="Heading 2"/>
      </w:pPr>
      <w:r>
        <w:t>KSH INTERNATIONAL LIMITED CORPORATE IDENTITY NUMBER: U28129PN1979PLC141032</w:t>
      </w:r>
    </w:p>
    <w:p>
      <w:pPr>
        <w:pStyle w:val="Body Text"/>
      </w:pPr>
    </w:p>
    <w:p>
      <w:pPr>
        <w:pStyle w:val="Body Text"/>
      </w:pPr>
    </w:p>
    <w:p>
      <w:pPr>
        <w:pStyle w:val="Table Paragraph"/>
      </w:pPr>
    </w:p>
    <w:p>
      <w:pPr>
        <w:pStyle w:val="Table Paragraph"/>
      </w:pPr>
    </w:p>
    <w:p>
      <w:pPr>
        <w:pStyle w:val="Body"/>
      </w:pPr>
      <w:r>
        <w:t>(1) [REDACTED_ORGANIZATION], in consultation with the Book Running Lead Managers, may consider participation by Anchor Investors in accordance with the SEBI ICDR Regulations.</w:t>
      </w:r>
    </w:p>
    <w:p>
      <w:pPr>
        <w:pStyle w:val="Body"/>
      </w:pPr>
      <w:r>
        <w:t>(2) The UPI mandate end time and date shall be at 5:00 p.m. on Bid/Offer Closing Day.</w:t>
      </w:r>
    </w:p>
    <w:p>
      <w:pPr>
        <w:pStyle w:val="Body"/>
      </w:pPr>
    </w:p>
    <w:p>
      <w:pPr>
        <w:pStyle w:val="Body"/>
      </w:pPr>
      <w:r>
        <w:t>RED HERRING PROSPECTUS</w:t>
      </w:r>
    </w:p>
    <w:p>
      <w:pPr>
        <w:pStyle w:val="Body"/>
      </w:pPr>
      <w:r>
        <w:t>Dated July 08, 2002 Please read section 32 of the Companies Act, 2013</w:t>
      </w:r>
    </w:p>
    <w:p>
      <w:pPr>
        <w:pStyle w:val="Body"/>
      </w:pPr>
      <w:r>
        <w:t>100% Book Built Offer</w:t>
      </w:r>
    </w:p>
    <w:p>
      <w:pPr>
        <w:pStyle w:val="Body Text"/>
      </w:pPr>
    </w:p>
    <w:p>
      <w:pPr>
        <w:pStyle w:val="Heading 2"/>
      </w:pPr>
      <w:r>
        <w:t>KSH INTERNATIONAL LIMITED</w:t>
      </w:r>
    </w:p>
    <w:p>
      <w:pPr>
        <w:pStyle w:val="Body"/>
      </w:pPr>
      <w:r>
        <w:t>[REDACTED_ORGANIZATION] was originally incorporated as “[REDACTED_ORGANIZATION]” under the provisions of the Companies Act, 1956, pursuant to a certificate of incorporation dated May 15, 1966, issued by the Registrar of Companies, Maharashtra at Bombay. Subsequently, the name of our Company was changed from “[REDACTED_ORGANIZATION]” to “[REDACTED_ORGANIZATION]” pursuant to a resolution dated March 22, 1995 passed by our Board and a resolution dated June 07, 2003 passed by our shareholders, post which a fresh certificate of incorporation dated August 19, 1947 was issued by Registrar of Companies Maharashtra at Mumbai pursuant to change of name under the Companies Act, 1956. Further, pursuant to a special resolution passed by our Shareholders on June 16, 1938 which was confirmed by an order of the regional director dated March 19, 1983,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November 16, 1979, by the RoC. [REDACTED_ORGANIZATION] from a private limited company to a public limited company, pursuant to a resolution passed by our Board on November 07, 1963 and a special resolution passed by our Shareholders on April 30, 1979, the name of our Company was changed to “[REDACTED_ORGANIZATION]” and a fresh certificate of incorporation was issued by the Registrar of Companies, Central Processing Centre on January 27, 1993. [REDACTED_ORGANIZATION], see “History and Certain Corporate Matters- Change in our registered office” on page 243.</w:t>
      </w:r>
    </w:p>
    <w:p>
      <w:pPr>
        <w:pStyle w:val="Body"/>
      </w:pPr>
      <w:r>
        <w:t>Corporate Identity Number: U28129PN1979PLC141032</w:t>
      </w:r>
    </w:p>
    <w:p>
      <w:pPr>
        <w:pStyle w:val="Body"/>
      </w:pPr>
      <w:r>
        <w:t>Registered Office: 11/3, 11/4 and 11/5, Village Birdewadi, Chakan Taluka - Khed, Pune – 410 501, Maharashtra, India;</w:t>
      </w:r>
    </w:p>
    <w:p>
      <w:pPr>
        <w:pStyle w:val="Body"/>
      </w:pPr>
      <w:r>
        <w:t>Corporate Office: 201, Tower 2, Montreal Business Centre, Off Pallod Farms, Baner, Pune – 411 045, Maharashtra, India;</w:t>
      </w:r>
    </w:p>
    <w:p>
      <w:pPr>
        <w:pStyle w:val="Body"/>
      </w:pPr>
      <w:r>
        <w:t>Contact Person: Sarthak Malvadkar, Company Secretary and Compliance Officer; Telephone: + 91 20 4505 3237;</w:t>
      </w:r>
    </w:p>
    <w:p>
      <w:pPr>
        <w:pStyle w:val="Body"/>
      </w:pPr>
      <w:r>
        <w:t>E-mail: erinwilson@example.net; Website: www.kshinternational.com</w:t>
      </w:r>
    </w:p>
    <w:p>
      <w:pPr>
        <w:pStyle w:val="Body"/>
      </w:pPr>
    </w:p>
    <w:p>
      <w:pPr>
        <w:pStyle w:val="Body"/>
      </w:pPr>
      <w:r>
        <w:t>(1) [REDACTED_ORGANIZATION], in consultation with the Book Running Lead Managers, may consider participation by Anchor Investors in accordance with the SEBI ICDR Regulations.</w:t>
      </w:r>
    </w:p>
    <w:p>
      <w:pPr>
        <w:pStyle w:val="Body"/>
      </w:pPr>
      <w:r>
        <w:t>(2) The UPI mandate end time and date shall be at 5:00 p.m. on Bid/Offer Closing Day.</w:t>
      </w:r>
    </w:p>
    <w:p>
      <w:pPr>
        <w:pStyle w:val="Body"/>
      </w:pPr>
    </w:p>
    <w:p>
      <w:pPr>
        <w:pStyle w:val="TOC 1"/>
      </w:pPr>
      <w:r>
        <w:t>SECTION I - GENERAL</w:t>
        <w:tab/>
        <w:t>2</w:t>
      </w:r>
    </w:p>
    <w:p>
      <w:pPr>
        <w:pStyle w:val="TOC 2"/>
      </w:pPr>
      <w:r>
        <w:t>DEFINITIONS AND ABBREVIATIONS</w:t>
        <w:tab/>
        <w:t>2</w:t>
      </w:r>
    </w:p>
    <w:p>
      <w:pPr>
        <w:pStyle w:val="TOC 2"/>
      </w:pPr>
      <w:r>
        <w:t>CERTAIN CONVENTIONS, USE OF FINANCIAL INFORMATION AND MARKET DATA AND CURRENCY OF PRESENTATION</w:t>
        <w:tab/>
        <w:t>15</w:t>
      </w:r>
    </w:p>
    <w:p>
      <w:pPr>
        <w:pStyle w:val="TOC 2"/>
      </w:pPr>
      <w:r>
        <w:t>FORWARD-LOOKING STATEMENTS</w:t>
        <w:tab/>
        <w:t>18</w:t>
      </w:r>
    </w:p>
    <w:p>
      <w:pPr>
        <w:pStyle w:val="TOC 2"/>
      </w:pPr>
      <w:r>
        <w:t>SUMMARY OF THE OFFER DOCUMENT</w:t>
        <w:tab/>
        <w:t>20</w:t>
      </w:r>
    </w:p>
    <w:p>
      <w:pPr>
        <w:pStyle w:val="TOC 1"/>
      </w:pPr>
      <w:r>
        <w:t>SECTION II: RISK FACTORS</w:t>
        <w:tab/>
        <w:t>28</w:t>
      </w:r>
    </w:p>
    <w:p>
      <w:pPr>
        <w:pStyle w:val="TOC 1"/>
      </w:pPr>
      <w:r>
        <w:t>SECTION III – INTRODUCTION</w:t>
        <w:tab/>
        <w:t>67</w:t>
      </w:r>
    </w:p>
    <w:p>
      <w:pPr>
        <w:pStyle w:val="TOC 2"/>
      </w:pPr>
      <w:r>
        <w:t>THE OFFER</w:t>
        <w:tab/>
        <w:t>67</w:t>
      </w:r>
    </w:p>
    <w:p>
      <w:pPr>
        <w:pStyle w:val="TOC 2"/>
      </w:pPr>
      <w:r>
        <w:t>SUMMARY FINANCIAL STATEMENTS</w:t>
        <w:tab/>
        <w:t>69</w:t>
      </w:r>
    </w:p>
    <w:p>
      <w:pPr>
        <w:pStyle w:val="TOC 2"/>
      </w:pPr>
      <w:r>
        <w:t>GENERAL INFORMATION</w:t>
        <w:tab/>
        <w:t>74</w:t>
      </w:r>
    </w:p>
    <w:p>
      <w:pPr>
        <w:pStyle w:val="TOC 2"/>
      </w:pPr>
      <w:r>
        <w:t>CAPITAL STRUCTURE</w:t>
        <w:tab/>
        <w:t>84</w:t>
      </w:r>
    </w:p>
    <w:p>
      <w:pPr>
        <w:pStyle w:val="TOC 2"/>
      </w:pPr>
    </w:p>
    <w:p>
      <w:pPr>
        <w:pStyle w:val="Heading 2"/>
      </w:pPr>
      <w:r>
        <w:t>DEFINITIONS AND ABBREVIATIONS</w:t>
      </w:r>
    </w:p>
    <w:p>
      <w:pPr>
        <w:pStyle w:val="Body"/>
      </w:pPr>
      <w:r>
        <w:t>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pPr>
      <w:r>
        <w:t>Unless the context otherwise indicates, all references to “we”, “us”, “our”, “the Company”, and “our Company”, are references to [REDACTED_ORGANIZATION], a company incorporated on May 15, 1966 under the Companies Act, 1956 and having its Registered Office at 11/3, 11/4 and 11/5, Village Birdewadi, Chakan Taluka - Khed, Pune – 410 501, Maharashtra, India and its Corporate Office at 201, Tower 2, Montreal Business Centre, Off Pallod Farms, Baner, Pune – 411 045, Maharashtra, India.</w:t>
      </w:r>
    </w:p>
    <w:p>
      <w:pPr>
        <w:pStyle w:val="Body"/>
      </w:pPr>
      <w:r>
        <w:t>The words and expressions used in this Red Herring Prospectus but not defined herein, shall have, to the extent applicable, the meanings ascribed to such terms under the Companies Act, the SEBI Act, the SEBI ICDR Regulations, the SCRA, SCRR, and the Depositories Act, as amended.</w:t>
      </w:r>
    </w:p>
    <w:p>
      <w:pPr>
        <w:pStyle w:val="Body"/>
      </w:pPr>
      <w:r>
        <w:t>Notwithstanding the foregoing, terms in “Main Provisions of the Articles of Association”, “Statement of Special Tax Benefits”, “Industry Overview”, “Key Regulations and Policies in India”, “History and Certain Corporate Matters”, “Basis for the Offer Price”, “Restriction on Foreign Ownership of Indian Securities”, “Financial Information” and “Outstanding Litigation and Material Developments” on pages 441, 134, 137, 238, 243, 124, 438, 104 Lisa Crescent</w:t>
        <w:br/>
        <w:t>Jeffreyview, RI 05186ions.</w:t>
      </w:r>
    </w:p>
    <w:p>
      <w:pPr>
        <w:pStyle w:val="Heading 3"/>
      </w:pPr>
      <w:r>
        <w:t>General Terms</w:t>
      </w:r>
    </w:p>
    <w:p>
      <w:pPr>
        <w:pStyle w:val="Body Text"/>
      </w:pPr>
    </w:p>
    <w:p>
      <w:pPr>
        <w:pStyle w:val="Body Text"/>
      </w:pPr>
    </w:p>
    <w:p>
      <w:pPr>
        <w:pStyle w:val="Body Text"/>
      </w:pPr>
    </w:p>
    <w:p>
      <w:pPr>
        <w:pStyle w:val="Heading 3"/>
      </w:pPr>
      <w:r>
        <w:t>Company Related Terms</w:t>
      </w:r>
    </w:p>
    <w:p>
      <w:pPr>
        <w:pStyle w:val="Body Text"/>
      </w:pPr>
    </w:p>
    <w:p>
      <w:pPr>
        <w:pStyle w:val="Body Text"/>
      </w:pPr>
    </w:p>
    <w:p>
      <w:pPr>
        <w:pStyle w:val="Table Paragraph"/>
      </w:pPr>
    </w:p>
    <w:p>
      <w:pPr>
        <w:pStyle w:val="Table Paragraph"/>
      </w:pPr>
    </w:p>
    <w:p>
      <w:pPr>
        <w:pStyle w:val="Table Paragraph"/>
      </w:pPr>
    </w:p>
    <w:p>
      <w:pPr>
        <w:pStyle w:val="Table Paragraph"/>
      </w:pPr>
    </w:p>
    <w:p>
      <w:pPr>
        <w:pStyle w:val="Body Text"/>
      </w:pPr>
    </w:p>
    <w:p>
      <w:pPr>
        <w:pStyle w:val="Heading 3"/>
      </w:pPr>
      <w:r>
        <w:t>Offer Related Terms</w:t>
      </w:r>
    </w:p>
    <w:p>
      <w:pPr>
        <w:pStyle w:val="Body Text"/>
      </w:pPr>
    </w:p>
    <w:p>
      <w:pPr>
        <w:pStyle w:val="Body Text"/>
      </w:pPr>
    </w:p>
    <w:p>
      <w:pPr>
        <w:pStyle w:val="Table Paragraph"/>
      </w:pPr>
    </w:p>
    <w:p>
      <w:pPr>
        <w:pStyle w:val="Table Paragraph"/>
      </w:pPr>
    </w:p>
    <w:p>
      <w:pPr>
        <w:pStyle w:val="Table Paragraph"/>
      </w:pPr>
    </w:p>
    <w:p>
      <w:pPr>
        <w:pStyle w:val="Table Paragraph"/>
      </w:pPr>
    </w:p>
    <w:p>
      <w:pPr>
        <w:pStyle w:val="Table Paragraph"/>
      </w:pPr>
    </w:p>
    <w:p>
      <w:pPr>
        <w:pStyle w:val="Table Paragraph"/>
      </w:pPr>
    </w:p>
    <w:p>
      <w:pPr>
        <w:pStyle w:val="Table Paragraph"/>
      </w:pPr>
    </w:p>
    <w:p>
      <w:pPr>
        <w:pStyle w:val="Table Paragraph"/>
      </w:pPr>
    </w:p>
    <w:p>
      <w:pPr>
        <w:pStyle w:val="Table Paragraph"/>
      </w:pPr>
    </w:p>
    <w:p>
      <w:pPr>
        <w:pStyle w:val="Table Paragraph"/>
      </w:pPr>
    </w:p>
    <w:p>
      <w:pPr>
        <w:pStyle w:val="Table Paragraph"/>
      </w:pPr>
    </w:p>
    <w:p>
      <w:pPr>
        <w:pStyle w:val="Table Paragraph"/>
      </w:pPr>
    </w:p>
    <w:p>
      <w:pPr>
        <w:pStyle w:val="Body Text"/>
      </w:pPr>
    </w:p>
    <w:p>
      <w:pPr>
        <w:pStyle w:val="Heading 3"/>
      </w:pPr>
      <w:r>
        <w:t>Conventional and General Terms and Abbreviations</w:t>
      </w:r>
    </w:p>
    <w:p>
      <w:pPr>
        <w:pStyle w:val="Body Text"/>
      </w:pPr>
    </w:p>
    <w:p>
      <w:pPr>
        <w:pStyle w:val="Body Text"/>
      </w:pPr>
    </w:p>
    <w:p>
      <w:pPr>
        <w:pStyle w:val="Table Paragraph"/>
      </w:pPr>
    </w:p>
    <w:p>
      <w:pPr>
        <w:pStyle w:val="Table Paragraph"/>
      </w:pPr>
    </w:p>
    <w:p>
      <w:pPr>
        <w:pStyle w:val="Table Paragraph"/>
      </w:pPr>
    </w:p>
    <w:p>
      <w:pPr>
        <w:pStyle w:val="Table Paragraph"/>
      </w:pPr>
    </w:p>
    <w:p>
      <w:pPr>
        <w:pStyle w:val="Body Text"/>
      </w:pPr>
    </w:p>
    <w:p>
      <w:pPr>
        <w:pStyle w:val="Heading 3"/>
      </w:pPr>
      <w:r>
        <w:t>Technical and Industry Related Terms</w:t>
      </w:r>
    </w:p>
    <w:p>
      <w:pPr>
        <w:pStyle w:val="Body Text"/>
      </w:pPr>
    </w:p>
    <w:p>
      <w:pPr>
        <w:pStyle w:val="Body Text"/>
      </w:pPr>
    </w:p>
    <w:p>
      <w:pPr>
        <w:pStyle w:val="Table Paragraph"/>
      </w:pPr>
    </w:p>
    <w:p>
      <w:pPr>
        <w:pStyle w:val="Table Paragraph"/>
      </w:pPr>
    </w:p>
    <w:p>
      <w:pPr>
        <w:pStyle w:val="Table Paragraph"/>
      </w:pPr>
    </w:p>
    <w:p>
      <w:pPr>
        <w:pStyle w:val="Heading 3"/>
      </w:pPr>
      <w:r>
        <w:t>Key Financial and Operating Metrics used in this Red Herring Prospectus</w:t>
      </w:r>
    </w:p>
    <w:p>
      <w:pPr>
        <w:pStyle w:val="Body Text"/>
      </w:pPr>
    </w:p>
    <w:p>
      <w:pPr>
        <w:pStyle w:val="Body Text"/>
      </w:pPr>
    </w:p>
    <w:p>
      <w:pPr>
        <w:pStyle w:val="Table Paragraph"/>
      </w:pPr>
    </w:p>
    <w:p>
      <w:pPr>
        <w:pStyle w:val="Heading 2"/>
      </w:pPr>
      <w:r>
        <w:t>CERTAIN CONVENTIONS, USE OF FINANCIAL INFORMATION AND MARKET DATA AND CURRENCY OF PRESENTATION</w:t>
      </w:r>
    </w:p>
    <w:p>
      <w:pPr>
        <w:pStyle w:val="Heading 3"/>
      </w:pPr>
      <w:r>
        <w:t>Certain Conventions</w:t>
      </w:r>
    </w:p>
    <w:p>
      <w:pPr>
        <w:pStyle w:val="Body Text"/>
      </w:pPr>
      <w:r>
        <w:t>All references in this Red Herring Prospectus to “India” are to the Republic of India and its territories and possessions and all references herein to the “Government”, “Indian Government”, “GoI”, “Central Government” or the “State Government” are to the Government of India, central or state, as applicable. All references herein to the “US”, “USA”, the “U.S.” or the “United States” are to the United States of America and its territories and possessions. All references herein to “EU” are to the European Union and its territories and possessions. All references herein to “Sweden” are to Sweden and its territories and possessions.</w:t>
      </w:r>
    </w:p>
    <w:p>
      <w:pPr>
        <w:pStyle w:val="Body Text"/>
      </w:pPr>
      <w:r>
        <w:t>Unless indicated otherwise, all references to page numbers in this Red Herring Prospectus are to page numbers of this Red Herring Prospectus.</w:t>
      </w:r>
    </w:p>
    <w:p>
      <w:pPr>
        <w:pStyle w:val="Heading 3"/>
      </w:pPr>
      <w:r>
        <w:t>Financial Data</w:t>
      </w:r>
    </w:p>
    <w:p>
      <w:pPr>
        <w:pStyle w:val="Body Text"/>
      </w:pPr>
      <w:r>
        <w:t>[REDACTED_ORGANIZATION]’s financial year commences on April 61010 Meyer Cliffs Suite 221</w:t>
        <w:br/>
        <w:t>East Melissa, MI 84711ingly,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[REDACTED_ORGANIZATION] Companies are derived from their respective audited financial statements.</w:t>
      </w:r>
    </w:p>
    <w:p>
      <w:pPr>
        <w:pStyle w:val="Body Text"/>
      </w:pPr>
      <w:r>
        <w:t>Unless indicated otherwise or the context requires otherwise, the financial information and financial ratios in this Red Herring Prospectus have been derived from the Restated Financial Statements. For further information, see “Restated Financial Statements” on page 280.</w:t>
      </w:r>
    </w:p>
    <w:p>
      <w:pPr>
        <w:pStyle w:val="Body Text"/>
      </w:pPr>
      <w:r>
        <w:t>[REDACTED_ORGANIZATION] comprising the restated statements of assets and liabilities as on and for the three months period ended June 01, 1951 and for the years ended January 26, 1954, July 26, 1978 and April 14, 1946,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01, 1951, and for the years ended January 26, 1954, July 26, 1978 and April 14, 1946 Fiscals 2025, 2024 and 2023, prepared in terms of the requirements of Section 26 of Part I of Chapter III of the Companies Act, SEBI ICDR Regulations, the [REDACTED_ORGANIZATION] Prospectuses (Revised 2019) issued by ICAI, as amended from time to time and the Indian Accounting Standards as specified under Section 8746 Daniel Ways Apt. 703</w:t>
        <w:br/>
        <w:t>West Larryton, OR 05302 and other accounting principles generally accepted in India.</w:t>
      </w:r>
    </w:p>
    <w:p>
      <w:pPr>
        <w:pStyle w:val="Body Text"/>
      </w:pPr>
    </w:p>
    <w:p>
      <w:pPr>
        <w:pStyle w:val="Body"/>
      </w:pPr>
      <w:r>
        <w:t>There are significant differences between Ind AS, Indian GAAP, US GAAP and IFRS. [REDACTED_ORGANIZATION] does not provide reconciliation of its financial information to IFRS or US GAAP. [REDACTED_ORGANIZATION]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Ind AS, U.S. GAAP and IFRS, see “Risk Factors – Significant differences exist between Indian accounting standard (“Ind AS”) and other accounting principles, such as international financial reporting standards (“IFRS”) and United States generally accepted accounting principles (“U.S.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0699 Anthony Prairie Suite 028</w:t>
        <w:br/>
        <w:t>South Abigail, MP 66146 Regulations. Any reliance by persons not familiar with Indian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w:t>
      </w:r>
    </w:p>
    <w:p>
      <w:pPr>
        <w:pStyle w:val="Body Text"/>
      </w:pPr>
      <w:r>
        <w:t>In this Red Herring Prospectus,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w:t>
      </w:r>
    </w:p>
    <w:p>
      <w:pPr>
        <w:pStyle w:val="Body Text"/>
      </w:pPr>
      <w:r>
        <w:t>Further, any figures sourced from third party industry sources may be rounded off to other than to the second decimal to conform to their respective sources.</w:t>
      </w:r>
    </w:p>
    <w:p>
      <w:pPr>
        <w:pStyle w:val="Body"/>
      </w:pPr>
      <w:r>
        <w:t>Any percentage amounts, as set forth in “Risk Factors”, “Our Business” and “Management’s Discussion and Analysis of Financial Position and Results of Operations” on pages 28, 05209 Johnny Cove</w:t>
        <w:br/>
        <w:t>North Jeremiah, ME 51979atements or non-GAAP financial measures as described below.</w:t>
      </w:r>
    </w:p>
    <w:p>
      <w:pPr>
        <w:pStyle w:val="Body"/>
      </w:pPr>
    </w:p>
    <w:p>
      <w:pPr>
        <w:pStyle w:val="Heading 3"/>
      </w:pPr>
      <w:r>
        <w:t>Non-GAAP Financial Measures</w:t>
      </w:r>
    </w:p>
    <w:p>
      <w:pPr>
        <w:pStyle w:val="Body Text"/>
      </w:pPr>
      <w:r>
        <w:t>Certain measures included in this Red Herring Prospectus, for instance EBITDA, EBITDA Margin, Net Debt, Return on Capital Employed, Return on Equity, and other non- GAAP measures (the “Non-GAAP Measures’’), presented in this Red Herring Prospectus are supplemental measures of our performance and liquidity that are not required by, or presented in accordance with Ind AS,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Ind AS,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Ind AS, Indian GAAP, IFRS or US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Ind AS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 on page 380.</w:t>
      </w:r>
    </w:p>
    <w:p>
      <w:pPr>
        <w:pStyle w:val="Heading 3"/>
      </w:pPr>
      <w:r>
        <w:t>Industry and Market Data</w:t>
      </w:r>
    </w:p>
    <w:p>
      <w:pPr>
        <w:pStyle w:val="Body Text"/>
      </w:pPr>
      <w:r>
        <w:t>Unless stated otherwise, industry and market data used in this Red Herring Prospectus has been obtained or derived from the report titled “Industry Research Report on Magnet Winding Wires Market in India” dated September 20, 1947 (“CARE Report”), prepared by [REDACTED_ORGANIZATION] (“CareEdge Research”), which has been prepared exclusively for the purpose of understanding the industry in connection with the [REDACTED_ORGANIZATION], pursuant to the engagement letter dated May 17, 1949. [REDACTED_ORGANIZATION] at the following weblink: https://kshinternational.com/investor-relations/industry-report/. Further, CareEdge Research, pursuant to their consent letter dated September 20, 1947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w:t>
      </w:r>
    </w:p>
    <w:p>
      <w:pPr>
        <w:pStyle w:val="Body Text"/>
      </w:pPr>
      <w: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CARE Report are disclosed in this Red Herring Prospectus and there are no parts, information, data (which may be relevant for the proposed Offer), left out or changed in any manner. The extent to which the industry and market data presented in this Red Herring Prospectus is meaningful and depends upon the reader’s familiarity with, and understanding of, the methodologies used in compiling such information. [REDACTED_ORGANIZATION]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Red Herring Prospectus contain information from the CARE Report which has been commissioned by us and any reliance on such information for making an investment decision in this Offer is subject to inherent risks.” on page 40. Accordingly, no investment decision should be solely made on the basis of such information.</w:t>
      </w:r>
    </w:p>
    <w:p>
      <w:pPr>
        <w:pStyle w:val="Body Text"/>
      </w:pPr>
      <w:r>
        <w:t>In accordance with the disclosure requirements under the SEBI ICDR Regulations, the section titled “Basis for the Offer Price” on page Unit 1269 Box 5020</w:t>
        <w:br/>
        <w:t>DPO AE 33648ed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p>
    <w:p>
      <w:pPr>
        <w:pStyle w:val="Body Text"/>
      </w:pPr>
      <w:r>
        <w:t>The extent to which the industry and industry data used in this Red Herring Prospectus is meaningful depends on the reader’s familiarity with and understanding of the methodologies used in compiling such data. [REDACTED_ORGANIZATION] is conducted, and methodologies and assumptions may vary widely among different industry sources.</w:t>
      </w:r>
    </w:p>
    <w:p>
      <w:pPr>
        <w:pStyle w:val="Body Text"/>
      </w:pPr>
    </w:p>
    <w:p>
      <w:pPr>
        <w:pStyle w:val="Heading 3"/>
      </w:pPr>
      <w:r>
        <w:t>Currency and Units of Presentation</w:t>
      </w:r>
    </w:p>
    <w:p>
      <w:pPr>
        <w:pStyle w:val="Body Text"/>
      </w:pPr>
      <w:r>
        <w:t>All references to:</w:t>
      </w:r>
    </w:p>
    <w:p>
      <w:pPr>
        <w:pStyle w:val="List Paragraph"/>
      </w:pPr>
      <w:r>
        <w:t>“Rupees” or “INR” or “₹” or “Rs.” are to Indian Rupees, the official currency of the Republic of India;</w:t>
      </w:r>
    </w:p>
    <w:p>
      <w:pPr>
        <w:pStyle w:val="List Paragraph"/>
      </w:pPr>
      <w:r>
        <w:t>“U.S $”, “U.S. Dollar”, “USD” are to United States Dollars, the official currency of the United States of America;</w:t>
      </w:r>
    </w:p>
    <w:p>
      <w:pPr>
        <w:pStyle w:val="List Paragraph"/>
      </w:pPr>
      <w:r>
        <w:t>‘EUR’, ‘Euro’ and ‘€’ are to the official currency of the European Union; and</w:t>
      </w:r>
    </w:p>
    <w:p>
      <w:pPr>
        <w:pStyle w:val="List Paragraph"/>
      </w:pPr>
      <w:r>
        <w:t>“SEK” are to Swedish Krona, the official currency of Sweden.</w:t>
      </w:r>
    </w:p>
    <w:p>
      <w:pPr>
        <w:pStyle w:val="Body Text"/>
      </w:pPr>
      <w:r>
        <w:t>All the figures in this Red Herring Prospectus, except for figures derived from the CARE Report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Prospectus in such denominations or rounded-off to such number of decimal points as provided in such respective sources.</w:t>
      </w:r>
    </w:p>
    <w:p>
      <w:pPr>
        <w:pStyle w:val="Heading 3"/>
      </w:pPr>
      <w:r>
        <w:t>Time</w:t>
      </w:r>
    </w:p>
    <w:p>
      <w:pPr>
        <w:pStyle w:val="Body Text"/>
      </w:pPr>
      <w:r>
        <w:t>All references to time in this Red Herring Prospectus are to Indian Standard Time.</w:t>
      </w:r>
    </w:p>
    <w:p>
      <w:pPr>
        <w:pStyle w:val="Heading 3"/>
      </w:pPr>
      <w:r>
        <w:t>Exchange Rates</w:t>
      </w:r>
    </w:p>
    <w:p>
      <w:pPr>
        <w:pStyle w:val="Body Text"/>
      </w:pPr>
      <w:r>
        <w:t>This Red Herring Prospectus may contain conversions of certain other currency amounts into Indian Rupees that have been presented solely to comply with the requirements of the SEBI ICDR Regulations. These conversions should not be construed as a representation that such currency amounts could have been, or can be converted into Indian Rupees, at any particular rate, or at all.</w:t>
      </w:r>
    </w:p>
    <w:p>
      <w:pPr>
        <w:pStyle w:val="Body Text"/>
      </w:pPr>
      <w:r>
        <w:t>The following table sets forth, for the periods indicated, information with respect to the exchange rate between the ₹and the respective foreign currencies:</w:t>
      </w:r>
    </w:p>
    <w:p>
      <w:pPr>
        <w:pStyle w:val="Body"/>
      </w:pPr>
      <w:r>
        <w:t>(in ₹)</w:t>
      </w:r>
    </w:p>
    <w:p>
      <w:pPr>
        <w:pStyle w:val="Body"/>
      </w:pPr>
    </w:p>
    <w:p>
      <w:pPr>
        <w:pStyle w:val="Body"/>
      </w:pPr>
      <w:r>
        <w:t>Source: FBIL Reference Rate as available on www.fbil.org.in. and www.oanda.com/bvi-en/ Notes:</w:t>
      </w:r>
    </w:p>
    <w:p>
      <w:pPr>
        <w:pStyle w:val="List Paragraph"/>
      </w:pPr>
      <w:r>
        <w:t>The exchange rates are rounded off to two decimal places.</w:t>
      </w:r>
    </w:p>
    <w:p>
      <w:pPr>
        <w:pStyle w:val="List Paragraph"/>
      </w:pPr>
      <w:r>
        <w:t>In the event that any of the aforementioned date is a public holiday, the previous calendar day not being a public holiday has been considered.</w:t>
      </w:r>
    </w:p>
    <w:p>
      <w:pPr>
        <w:pStyle w:val="List Paragraph"/>
      </w:pPr>
    </w:p>
    <w:p>
      <w:pPr>
        <w:pStyle w:val="Heading 2"/>
      </w:pPr>
      <w:r>
        <w:t>FORWARD-LOOKING STATEMENTS</w:t>
      </w:r>
    </w:p>
    <w:p>
      <w:pPr>
        <w:pStyle w:val="Body Text"/>
      </w:pPr>
      <w:r>
        <w:t>This Red Herring Prospectus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Herring Prospectus that are not historical facts. However, these are not the exclusive means of identifying forward-looking statements.</w:t>
      </w:r>
    </w:p>
    <w:p>
      <w:pPr>
        <w:pStyle w:val="Body Text"/>
      </w:pPr>
      <w: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India and globally, which have an impact on our business activities or investments, the monetary and fiscal policies of India, inflation, deflation, unanticipated turbulence in interest rates, foreign exchange rates, equity prices or other rates or prices, the performance of the financial markets in India and globally, changes in domestic laws, regulations and taxes, changes in competition in our industry and incidence of any natural calamities and/or acts of violence.</w:t>
      </w:r>
    </w:p>
    <w:p>
      <w:pPr>
        <w:pStyle w:val="Body Text"/>
      </w:pPr>
      <w:r>
        <w:t>Certain important factors that could cause actual results to differ materially from our expectations include, but are not lim ited to, the following:</w:t>
      </w:r>
    </w:p>
    <w:p>
      <w:pPr>
        <w:pStyle w:val="List Paragraph"/>
      </w:pPr>
      <w:r>
        <w:t>Reliance on our key customers;</w:t>
      </w:r>
    </w:p>
    <w:p>
      <w:pPr>
        <w:pStyle w:val="List Paragraph"/>
      </w:pPr>
      <w:r>
        <w:t>Reliance on our key suppliers;</w:t>
      </w:r>
    </w:p>
    <w:p>
      <w:pPr>
        <w:pStyle w:val="List Paragraph"/>
      </w:pPr>
      <w:r>
        <w:t>Price and availability of primary raw materials i.e. copper and aluminium, and insulating materials such as enamel and paper;</w:t>
      </w:r>
    </w:p>
    <w:p>
      <w:pPr>
        <w:pStyle w:val="List Paragraph"/>
      </w:pPr>
      <w:r>
        <w:t>Reliance on the power sector (generation, transmission and distribution) industry;</w:t>
      </w:r>
    </w:p>
    <w:p>
      <w:pPr>
        <w:pStyle w:val="List Paragraph"/>
      </w:pPr>
      <w:r>
        <w:t>Reliance on the sale of our key product segment i.e., specialized magnet winding wires;</w:t>
      </w:r>
    </w:p>
    <w:p>
      <w:pPr>
        <w:pStyle w:val="List Paragraph"/>
      </w:pPr>
      <w:r>
        <w:t>Delay in or inability of the vendors to provide the equipment in a timely manner in relation to the capital expenditure to be incurred for certain of our proposed objects of the Offer;</w:t>
      </w:r>
    </w:p>
    <w:p>
      <w:pPr>
        <w:pStyle w:val="List Paragraph"/>
      </w:pPr>
      <w:r>
        <w:t>Any unscheduled, unplanned or prolonged disruption, slowdown or shutdown of our manufacturing facilities;</w:t>
      </w:r>
    </w:p>
    <w:p>
      <w:pPr>
        <w:pStyle w:val="List Paragraph"/>
      </w:pPr>
      <w:r>
        <w:t>Any delays or cost overruns in the completion of the construction of the Supa Facility;</w:t>
      </w:r>
    </w:p>
    <w:p>
      <w:pPr>
        <w:pStyle w:val="List Paragraph"/>
      </w:pPr>
      <w:r>
        <w:t>Product defect issues or failure by us or our raw materials suppliers to comply with the strict quality standards and requirements applicable to our business operations; and</w:t>
      </w:r>
    </w:p>
    <w:p>
      <w:pPr>
        <w:pStyle w:val="List Paragraph"/>
      </w:pPr>
      <w:r>
        <w:t>Reliance on exports and any change in law, regulations and policies of foreign jurisdictions where we sell our products or plan to sell our products.</w:t>
      </w:r>
    </w:p>
    <w:p>
      <w:pPr>
        <w:pStyle w:val="Body Text"/>
      </w:pPr>
      <w:r>
        <w:t>For further details of factors that could cause our actual results to differ from the expectations, see “Risk Factors”, “Our Business” and “Management’s Discussion and Analysis of Financial Position and Results of Operations” on pages 28, 75672 Anthony Bridge</w:t>
        <w:br/>
        <w:t>North Harold, NV 14139ively.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[REDACTED_ORGANIZATION], our Directors, the Promoter Selling Shareholders,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p>
    <w:p>
      <w:pPr>
        <w:pStyle w:val="Body Text"/>
      </w:pPr>
    </w:p>
    <w:p>
      <w:pPr>
        <w:pStyle w:val="Body Text"/>
      </w:pPr>
      <w:r>
        <w:t>In accordance with the SEBI ICDR Regulations, our [REDACTED_ORGANIZATION] from the date of this Red Herring Prospectus until the time of the grant of listing 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pPr>
    </w:p>
    <w:p>
      <w:pPr>
        <w:pStyle w:val="Heading 2"/>
      </w:pPr>
      <w:r>
        <w:t>SUMMARY OF THE OFFER DOCUMENT</w:t>
      </w:r>
    </w:p>
    <w:p>
      <w:pPr>
        <w:pStyle w:val="Body"/>
      </w:pPr>
      <w:r>
        <w:t>This section is a general summary of certain disclosures included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 “Risk Factors”, “Our Business”, “Industry Overview”, “Capital Structure”, “The Offer”, “Restated Financial Statements”, “Objects of the Offer”, “Management’s Discussion and Analysis of Financial Position and Results of Operations” and “Outstanding Litigation and Material Developments” on pages 28, 211, 137, 84, 67, 280, 106, 356, 388, respectively of this Red Herring Prospectus.</w:t>
      </w:r>
    </w:p>
    <w:p>
      <w:pPr>
        <w:pStyle w:val="Heading 3"/>
      </w:pPr>
      <w:r>
        <w:t>[REDACTED_ORGANIZATION]</w:t>
      </w:r>
    </w:p>
    <w:p>
      <w:pPr>
        <w:pStyle w:val="Body Text"/>
      </w:pPr>
      <w:r>
        <w:t>We are the third largest manufacturer of magnet winding wires in India in terms of production capacity in Fiscal 2025 (Source: CARE Report). We are also the largest exporter of magnet winding wires from India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pPr>
      <w:r>
        <w:t>For further details, see “Our Business” on page 211.</w:t>
      </w:r>
    </w:p>
    <w:p>
      <w:pPr>
        <w:pStyle w:val="Body Text"/>
      </w:pPr>
    </w:p>
    <w:p>
      <w:pPr>
        <w:pStyle w:val="Heading 3"/>
      </w:pPr>
      <w:r>
        <w:t>[REDACTED_ORGANIZATION] operates</w:t>
      </w:r>
    </w:p>
    <w:p>
      <w:pPr>
        <w:pStyle w:val="Body Text"/>
      </w:pPr>
      <w: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 electric wires and cables market was valued at USD 19.USS Perez</w:t>
        <w:br/>
        <w:t>FPO AA 67518ing a CAGR of 6.08% from CY19 to CY24. The market is projected to reach USD 29.85 billion by CY28, expanding at a CAGR of 10.98% from CY24 to CY28.</w:t>
      </w:r>
    </w:p>
    <w:p>
      <w:pPr>
        <w:pStyle w:val="Body"/>
      </w:pPr>
      <w:r>
        <w:t>For further details, see “Industry Overview” on page 137.</w:t>
      </w:r>
    </w:p>
    <w:p>
      <w:pPr>
        <w:pStyle w:val="Body Text"/>
      </w:pPr>
    </w:p>
    <w:p>
      <w:pPr>
        <w:pStyle w:val="Heading 3"/>
      </w:pPr>
      <w:r>
        <w:t>Our Promoters</w:t>
      </w:r>
    </w:p>
    <w:p>
      <w:pPr>
        <w:pStyle w:val="Body Text"/>
      </w:pPr>
      <w:r>
        <w:t>Kushal Subbayya Hegde, Pushpa Kushal Hegde, Rajesh Kushal Hegde, Rohit Kushal Hegde, Rakhi Girija Shetty, Dhaulagiri Family Trust, Everest Family Trust, Makalu Family Trust, Broad Family Trust, Annapurna Family Trust, [REDACTED_ORGANIZATION].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