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CC695D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4667710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4667710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CC69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CC69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FF763A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CC695D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FF763A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FF763A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FF763A">
        <w:rPr>
          <w:lang w:val="ru-RU"/>
        </w:rPr>
        <w:t xml:space="preserve"> </w:t>
      </w:r>
      <w:r>
        <w:rPr>
          <w:lang w:val="ru-RU"/>
        </w:rPr>
        <w:t>значение</w:t>
      </w:r>
      <w:r w:rsidRPr="00FF763A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CC695D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CC695D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CC695D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CC695D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062DD">
            <w:proofErr w:type="spellStart"/>
            <w:r>
              <w:t>dest</w:t>
            </w:r>
            <w:r w:rsidR="00EC6B16">
              <w:t>Position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C0615D" w:rsidP="00C0615D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</w:t>
            </w:r>
            <w:r w:rsidR="00B75911">
              <w:rPr>
                <w:lang w:val="ru-RU"/>
              </w:rPr>
              <w:t>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64617A">
            <w:proofErr w:type="spellStart"/>
            <w:r>
              <w:t>startPosition</w:t>
            </w:r>
            <w:proofErr w:type="spellEnd"/>
            <w:r w:rsidR="00E062DD">
              <w:tab/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46677107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46677108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FF763A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FF763A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FF763A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6677109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FF763A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FF763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FF763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FF763A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FF763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FF763A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FF763A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FF763A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FF763A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FF763A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CC695D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CC695D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CC695D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CC695D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CC695D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CC695D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CC695D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CC695D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CC695D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CC695D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CC695D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CC695D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CC695D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CC695D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CC695D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  <w:bookmarkStart w:id="1" w:name="_GoBack"/>
            <w:bookmarkEnd w:id="1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CC69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CC69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CC695D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CC695D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FF763A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FF763A">
        <w:rPr>
          <w:lang w:val="ru-RU"/>
        </w:rPr>
        <w:t xml:space="preserve"> </w:t>
      </w:r>
      <w:proofErr w:type="gramStart"/>
      <w:r w:rsidRPr="00FF763A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FF763A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FF763A">
        <w:rPr>
          <w:lang w:val="ru-RU"/>
        </w:rPr>
        <w:t xml:space="preserve"> </w:t>
      </w:r>
      <w:r w:rsidRPr="006C754C">
        <w:t>RTCU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FF763A">
        <w:rPr>
          <w:lang w:val="ru-RU"/>
        </w:rPr>
        <w:t xml:space="preserve"> </w:t>
      </w:r>
      <w:r w:rsidRPr="006C754C">
        <w:t>WAITING</w:t>
      </w:r>
      <w:r w:rsidRPr="00FF763A">
        <w:rPr>
          <w:lang w:val="ru-RU"/>
        </w:rPr>
        <w:t>.</w:t>
      </w:r>
    </w:p>
    <w:p w:rsidR="00A56AD3" w:rsidRPr="00FF763A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CC695D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CC695D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C69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C69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CC695D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CC695D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CC695D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CC695D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CC695D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CC695D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CC69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C20" w:rsidRDefault="00140C20">
      <w:r>
        <w:separator/>
      </w:r>
    </w:p>
  </w:endnote>
  <w:endnote w:type="continuationSeparator" w:id="0">
    <w:p w:rsidR="00140C20" w:rsidRDefault="0014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C20" w:rsidRDefault="00140C20">
      <w:r>
        <w:separator/>
      </w:r>
    </w:p>
  </w:footnote>
  <w:footnote w:type="continuationSeparator" w:id="0">
    <w:p w:rsidR="00140C20" w:rsidRDefault="00140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44E6">
      <w:rPr>
        <w:rStyle w:val="PageNumber"/>
        <w:noProof/>
      </w:rPr>
      <w:t>44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49</Pages>
  <Words>5852</Words>
  <Characters>33361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39135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208</cp:revision>
  <dcterms:created xsi:type="dcterms:W3CDTF">2016-09-13T08:59:00Z</dcterms:created>
  <dcterms:modified xsi:type="dcterms:W3CDTF">2017-01-23T08:45:00Z</dcterms:modified>
</cp:coreProperties>
</file>