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A086E2" w14:textId="2C983DD8" w:rsidR="002221CD" w:rsidRPr="00E573F2" w:rsidRDefault="00E573F2">
      <w:pPr>
        <w:rPr>
          <w:b/>
          <w:bCs/>
          <w:sz w:val="30"/>
          <w:szCs w:val="30"/>
        </w:rPr>
      </w:pPr>
      <w:r w:rsidRPr="00E573F2">
        <w:rPr>
          <w:b/>
          <w:bCs/>
          <w:sz w:val="30"/>
          <w:szCs w:val="30"/>
        </w:rPr>
        <w:t>Holt-Winters Exponential Smoothing</w:t>
      </w:r>
      <w:r w:rsidRPr="00E573F2">
        <w:rPr>
          <w:b/>
          <w:bCs/>
          <w:sz w:val="30"/>
          <w:szCs w:val="30"/>
        </w:rPr>
        <w:t>: Graph Analysis</w:t>
      </w:r>
    </w:p>
    <w:p w14:paraId="625A5816" w14:textId="77777777" w:rsidR="002221CD" w:rsidRDefault="002221CD">
      <w:r w:rsidRPr="002221CD">
        <w:t xml:space="preserve">Overall Performance: After tuning the hyperparameters, the model's performance clearly got better. We saw lower RMSE values for almost all utilities, and the forecasted trends now look more realistic and consistent. This shows that adjusting the parameters makes the model much more reliable. </w:t>
      </w:r>
    </w:p>
    <w:p w14:paraId="69AE8334" w14:textId="77777777" w:rsidR="002221CD" w:rsidRDefault="002221CD">
      <w:r w:rsidRPr="002221CD">
        <w:t xml:space="preserve">Visual Analysis: The tuned model's predictions align more closely with the trends in the training data. The forecast looks smoother, and it does a better job of following the seasonal patterns. This is </w:t>
      </w:r>
      <w:proofErr w:type="gramStart"/>
      <w:r w:rsidRPr="002221CD">
        <w:t>really important</w:t>
      </w:r>
      <w:proofErr w:type="gramEnd"/>
      <w:r w:rsidRPr="002221CD">
        <w:t xml:space="preserve"> for time-series modeling like this, especially since energy consumption is all about capturing those repeating cycles. </w:t>
      </w:r>
    </w:p>
    <w:p w14:paraId="4E2BAFAF" w14:textId="3EF21F7B" w:rsidR="002221CD" w:rsidRDefault="002221CD">
      <w:r w:rsidRPr="002221CD">
        <w:t>Accuracy and Realism: The original model sometimes made predictions that didn’t make sense, like negative values for energy consumption—which is impossible. The tuning process fixed these issues, keeping all the forecasts within realistic, believable ranges.</w:t>
      </w:r>
    </w:p>
    <w:p w14:paraId="21C995E4" w14:textId="77777777" w:rsidR="002D289E" w:rsidRDefault="002D289E"/>
    <w:tbl>
      <w:tblPr>
        <w:tblStyle w:val="TableGrid"/>
        <w:tblW w:w="0" w:type="auto"/>
        <w:tblLook w:val="04A0" w:firstRow="1" w:lastRow="0" w:firstColumn="1" w:lastColumn="0" w:noHBand="0" w:noVBand="1"/>
      </w:tblPr>
      <w:tblGrid>
        <w:gridCol w:w="2337"/>
        <w:gridCol w:w="2337"/>
        <w:gridCol w:w="2338"/>
        <w:gridCol w:w="2338"/>
      </w:tblGrid>
      <w:tr w:rsidR="002D289E" w14:paraId="11050804" w14:textId="77777777" w:rsidTr="009B1F36">
        <w:tc>
          <w:tcPr>
            <w:tcW w:w="2337" w:type="dxa"/>
          </w:tcPr>
          <w:p w14:paraId="766E113B" w14:textId="77777777" w:rsidR="002D289E" w:rsidRDefault="002D289E" w:rsidP="009B1F36">
            <w:r>
              <w:t>Utility Name</w:t>
            </w:r>
          </w:p>
        </w:tc>
        <w:tc>
          <w:tcPr>
            <w:tcW w:w="2337" w:type="dxa"/>
          </w:tcPr>
          <w:p w14:paraId="77980BD3" w14:textId="77777777" w:rsidR="002D289E" w:rsidRDefault="002D289E" w:rsidP="009B1F36">
            <w:r w:rsidRPr="0079289C">
              <w:t xml:space="preserve">Original Model RMSE </w:t>
            </w:r>
          </w:p>
        </w:tc>
        <w:tc>
          <w:tcPr>
            <w:tcW w:w="2338" w:type="dxa"/>
          </w:tcPr>
          <w:p w14:paraId="1F0AA68C" w14:textId="77777777" w:rsidR="002D289E" w:rsidRDefault="002D289E" w:rsidP="009B1F36">
            <w:r w:rsidRPr="0079289C">
              <w:t>Tuned Model RMSE</w:t>
            </w:r>
          </w:p>
        </w:tc>
        <w:tc>
          <w:tcPr>
            <w:tcW w:w="2338" w:type="dxa"/>
          </w:tcPr>
          <w:p w14:paraId="76A41D4D" w14:textId="77777777" w:rsidR="002D289E" w:rsidRDefault="002D289E" w:rsidP="009B1F36">
            <w:r w:rsidRPr="0079289C">
              <w:t>Improvement (%)</w:t>
            </w:r>
          </w:p>
        </w:tc>
      </w:tr>
      <w:tr w:rsidR="002D289E" w14:paraId="38795F4A" w14:textId="77777777" w:rsidTr="009B1F36">
        <w:tc>
          <w:tcPr>
            <w:tcW w:w="2337" w:type="dxa"/>
          </w:tcPr>
          <w:p w14:paraId="09112A71" w14:textId="77777777" w:rsidR="002D289E" w:rsidRDefault="002D289E" w:rsidP="009B1F36">
            <w:r w:rsidRPr="00445290">
              <w:rPr>
                <w:rFonts w:ascii="Noto Sans" w:hAnsi="Noto Sans" w:cs="Noto Sans"/>
                <w:bdr w:val="none" w:sz="0" w:space="0" w:color="auto" w:frame="1"/>
              </w:rPr>
              <w:t>AEP</w:t>
            </w:r>
          </w:p>
        </w:tc>
        <w:tc>
          <w:tcPr>
            <w:tcW w:w="2337" w:type="dxa"/>
          </w:tcPr>
          <w:p w14:paraId="7295F23C" w14:textId="77777777" w:rsidR="002D289E" w:rsidRDefault="002D289E" w:rsidP="009B1F36">
            <w:r w:rsidRPr="00445290">
              <w:rPr>
                <w:rFonts w:ascii="Noto Sans" w:hAnsi="Noto Sans" w:cs="Noto Sans"/>
                <w:bdr w:val="none" w:sz="0" w:space="0" w:color="auto" w:frame="1"/>
              </w:rPr>
              <w:t>987.05</w:t>
            </w:r>
          </w:p>
        </w:tc>
        <w:tc>
          <w:tcPr>
            <w:tcW w:w="2338" w:type="dxa"/>
          </w:tcPr>
          <w:p w14:paraId="7D7AE90B" w14:textId="77777777" w:rsidR="002D289E" w:rsidRDefault="002D289E" w:rsidP="009B1F36">
            <w:r w:rsidRPr="00445290">
              <w:rPr>
                <w:rFonts w:ascii="Noto Sans" w:hAnsi="Noto Sans" w:cs="Noto Sans"/>
                <w:bdr w:val="none" w:sz="0" w:space="0" w:color="auto" w:frame="1"/>
              </w:rPr>
              <w:t>861.56</w:t>
            </w:r>
          </w:p>
        </w:tc>
        <w:tc>
          <w:tcPr>
            <w:tcW w:w="2338" w:type="dxa"/>
          </w:tcPr>
          <w:p w14:paraId="6F4B57EF" w14:textId="77777777" w:rsidR="002D289E" w:rsidRDefault="002D289E" w:rsidP="009B1F36">
            <w:r w:rsidRPr="00445290">
              <w:rPr>
                <w:rFonts w:ascii="Noto Sans" w:hAnsi="Noto Sans" w:cs="Noto Sans"/>
                <w:bdr w:val="none" w:sz="0" w:space="0" w:color="auto" w:frame="1"/>
              </w:rPr>
              <w:t>12.7%</w:t>
            </w:r>
          </w:p>
        </w:tc>
      </w:tr>
      <w:tr w:rsidR="002D289E" w14:paraId="779484C2" w14:textId="77777777" w:rsidTr="009B1F36">
        <w:tc>
          <w:tcPr>
            <w:tcW w:w="2337" w:type="dxa"/>
          </w:tcPr>
          <w:p w14:paraId="23497047" w14:textId="77777777" w:rsidR="002D289E" w:rsidRDefault="002D289E" w:rsidP="009B1F36">
            <w:r w:rsidRPr="004E32FB">
              <w:t>COMED</w:t>
            </w:r>
          </w:p>
        </w:tc>
        <w:tc>
          <w:tcPr>
            <w:tcW w:w="2337" w:type="dxa"/>
          </w:tcPr>
          <w:p w14:paraId="536517D4" w14:textId="77777777" w:rsidR="002D289E" w:rsidRDefault="002D289E" w:rsidP="009B1F36">
            <w:r w:rsidRPr="004E32FB">
              <w:t>3430.74</w:t>
            </w:r>
          </w:p>
        </w:tc>
        <w:tc>
          <w:tcPr>
            <w:tcW w:w="2338" w:type="dxa"/>
          </w:tcPr>
          <w:p w14:paraId="684FF728" w14:textId="77777777" w:rsidR="002D289E" w:rsidRDefault="002D289E" w:rsidP="009B1F36">
            <w:r w:rsidRPr="004E32FB">
              <w:t>1621.06</w:t>
            </w:r>
          </w:p>
        </w:tc>
        <w:tc>
          <w:tcPr>
            <w:tcW w:w="2338" w:type="dxa"/>
          </w:tcPr>
          <w:p w14:paraId="5EC99CE2" w14:textId="77777777" w:rsidR="002D289E" w:rsidRDefault="002D289E" w:rsidP="009B1F36">
            <w:r w:rsidRPr="004E32FB">
              <w:t>52.7%</w:t>
            </w:r>
          </w:p>
        </w:tc>
      </w:tr>
      <w:tr w:rsidR="002D289E" w14:paraId="08E5F025" w14:textId="77777777" w:rsidTr="009B1F36">
        <w:tc>
          <w:tcPr>
            <w:tcW w:w="2337" w:type="dxa"/>
          </w:tcPr>
          <w:p w14:paraId="17B5ED95" w14:textId="77777777" w:rsidR="002D289E" w:rsidRDefault="002D289E" w:rsidP="009B1F36">
            <w:r w:rsidRPr="009D2D7B">
              <w:t>DAYTON</w:t>
            </w:r>
          </w:p>
        </w:tc>
        <w:tc>
          <w:tcPr>
            <w:tcW w:w="2337" w:type="dxa"/>
          </w:tcPr>
          <w:p w14:paraId="39681E35" w14:textId="77777777" w:rsidR="002D289E" w:rsidRDefault="002D289E" w:rsidP="009B1F36">
            <w:r w:rsidRPr="009D2D7B">
              <w:t>203.98</w:t>
            </w:r>
          </w:p>
        </w:tc>
        <w:tc>
          <w:tcPr>
            <w:tcW w:w="2338" w:type="dxa"/>
          </w:tcPr>
          <w:p w14:paraId="6A5BB01E" w14:textId="77777777" w:rsidR="002D289E" w:rsidRDefault="002D289E" w:rsidP="009B1F36">
            <w:r w:rsidRPr="009D2D7B">
              <w:t>188.45</w:t>
            </w:r>
          </w:p>
        </w:tc>
        <w:tc>
          <w:tcPr>
            <w:tcW w:w="2338" w:type="dxa"/>
          </w:tcPr>
          <w:p w14:paraId="5A805912" w14:textId="77777777" w:rsidR="002D289E" w:rsidRDefault="002D289E" w:rsidP="009B1F36">
            <w:r w:rsidRPr="009D2D7B">
              <w:t>7.6%</w:t>
            </w:r>
          </w:p>
        </w:tc>
      </w:tr>
      <w:tr w:rsidR="002D289E" w14:paraId="4FE0081A" w14:textId="77777777" w:rsidTr="009B1F36">
        <w:tc>
          <w:tcPr>
            <w:tcW w:w="2337" w:type="dxa"/>
          </w:tcPr>
          <w:p w14:paraId="783A5E6E" w14:textId="77777777" w:rsidR="002D289E" w:rsidRDefault="002D289E" w:rsidP="009B1F36">
            <w:r w:rsidRPr="00E1376C">
              <w:t>DEOK</w:t>
            </w:r>
          </w:p>
        </w:tc>
        <w:tc>
          <w:tcPr>
            <w:tcW w:w="2337" w:type="dxa"/>
          </w:tcPr>
          <w:p w14:paraId="72459B7E" w14:textId="77777777" w:rsidR="002D289E" w:rsidRDefault="002D289E" w:rsidP="009B1F36">
            <w:r w:rsidRPr="00E1376C">
              <w:t>381.55</w:t>
            </w:r>
          </w:p>
        </w:tc>
        <w:tc>
          <w:tcPr>
            <w:tcW w:w="2338" w:type="dxa"/>
          </w:tcPr>
          <w:p w14:paraId="736B2296" w14:textId="77777777" w:rsidR="002D289E" w:rsidRDefault="002D289E" w:rsidP="009B1F36">
            <w:r w:rsidRPr="00E1376C">
              <w:t>361.58</w:t>
            </w:r>
          </w:p>
        </w:tc>
        <w:tc>
          <w:tcPr>
            <w:tcW w:w="2338" w:type="dxa"/>
          </w:tcPr>
          <w:p w14:paraId="701AD165" w14:textId="77777777" w:rsidR="002D289E" w:rsidRDefault="002D289E" w:rsidP="009B1F36">
            <w:r w:rsidRPr="00E1376C">
              <w:t>5.2</w:t>
            </w:r>
            <w:r>
              <w:t>%</w:t>
            </w:r>
          </w:p>
        </w:tc>
      </w:tr>
      <w:tr w:rsidR="002D289E" w14:paraId="6B328C92" w14:textId="77777777" w:rsidTr="009B1F36">
        <w:tc>
          <w:tcPr>
            <w:tcW w:w="2337" w:type="dxa"/>
          </w:tcPr>
          <w:p w14:paraId="60A3A363" w14:textId="77777777" w:rsidR="002D289E" w:rsidRDefault="002D289E" w:rsidP="009B1F36">
            <w:r w:rsidRPr="00CB7081">
              <w:t>DOM</w:t>
            </w:r>
          </w:p>
        </w:tc>
        <w:tc>
          <w:tcPr>
            <w:tcW w:w="2337" w:type="dxa"/>
          </w:tcPr>
          <w:p w14:paraId="00BFF3EC" w14:textId="77777777" w:rsidR="002D289E" w:rsidRDefault="002D289E" w:rsidP="009B1F36">
            <w:r w:rsidRPr="00CB7081">
              <w:t>587.28</w:t>
            </w:r>
          </w:p>
        </w:tc>
        <w:tc>
          <w:tcPr>
            <w:tcW w:w="2338" w:type="dxa"/>
          </w:tcPr>
          <w:p w14:paraId="5EFD47E0" w14:textId="77777777" w:rsidR="002D289E" w:rsidRDefault="002D289E" w:rsidP="009B1F36">
            <w:r w:rsidRPr="00CB7081">
              <w:t>517.25</w:t>
            </w:r>
          </w:p>
        </w:tc>
        <w:tc>
          <w:tcPr>
            <w:tcW w:w="2338" w:type="dxa"/>
          </w:tcPr>
          <w:p w14:paraId="35BB3D7C" w14:textId="77777777" w:rsidR="002D289E" w:rsidRDefault="002D289E" w:rsidP="009B1F36">
            <w:r>
              <w:t>11.9%</w:t>
            </w:r>
          </w:p>
        </w:tc>
      </w:tr>
      <w:tr w:rsidR="002D289E" w14:paraId="71021F7C" w14:textId="77777777" w:rsidTr="009B1F36">
        <w:tc>
          <w:tcPr>
            <w:tcW w:w="2337" w:type="dxa"/>
          </w:tcPr>
          <w:p w14:paraId="0D47A4AB" w14:textId="77777777" w:rsidR="002D289E" w:rsidRDefault="002D289E" w:rsidP="009B1F36">
            <w:r w:rsidRPr="00CB7081">
              <w:t>DUQ</w:t>
            </w:r>
          </w:p>
        </w:tc>
        <w:tc>
          <w:tcPr>
            <w:tcW w:w="2337" w:type="dxa"/>
          </w:tcPr>
          <w:p w14:paraId="1084EFB1" w14:textId="77777777" w:rsidR="002D289E" w:rsidRDefault="002D289E" w:rsidP="009B1F36">
            <w:r w:rsidRPr="00CB7081">
              <w:t>188.72</w:t>
            </w:r>
          </w:p>
        </w:tc>
        <w:tc>
          <w:tcPr>
            <w:tcW w:w="2338" w:type="dxa"/>
          </w:tcPr>
          <w:p w14:paraId="56EC1C49" w14:textId="77777777" w:rsidR="002D289E" w:rsidRDefault="002D289E" w:rsidP="009B1F36">
            <w:r w:rsidRPr="0013312F">
              <w:t>168.88</w:t>
            </w:r>
          </w:p>
        </w:tc>
        <w:tc>
          <w:tcPr>
            <w:tcW w:w="2338" w:type="dxa"/>
          </w:tcPr>
          <w:p w14:paraId="3B060532" w14:textId="77777777" w:rsidR="002D289E" w:rsidRDefault="002D289E" w:rsidP="009B1F36">
            <w:r>
              <w:t>10.5%</w:t>
            </w:r>
          </w:p>
        </w:tc>
      </w:tr>
      <w:tr w:rsidR="002D289E" w14:paraId="38FE300E" w14:textId="77777777" w:rsidTr="009B1F36">
        <w:tc>
          <w:tcPr>
            <w:tcW w:w="2337" w:type="dxa"/>
          </w:tcPr>
          <w:p w14:paraId="797ECD75" w14:textId="77777777" w:rsidR="002D289E" w:rsidRDefault="002D289E" w:rsidP="009B1F36">
            <w:r w:rsidRPr="007149B9">
              <w:t>EKPC</w:t>
            </w:r>
          </w:p>
        </w:tc>
        <w:tc>
          <w:tcPr>
            <w:tcW w:w="2337" w:type="dxa"/>
          </w:tcPr>
          <w:p w14:paraId="109CF39F" w14:textId="77777777" w:rsidR="002D289E" w:rsidRDefault="002D289E" w:rsidP="009B1F36">
            <w:r w:rsidRPr="007149B9">
              <w:t>184.68</w:t>
            </w:r>
          </w:p>
        </w:tc>
        <w:tc>
          <w:tcPr>
            <w:tcW w:w="2338" w:type="dxa"/>
          </w:tcPr>
          <w:p w14:paraId="703AE6D0" w14:textId="77777777" w:rsidR="002D289E" w:rsidRDefault="002D289E" w:rsidP="009B1F36">
            <w:r w:rsidRPr="007149B9">
              <w:t>168.66</w:t>
            </w:r>
          </w:p>
        </w:tc>
        <w:tc>
          <w:tcPr>
            <w:tcW w:w="2338" w:type="dxa"/>
          </w:tcPr>
          <w:p w14:paraId="1EB5A16A" w14:textId="77777777" w:rsidR="002D289E" w:rsidRDefault="002D289E" w:rsidP="009B1F36">
            <w:r>
              <w:t>8.7%</w:t>
            </w:r>
          </w:p>
        </w:tc>
      </w:tr>
      <w:tr w:rsidR="002D289E" w14:paraId="54CA0000" w14:textId="77777777" w:rsidTr="009B1F36">
        <w:tc>
          <w:tcPr>
            <w:tcW w:w="2337" w:type="dxa"/>
          </w:tcPr>
          <w:p w14:paraId="0A866D0B" w14:textId="77777777" w:rsidR="002D289E" w:rsidRDefault="002D289E" w:rsidP="009B1F36">
            <w:r w:rsidRPr="00BF4A3B">
              <w:t>FE</w:t>
            </w:r>
          </w:p>
        </w:tc>
        <w:tc>
          <w:tcPr>
            <w:tcW w:w="2337" w:type="dxa"/>
          </w:tcPr>
          <w:p w14:paraId="6211FE4F" w14:textId="77777777" w:rsidR="002D289E" w:rsidRDefault="002D289E" w:rsidP="009B1F36">
            <w:r w:rsidRPr="00F317AA">
              <w:t>964.44</w:t>
            </w:r>
          </w:p>
        </w:tc>
        <w:tc>
          <w:tcPr>
            <w:tcW w:w="2338" w:type="dxa"/>
          </w:tcPr>
          <w:p w14:paraId="67560931" w14:textId="77777777" w:rsidR="002D289E" w:rsidRDefault="002D289E" w:rsidP="009B1F36">
            <w:r w:rsidRPr="00F317AA">
              <w:t>846.84</w:t>
            </w:r>
          </w:p>
        </w:tc>
        <w:tc>
          <w:tcPr>
            <w:tcW w:w="2338" w:type="dxa"/>
          </w:tcPr>
          <w:p w14:paraId="6AAB9D9A" w14:textId="77777777" w:rsidR="002D289E" w:rsidRDefault="002D289E" w:rsidP="009B1F36">
            <w:r>
              <w:t>12.2%</w:t>
            </w:r>
          </w:p>
        </w:tc>
      </w:tr>
      <w:tr w:rsidR="002D289E" w14:paraId="3C512E94" w14:textId="77777777" w:rsidTr="009B1F36">
        <w:tc>
          <w:tcPr>
            <w:tcW w:w="2337" w:type="dxa"/>
          </w:tcPr>
          <w:p w14:paraId="646EDEC8" w14:textId="77777777" w:rsidR="002D289E" w:rsidRDefault="002D289E" w:rsidP="009B1F36">
            <w:r w:rsidRPr="00BF4A3B">
              <w:t>NI</w:t>
            </w:r>
          </w:p>
        </w:tc>
        <w:tc>
          <w:tcPr>
            <w:tcW w:w="2337" w:type="dxa"/>
          </w:tcPr>
          <w:p w14:paraId="0C65963F" w14:textId="77777777" w:rsidR="002D289E" w:rsidRDefault="002D289E" w:rsidP="009B1F36">
            <w:r w:rsidRPr="00BF4A3B">
              <w:t>2338.02</w:t>
            </w:r>
          </w:p>
        </w:tc>
        <w:tc>
          <w:tcPr>
            <w:tcW w:w="2338" w:type="dxa"/>
          </w:tcPr>
          <w:p w14:paraId="30419E78" w14:textId="77777777" w:rsidR="002D289E" w:rsidRDefault="002D289E" w:rsidP="009B1F36">
            <w:r w:rsidRPr="00BF4A3B">
              <w:t>2042.30</w:t>
            </w:r>
          </w:p>
        </w:tc>
        <w:tc>
          <w:tcPr>
            <w:tcW w:w="2338" w:type="dxa"/>
          </w:tcPr>
          <w:p w14:paraId="6069222E" w14:textId="77777777" w:rsidR="002D289E" w:rsidRDefault="002D289E" w:rsidP="009B1F36">
            <w:r>
              <w:t>12.7%</w:t>
            </w:r>
          </w:p>
        </w:tc>
      </w:tr>
      <w:tr w:rsidR="002D289E" w14:paraId="64BE1208" w14:textId="77777777" w:rsidTr="009B1F36">
        <w:tc>
          <w:tcPr>
            <w:tcW w:w="2337" w:type="dxa"/>
          </w:tcPr>
          <w:p w14:paraId="1174C4E0" w14:textId="77777777" w:rsidR="002D289E" w:rsidRDefault="002D289E" w:rsidP="009B1F36">
            <w:r w:rsidRPr="00BF4A3B">
              <w:t>PJMEL</w:t>
            </w:r>
          </w:p>
        </w:tc>
        <w:tc>
          <w:tcPr>
            <w:tcW w:w="2337" w:type="dxa"/>
          </w:tcPr>
          <w:p w14:paraId="47B18870" w14:textId="77777777" w:rsidR="002D289E" w:rsidRDefault="002D289E" w:rsidP="009B1F36">
            <w:r w:rsidRPr="00BF4A3B">
              <w:t>272.18</w:t>
            </w:r>
          </w:p>
        </w:tc>
        <w:tc>
          <w:tcPr>
            <w:tcW w:w="2338" w:type="dxa"/>
          </w:tcPr>
          <w:p w14:paraId="00CBF9F9" w14:textId="77777777" w:rsidR="002D289E" w:rsidRDefault="002D289E" w:rsidP="009B1F36">
            <w:r w:rsidRPr="00BF4A3B">
              <w:t>252.18</w:t>
            </w:r>
          </w:p>
        </w:tc>
        <w:tc>
          <w:tcPr>
            <w:tcW w:w="2338" w:type="dxa"/>
          </w:tcPr>
          <w:p w14:paraId="2C416B4C" w14:textId="77777777" w:rsidR="002D289E" w:rsidRDefault="002D289E" w:rsidP="009B1F36">
            <w:r w:rsidRPr="00D97D14">
              <w:t>7.3</w:t>
            </w:r>
            <w:r>
              <w:t>%</w:t>
            </w:r>
          </w:p>
        </w:tc>
      </w:tr>
    </w:tbl>
    <w:p w14:paraId="78372407" w14:textId="77777777" w:rsidR="002D289E" w:rsidRDefault="002D289E"/>
    <w:sectPr w:rsidR="002D28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C2C60B" w14:textId="77777777" w:rsidR="002221CD" w:rsidRDefault="002221CD" w:rsidP="002221CD">
      <w:pPr>
        <w:spacing w:after="0" w:line="240" w:lineRule="auto"/>
      </w:pPr>
      <w:r>
        <w:separator/>
      </w:r>
    </w:p>
  </w:endnote>
  <w:endnote w:type="continuationSeparator" w:id="0">
    <w:p w14:paraId="053F305C" w14:textId="77777777" w:rsidR="002221CD" w:rsidRDefault="002221CD" w:rsidP="00222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Noto Sans">
    <w:charset w:val="00"/>
    <w:family w:val="swiss"/>
    <w:pitch w:val="variable"/>
    <w:sig w:usb0="E00082FF" w:usb1="400078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268571" w14:textId="77777777" w:rsidR="002221CD" w:rsidRDefault="002221CD" w:rsidP="002221CD">
      <w:pPr>
        <w:spacing w:after="0" w:line="240" w:lineRule="auto"/>
      </w:pPr>
      <w:r>
        <w:separator/>
      </w:r>
    </w:p>
  </w:footnote>
  <w:footnote w:type="continuationSeparator" w:id="0">
    <w:p w14:paraId="58245C55" w14:textId="77777777" w:rsidR="002221CD" w:rsidRDefault="002221CD" w:rsidP="002221C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184"/>
    <w:rsid w:val="0013312F"/>
    <w:rsid w:val="002221CD"/>
    <w:rsid w:val="0023227F"/>
    <w:rsid w:val="002D289E"/>
    <w:rsid w:val="003A4184"/>
    <w:rsid w:val="004E32FB"/>
    <w:rsid w:val="005240D0"/>
    <w:rsid w:val="0066314D"/>
    <w:rsid w:val="007149B9"/>
    <w:rsid w:val="0079289C"/>
    <w:rsid w:val="009D2D7B"/>
    <w:rsid w:val="00B06207"/>
    <w:rsid w:val="00B17240"/>
    <w:rsid w:val="00BF4A3B"/>
    <w:rsid w:val="00CB7081"/>
    <w:rsid w:val="00D97D14"/>
    <w:rsid w:val="00E1376C"/>
    <w:rsid w:val="00E573F2"/>
    <w:rsid w:val="00F31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9302D"/>
  <w15:chartTrackingRefBased/>
  <w15:docId w15:val="{E4934453-888C-47A5-B4A1-AB69A599B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41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41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41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41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41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41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41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41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41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1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41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41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41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41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41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41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41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4184"/>
    <w:rPr>
      <w:rFonts w:eastAsiaTheme="majorEastAsia" w:cstheme="majorBidi"/>
      <w:color w:val="272727" w:themeColor="text1" w:themeTint="D8"/>
    </w:rPr>
  </w:style>
  <w:style w:type="paragraph" w:styleId="Title">
    <w:name w:val="Title"/>
    <w:basedOn w:val="Normal"/>
    <w:next w:val="Normal"/>
    <w:link w:val="TitleChar"/>
    <w:uiPriority w:val="10"/>
    <w:qFormat/>
    <w:rsid w:val="003A41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41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41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41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4184"/>
    <w:pPr>
      <w:spacing w:before="160"/>
      <w:jc w:val="center"/>
    </w:pPr>
    <w:rPr>
      <w:i/>
      <w:iCs/>
      <w:color w:val="404040" w:themeColor="text1" w:themeTint="BF"/>
    </w:rPr>
  </w:style>
  <w:style w:type="character" w:customStyle="1" w:styleId="QuoteChar">
    <w:name w:val="Quote Char"/>
    <w:basedOn w:val="DefaultParagraphFont"/>
    <w:link w:val="Quote"/>
    <w:uiPriority w:val="29"/>
    <w:rsid w:val="003A4184"/>
    <w:rPr>
      <w:i/>
      <w:iCs/>
      <w:color w:val="404040" w:themeColor="text1" w:themeTint="BF"/>
    </w:rPr>
  </w:style>
  <w:style w:type="paragraph" w:styleId="ListParagraph">
    <w:name w:val="List Paragraph"/>
    <w:basedOn w:val="Normal"/>
    <w:uiPriority w:val="34"/>
    <w:qFormat/>
    <w:rsid w:val="003A4184"/>
    <w:pPr>
      <w:ind w:left="720"/>
      <w:contextualSpacing/>
    </w:pPr>
  </w:style>
  <w:style w:type="character" w:styleId="IntenseEmphasis">
    <w:name w:val="Intense Emphasis"/>
    <w:basedOn w:val="DefaultParagraphFont"/>
    <w:uiPriority w:val="21"/>
    <w:qFormat/>
    <w:rsid w:val="003A4184"/>
    <w:rPr>
      <w:i/>
      <w:iCs/>
      <w:color w:val="0F4761" w:themeColor="accent1" w:themeShade="BF"/>
    </w:rPr>
  </w:style>
  <w:style w:type="paragraph" w:styleId="IntenseQuote">
    <w:name w:val="Intense Quote"/>
    <w:basedOn w:val="Normal"/>
    <w:next w:val="Normal"/>
    <w:link w:val="IntenseQuoteChar"/>
    <w:uiPriority w:val="30"/>
    <w:qFormat/>
    <w:rsid w:val="003A41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4184"/>
    <w:rPr>
      <w:i/>
      <w:iCs/>
      <w:color w:val="0F4761" w:themeColor="accent1" w:themeShade="BF"/>
    </w:rPr>
  </w:style>
  <w:style w:type="character" w:styleId="IntenseReference">
    <w:name w:val="Intense Reference"/>
    <w:basedOn w:val="DefaultParagraphFont"/>
    <w:uiPriority w:val="32"/>
    <w:qFormat/>
    <w:rsid w:val="003A4184"/>
    <w:rPr>
      <w:b/>
      <w:bCs/>
      <w:smallCaps/>
      <w:color w:val="0F4761" w:themeColor="accent1" w:themeShade="BF"/>
      <w:spacing w:val="5"/>
    </w:rPr>
  </w:style>
  <w:style w:type="table" w:styleId="TableGrid">
    <w:name w:val="Table Grid"/>
    <w:basedOn w:val="TableNormal"/>
    <w:uiPriority w:val="39"/>
    <w:rsid w:val="00B06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221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1CD"/>
  </w:style>
  <w:style w:type="paragraph" w:styleId="Footer">
    <w:name w:val="footer"/>
    <w:basedOn w:val="Normal"/>
    <w:link w:val="FooterChar"/>
    <w:uiPriority w:val="99"/>
    <w:unhideWhenUsed/>
    <w:rsid w:val="002221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1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2990001">
      <w:bodyDiv w:val="1"/>
      <w:marLeft w:val="0"/>
      <w:marRight w:val="0"/>
      <w:marTop w:val="0"/>
      <w:marBottom w:val="0"/>
      <w:divBdr>
        <w:top w:val="none" w:sz="0" w:space="0" w:color="auto"/>
        <w:left w:val="none" w:sz="0" w:space="0" w:color="auto"/>
        <w:bottom w:val="none" w:sz="0" w:space="0" w:color="auto"/>
        <w:right w:val="none" w:sz="0" w:space="0" w:color="auto"/>
      </w:divBdr>
      <w:divsChild>
        <w:div w:id="1584684653">
          <w:marLeft w:val="0"/>
          <w:marRight w:val="0"/>
          <w:marTop w:val="0"/>
          <w:marBottom w:val="0"/>
          <w:divBdr>
            <w:top w:val="none" w:sz="0" w:space="0" w:color="auto"/>
            <w:left w:val="none" w:sz="0" w:space="0" w:color="auto"/>
            <w:bottom w:val="none" w:sz="0" w:space="0" w:color="auto"/>
            <w:right w:val="none" w:sz="0" w:space="0" w:color="auto"/>
          </w:divBdr>
          <w:divsChild>
            <w:div w:id="20470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5233">
      <w:bodyDiv w:val="1"/>
      <w:marLeft w:val="0"/>
      <w:marRight w:val="0"/>
      <w:marTop w:val="0"/>
      <w:marBottom w:val="0"/>
      <w:divBdr>
        <w:top w:val="none" w:sz="0" w:space="0" w:color="auto"/>
        <w:left w:val="none" w:sz="0" w:space="0" w:color="auto"/>
        <w:bottom w:val="none" w:sz="0" w:space="0" w:color="auto"/>
        <w:right w:val="none" w:sz="0" w:space="0" w:color="auto"/>
      </w:divBdr>
      <w:divsChild>
        <w:div w:id="553195347">
          <w:marLeft w:val="0"/>
          <w:marRight w:val="0"/>
          <w:marTop w:val="0"/>
          <w:marBottom w:val="0"/>
          <w:divBdr>
            <w:top w:val="none" w:sz="0" w:space="0" w:color="auto"/>
            <w:left w:val="none" w:sz="0" w:space="0" w:color="auto"/>
            <w:bottom w:val="none" w:sz="0" w:space="0" w:color="auto"/>
            <w:right w:val="none" w:sz="0" w:space="0" w:color="auto"/>
          </w:divBdr>
          <w:divsChild>
            <w:div w:id="41131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189</Words>
  <Characters>1081</Characters>
  <Application>Microsoft Office Word</Application>
  <DocSecurity>0</DocSecurity>
  <Lines>9</Lines>
  <Paragraphs>2</Paragraphs>
  <ScaleCrop>false</ScaleCrop>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Prianka Vikram</dc:creator>
  <cp:keywords/>
  <dc:description/>
  <cp:lastModifiedBy>Prianka Vikram</cp:lastModifiedBy>
  <cp:revision>16</cp:revision>
  <dcterms:created xsi:type="dcterms:W3CDTF">2024-11-28T01:45:00Z</dcterms:created>
  <dcterms:modified xsi:type="dcterms:W3CDTF">2024-11-28T01:57:00Z</dcterms:modified>
</cp:coreProperties>
</file>