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5CEC9" w14:textId="508B8ABB" w:rsidR="0031459E" w:rsidRDefault="0031459E" w:rsidP="0031459E">
      <w:pPr>
        <w:pStyle w:val="Title"/>
        <w:jc w:val="center"/>
      </w:pPr>
      <w:r>
        <w:t>Comparative Privacy Policy Analysis</w:t>
      </w:r>
    </w:p>
    <w:p w14:paraId="60AB0CA6" w14:textId="1F77C349" w:rsidR="0031459E" w:rsidRPr="0031459E" w:rsidRDefault="0031459E" w:rsidP="0031459E">
      <w:pPr>
        <w:pStyle w:val="Title"/>
        <w:jc w:val="center"/>
      </w:pPr>
      <w:r>
        <w:t>Brittany Fetterman</w:t>
      </w:r>
    </w:p>
    <w:p w14:paraId="5EFBDDEE" w14:textId="77777777" w:rsidR="00C17922" w:rsidRDefault="00000000">
      <w:pPr>
        <w:jc w:val="center"/>
      </w:pPr>
      <w:r>
        <w:t xml:space="preserve">Policies analyzed: Amazon, </w:t>
      </w:r>
      <w:proofErr w:type="spellStart"/>
      <w:r>
        <w:t>Comfrt</w:t>
      </w:r>
      <w:proofErr w:type="spellEnd"/>
      <w:r>
        <w:t>, GitHub, Apple, Meta, Microsoft, PayPal, Venmo, and Yahoo</w:t>
      </w:r>
    </w:p>
    <w:p w14:paraId="244F111E" w14:textId="36F6FD7A" w:rsidR="00C17922" w:rsidRDefault="0031459E">
      <w:pPr>
        <w:pStyle w:val="Heading1"/>
      </w:pPr>
      <w:r>
        <w:t xml:space="preserve">Policy </w:t>
      </w:r>
      <w:r w:rsidR="00000000">
        <w:t>Analysis</w:t>
      </w:r>
      <w:r>
        <w:t xml:space="preserve"> (From AI)</w:t>
      </w:r>
    </w:p>
    <w:p w14:paraId="08506D2A" w14:textId="77777777" w:rsidR="00C17922" w:rsidRDefault="00000000">
      <w:pPr>
        <w:pStyle w:val="Heading2"/>
      </w:pPr>
      <w:r>
        <w:t>Amazon</w:t>
      </w:r>
    </w:p>
    <w:tbl>
      <w:tblPr>
        <w:tblStyle w:val="TableGrid"/>
        <w:tblW w:w="0" w:type="auto"/>
        <w:jc w:val="center"/>
        <w:tblLook w:val="04A0" w:firstRow="1" w:lastRow="0" w:firstColumn="1" w:lastColumn="0" w:noHBand="0" w:noVBand="1"/>
      </w:tblPr>
      <w:tblGrid>
        <w:gridCol w:w="4896"/>
        <w:gridCol w:w="4896"/>
      </w:tblGrid>
      <w:tr w:rsidR="00C17922" w14:paraId="453BBDC9" w14:textId="77777777">
        <w:trPr>
          <w:jc w:val="center"/>
        </w:trPr>
        <w:tc>
          <w:tcPr>
            <w:tcW w:w="4896" w:type="dxa"/>
            <w:shd w:val="clear" w:color="auto" w:fill="EAF3F8"/>
            <w:tcMar>
              <w:top w:w="80" w:type="dxa"/>
              <w:left w:w="90" w:type="dxa"/>
              <w:bottom w:w="80" w:type="dxa"/>
              <w:right w:w="90" w:type="dxa"/>
            </w:tcMar>
            <w:vAlign w:val="center"/>
          </w:tcPr>
          <w:p w14:paraId="10789FC1" w14:textId="77777777" w:rsidR="00C17922" w:rsidRDefault="00000000">
            <w:r>
              <w:t>Policy date</w:t>
            </w:r>
          </w:p>
        </w:tc>
        <w:tc>
          <w:tcPr>
            <w:tcW w:w="4896" w:type="dxa"/>
            <w:tcMar>
              <w:top w:w="80" w:type="dxa"/>
              <w:left w:w="90" w:type="dxa"/>
              <w:bottom w:w="80" w:type="dxa"/>
              <w:right w:w="90" w:type="dxa"/>
            </w:tcMar>
            <w:vAlign w:val="center"/>
          </w:tcPr>
          <w:p w14:paraId="7E956B21" w14:textId="77777777" w:rsidR="00C17922" w:rsidRDefault="00000000">
            <w:r>
              <w:t>Last updated December 31, 2025</w:t>
            </w:r>
          </w:p>
        </w:tc>
      </w:tr>
      <w:tr w:rsidR="00C17922" w14:paraId="4CF4750A" w14:textId="77777777">
        <w:trPr>
          <w:jc w:val="center"/>
        </w:trPr>
        <w:tc>
          <w:tcPr>
            <w:tcW w:w="4896" w:type="dxa"/>
            <w:shd w:val="clear" w:color="auto" w:fill="EAF3F8"/>
            <w:tcMar>
              <w:top w:w="80" w:type="dxa"/>
              <w:left w:w="90" w:type="dxa"/>
              <w:bottom w:w="80" w:type="dxa"/>
              <w:right w:w="90" w:type="dxa"/>
            </w:tcMar>
            <w:vAlign w:val="center"/>
          </w:tcPr>
          <w:p w14:paraId="1FEC97F8" w14:textId="77777777" w:rsidR="00C17922" w:rsidRDefault="00000000">
            <w:r>
              <w:t>Data collection practices</w:t>
            </w:r>
          </w:p>
        </w:tc>
        <w:tc>
          <w:tcPr>
            <w:tcW w:w="4896" w:type="dxa"/>
            <w:tcMar>
              <w:top w:w="80" w:type="dxa"/>
              <w:left w:w="90" w:type="dxa"/>
              <w:bottom w:w="80" w:type="dxa"/>
              <w:right w:w="90" w:type="dxa"/>
            </w:tcMar>
            <w:vAlign w:val="center"/>
          </w:tcPr>
          <w:p w14:paraId="528ED7AA" w14:textId="77777777" w:rsidR="00C17922" w:rsidRDefault="00000000">
            <w:r>
              <w:t>Amazon states that it collects information customers provide directly, automatic information such as device, browsing, cookie, and interaction data, and information from other sources such as carriers and address updates. The policy also notes that physical stores may use cameras, computer vision, sensors, and related technology.</w:t>
            </w:r>
          </w:p>
        </w:tc>
      </w:tr>
      <w:tr w:rsidR="00C17922" w14:paraId="3D18DE07" w14:textId="77777777">
        <w:trPr>
          <w:jc w:val="center"/>
        </w:trPr>
        <w:tc>
          <w:tcPr>
            <w:tcW w:w="4896" w:type="dxa"/>
            <w:shd w:val="clear" w:color="auto" w:fill="EAF3F8"/>
            <w:tcMar>
              <w:top w:w="80" w:type="dxa"/>
              <w:left w:w="90" w:type="dxa"/>
              <w:bottom w:w="80" w:type="dxa"/>
              <w:right w:w="90" w:type="dxa"/>
            </w:tcMar>
            <w:vAlign w:val="center"/>
          </w:tcPr>
          <w:p w14:paraId="593AEA21" w14:textId="77777777" w:rsidR="00C17922" w:rsidRDefault="00000000">
            <w:r>
              <w:t>Data sharing policies</w:t>
            </w:r>
          </w:p>
        </w:tc>
        <w:tc>
          <w:tcPr>
            <w:tcW w:w="4896" w:type="dxa"/>
            <w:tcMar>
              <w:top w:w="80" w:type="dxa"/>
              <w:left w:w="90" w:type="dxa"/>
              <w:bottom w:w="80" w:type="dxa"/>
              <w:right w:w="90" w:type="dxa"/>
            </w:tcMar>
            <w:vAlign w:val="center"/>
          </w:tcPr>
          <w:p w14:paraId="4434EA9A" w14:textId="77777777" w:rsidR="00C17922" w:rsidRDefault="00000000">
            <w:r>
              <w:t>Amazon shares information within its corporate ecosystem and with third parties as needed to complete transactions, deliver products and services, comply with law, support advertising, and prevent fraud. The policy signals that sharing is tied to operational, legal, and risk-management needs rather than only account administration.</w:t>
            </w:r>
          </w:p>
        </w:tc>
      </w:tr>
      <w:tr w:rsidR="00C17922" w14:paraId="0403B279" w14:textId="77777777">
        <w:trPr>
          <w:jc w:val="center"/>
        </w:trPr>
        <w:tc>
          <w:tcPr>
            <w:tcW w:w="4896" w:type="dxa"/>
            <w:shd w:val="clear" w:color="auto" w:fill="EAF3F8"/>
            <w:tcMar>
              <w:top w:w="80" w:type="dxa"/>
              <w:left w:w="90" w:type="dxa"/>
              <w:bottom w:w="80" w:type="dxa"/>
              <w:right w:w="90" w:type="dxa"/>
            </w:tcMar>
            <w:vAlign w:val="center"/>
          </w:tcPr>
          <w:p w14:paraId="7E0A8257" w14:textId="77777777" w:rsidR="00C17922" w:rsidRDefault="00000000">
            <w:r>
              <w:t>User rights</w:t>
            </w:r>
          </w:p>
        </w:tc>
        <w:tc>
          <w:tcPr>
            <w:tcW w:w="4896" w:type="dxa"/>
            <w:tcMar>
              <w:top w:w="80" w:type="dxa"/>
              <w:left w:w="90" w:type="dxa"/>
              <w:bottom w:w="80" w:type="dxa"/>
              <w:right w:w="90" w:type="dxa"/>
            </w:tcMar>
            <w:vAlign w:val="center"/>
          </w:tcPr>
          <w:p w14:paraId="74372E9A" w14:textId="77777777" w:rsidR="00C17922" w:rsidRDefault="00000000">
            <w:r>
              <w:t>The policy indicates that users can access account information and exercise choices through account settings, state-specific disclosures, and privacy-related notices. The rights discussion is present but less explicit in the uploaded excerpt than some newer state-law style policies.</w:t>
            </w:r>
          </w:p>
        </w:tc>
      </w:tr>
      <w:tr w:rsidR="00C17922" w14:paraId="21934829" w14:textId="77777777">
        <w:trPr>
          <w:jc w:val="center"/>
        </w:trPr>
        <w:tc>
          <w:tcPr>
            <w:tcW w:w="4896" w:type="dxa"/>
            <w:shd w:val="clear" w:color="auto" w:fill="EAF3F8"/>
            <w:tcMar>
              <w:top w:w="80" w:type="dxa"/>
              <w:left w:w="90" w:type="dxa"/>
              <w:bottom w:w="80" w:type="dxa"/>
              <w:right w:w="90" w:type="dxa"/>
            </w:tcMar>
            <w:vAlign w:val="center"/>
          </w:tcPr>
          <w:p w14:paraId="1CE28E6C" w14:textId="77777777" w:rsidR="00C17922" w:rsidRDefault="00000000">
            <w:r>
              <w:t>Opt-out provisions</w:t>
            </w:r>
          </w:p>
        </w:tc>
        <w:tc>
          <w:tcPr>
            <w:tcW w:w="4896" w:type="dxa"/>
            <w:tcMar>
              <w:top w:w="80" w:type="dxa"/>
              <w:left w:w="90" w:type="dxa"/>
              <w:bottom w:w="80" w:type="dxa"/>
              <w:right w:w="90" w:type="dxa"/>
            </w:tcMar>
            <w:vAlign w:val="center"/>
          </w:tcPr>
          <w:p w14:paraId="3A7E7D22" w14:textId="77777777" w:rsidR="00C17922" w:rsidRDefault="00000000">
            <w:r>
              <w:t>Users can limit some data practices by not providing certain information, managing cookies, and adjusting advertising-related choices. The policy makes clear that declining some information or disabling certain technologies may reduce service functionality.</w:t>
            </w:r>
          </w:p>
        </w:tc>
      </w:tr>
      <w:tr w:rsidR="00C17922" w14:paraId="4CF7B80E" w14:textId="77777777">
        <w:trPr>
          <w:jc w:val="center"/>
        </w:trPr>
        <w:tc>
          <w:tcPr>
            <w:tcW w:w="4896" w:type="dxa"/>
            <w:shd w:val="clear" w:color="auto" w:fill="EAF3F8"/>
            <w:tcMar>
              <w:top w:w="80" w:type="dxa"/>
              <w:left w:w="90" w:type="dxa"/>
              <w:bottom w:w="80" w:type="dxa"/>
              <w:right w:w="90" w:type="dxa"/>
            </w:tcMar>
            <w:vAlign w:val="center"/>
          </w:tcPr>
          <w:p w14:paraId="2A441953" w14:textId="77777777" w:rsidR="00C17922" w:rsidRDefault="00000000">
            <w:r>
              <w:t>Update procedures</w:t>
            </w:r>
          </w:p>
        </w:tc>
        <w:tc>
          <w:tcPr>
            <w:tcW w:w="4896" w:type="dxa"/>
            <w:tcMar>
              <w:top w:w="80" w:type="dxa"/>
              <w:left w:w="90" w:type="dxa"/>
              <w:bottom w:w="80" w:type="dxa"/>
              <w:right w:w="90" w:type="dxa"/>
            </w:tcMar>
            <w:vAlign w:val="center"/>
          </w:tcPr>
          <w:p w14:paraId="118C431F" w14:textId="77777777" w:rsidR="00C17922" w:rsidRDefault="00000000">
            <w:r>
              <w:t>Amazon identifies the policy date and links to a prior version. It also points users to additional state-specific disclosures, which suggests a rolling update model tied to both policy revisions and changing state-law requirements.</w:t>
            </w:r>
          </w:p>
        </w:tc>
      </w:tr>
    </w:tbl>
    <w:p w14:paraId="565CC8FA" w14:textId="77777777" w:rsidR="00C17922" w:rsidRDefault="00C17922"/>
    <w:p w14:paraId="4096FB22" w14:textId="77777777" w:rsidR="00C17922" w:rsidRDefault="00000000">
      <w:pPr>
        <w:pStyle w:val="Heading2"/>
      </w:pPr>
      <w:r>
        <w:t>Comfrt</w:t>
      </w:r>
    </w:p>
    <w:tbl>
      <w:tblPr>
        <w:tblStyle w:val="TableGrid"/>
        <w:tblW w:w="0" w:type="auto"/>
        <w:jc w:val="center"/>
        <w:tblLook w:val="04A0" w:firstRow="1" w:lastRow="0" w:firstColumn="1" w:lastColumn="0" w:noHBand="0" w:noVBand="1"/>
      </w:tblPr>
      <w:tblGrid>
        <w:gridCol w:w="4896"/>
        <w:gridCol w:w="4896"/>
      </w:tblGrid>
      <w:tr w:rsidR="00C17922" w14:paraId="57857597" w14:textId="77777777">
        <w:trPr>
          <w:jc w:val="center"/>
        </w:trPr>
        <w:tc>
          <w:tcPr>
            <w:tcW w:w="4896" w:type="dxa"/>
            <w:shd w:val="clear" w:color="auto" w:fill="EAF3F8"/>
            <w:tcMar>
              <w:top w:w="80" w:type="dxa"/>
              <w:left w:w="90" w:type="dxa"/>
              <w:bottom w:w="80" w:type="dxa"/>
              <w:right w:w="90" w:type="dxa"/>
            </w:tcMar>
            <w:vAlign w:val="center"/>
          </w:tcPr>
          <w:p w14:paraId="7B2D18CC" w14:textId="77777777" w:rsidR="00C17922" w:rsidRDefault="00000000">
            <w:r>
              <w:t>Policy date</w:t>
            </w:r>
          </w:p>
        </w:tc>
        <w:tc>
          <w:tcPr>
            <w:tcW w:w="4896" w:type="dxa"/>
            <w:tcMar>
              <w:top w:w="80" w:type="dxa"/>
              <w:left w:w="90" w:type="dxa"/>
              <w:bottom w:w="80" w:type="dxa"/>
              <w:right w:w="90" w:type="dxa"/>
            </w:tcMar>
            <w:vAlign w:val="center"/>
          </w:tcPr>
          <w:p w14:paraId="0C1D34F6" w14:textId="77777777" w:rsidR="00C17922" w:rsidRDefault="00000000">
            <w:r>
              <w:t>Last updated March 13, 2026</w:t>
            </w:r>
          </w:p>
        </w:tc>
      </w:tr>
      <w:tr w:rsidR="00C17922" w14:paraId="5E1465D8" w14:textId="77777777">
        <w:trPr>
          <w:jc w:val="center"/>
        </w:trPr>
        <w:tc>
          <w:tcPr>
            <w:tcW w:w="4896" w:type="dxa"/>
            <w:shd w:val="clear" w:color="auto" w:fill="EAF3F8"/>
            <w:tcMar>
              <w:top w:w="80" w:type="dxa"/>
              <w:left w:w="90" w:type="dxa"/>
              <w:bottom w:w="80" w:type="dxa"/>
              <w:right w:w="90" w:type="dxa"/>
            </w:tcMar>
            <w:vAlign w:val="center"/>
          </w:tcPr>
          <w:p w14:paraId="35FD12D9" w14:textId="77777777" w:rsidR="00C17922" w:rsidRDefault="00000000">
            <w:r>
              <w:lastRenderedPageBreak/>
              <w:t>Data collection practices</w:t>
            </w:r>
          </w:p>
        </w:tc>
        <w:tc>
          <w:tcPr>
            <w:tcW w:w="4896" w:type="dxa"/>
            <w:tcMar>
              <w:top w:w="80" w:type="dxa"/>
              <w:left w:w="90" w:type="dxa"/>
              <w:bottom w:w="80" w:type="dxa"/>
              <w:right w:w="90" w:type="dxa"/>
            </w:tcMar>
            <w:vAlign w:val="center"/>
          </w:tcPr>
          <w:p w14:paraId="48C8E560" w14:textId="77777777" w:rsidR="00C17922" w:rsidRDefault="00000000">
            <w:r>
              <w:t>Comfrt describes the collection and handling of personal information on its site and mobile applications and specifically references cookies, similar tracking technologies, and Google Analytics. The policy is narrower than the larger platform policies and is centered on web and app interactions rather than a complex ecosystem of services.</w:t>
            </w:r>
          </w:p>
        </w:tc>
      </w:tr>
      <w:tr w:rsidR="00C17922" w14:paraId="49D272E2" w14:textId="77777777">
        <w:trPr>
          <w:jc w:val="center"/>
        </w:trPr>
        <w:tc>
          <w:tcPr>
            <w:tcW w:w="4896" w:type="dxa"/>
            <w:shd w:val="clear" w:color="auto" w:fill="EAF3F8"/>
            <w:tcMar>
              <w:top w:w="80" w:type="dxa"/>
              <w:left w:w="90" w:type="dxa"/>
              <w:bottom w:w="80" w:type="dxa"/>
              <w:right w:w="90" w:type="dxa"/>
            </w:tcMar>
            <w:vAlign w:val="center"/>
          </w:tcPr>
          <w:p w14:paraId="4F9404BB" w14:textId="77777777" w:rsidR="00C17922" w:rsidRDefault="00000000">
            <w:r>
              <w:t>Data sharing policies</w:t>
            </w:r>
          </w:p>
        </w:tc>
        <w:tc>
          <w:tcPr>
            <w:tcW w:w="4896" w:type="dxa"/>
            <w:tcMar>
              <w:top w:w="80" w:type="dxa"/>
              <w:left w:w="90" w:type="dxa"/>
              <w:bottom w:w="80" w:type="dxa"/>
              <w:right w:w="90" w:type="dxa"/>
            </w:tcMar>
            <w:vAlign w:val="center"/>
          </w:tcPr>
          <w:p w14:paraId="7C865E09" w14:textId="77777777" w:rsidR="00C17922" w:rsidRDefault="00000000">
            <w:r>
              <w:t>Comfrt discloses information with service providers and third parties involved in analytics, site operation, marketing, and related business support. The policy also warns users that third parties may have separate privacy policies.</w:t>
            </w:r>
          </w:p>
        </w:tc>
      </w:tr>
      <w:tr w:rsidR="00C17922" w14:paraId="3BCD08CA" w14:textId="77777777">
        <w:trPr>
          <w:jc w:val="center"/>
        </w:trPr>
        <w:tc>
          <w:tcPr>
            <w:tcW w:w="4896" w:type="dxa"/>
            <w:shd w:val="clear" w:color="auto" w:fill="EAF3F8"/>
            <w:tcMar>
              <w:top w:w="80" w:type="dxa"/>
              <w:left w:w="90" w:type="dxa"/>
              <w:bottom w:w="80" w:type="dxa"/>
              <w:right w:w="90" w:type="dxa"/>
            </w:tcMar>
            <w:vAlign w:val="center"/>
          </w:tcPr>
          <w:p w14:paraId="298E2C6F" w14:textId="77777777" w:rsidR="00C17922" w:rsidRDefault="00000000">
            <w:r>
              <w:t>User rights</w:t>
            </w:r>
          </w:p>
        </w:tc>
        <w:tc>
          <w:tcPr>
            <w:tcW w:w="4896" w:type="dxa"/>
            <w:tcMar>
              <w:top w:w="80" w:type="dxa"/>
              <w:left w:w="90" w:type="dxa"/>
              <w:bottom w:w="80" w:type="dxa"/>
              <w:right w:w="90" w:type="dxa"/>
            </w:tcMar>
            <w:vAlign w:val="center"/>
          </w:tcPr>
          <w:p w14:paraId="4E4B5A1E" w14:textId="77777777" w:rsidR="00C17922" w:rsidRDefault="00000000">
            <w:r>
              <w:t>Comfrt includes sections for accessing and correcting personal information and separate sections for U.S. state, California, UK and EU, and Canadian privacy rights. This shows that rights are recognized, but the policy appears less detailed and less operationally rich than the policies from larger technology firms.</w:t>
            </w:r>
          </w:p>
        </w:tc>
      </w:tr>
      <w:tr w:rsidR="00C17922" w14:paraId="1198F406" w14:textId="77777777">
        <w:trPr>
          <w:jc w:val="center"/>
        </w:trPr>
        <w:tc>
          <w:tcPr>
            <w:tcW w:w="4896" w:type="dxa"/>
            <w:shd w:val="clear" w:color="auto" w:fill="EAF3F8"/>
            <w:tcMar>
              <w:top w:w="80" w:type="dxa"/>
              <w:left w:w="90" w:type="dxa"/>
              <w:bottom w:w="80" w:type="dxa"/>
              <w:right w:w="90" w:type="dxa"/>
            </w:tcMar>
            <w:vAlign w:val="center"/>
          </w:tcPr>
          <w:p w14:paraId="43D709B2" w14:textId="77777777" w:rsidR="00C17922" w:rsidRDefault="00000000">
            <w:r>
              <w:t>Opt-out provisions</w:t>
            </w:r>
          </w:p>
        </w:tc>
        <w:tc>
          <w:tcPr>
            <w:tcW w:w="4896" w:type="dxa"/>
            <w:tcMar>
              <w:top w:w="80" w:type="dxa"/>
              <w:left w:w="90" w:type="dxa"/>
              <w:bottom w:w="80" w:type="dxa"/>
              <w:right w:w="90" w:type="dxa"/>
            </w:tcMar>
            <w:vAlign w:val="center"/>
          </w:tcPr>
          <w:p w14:paraId="2B9BC31D" w14:textId="77777777" w:rsidR="00C17922" w:rsidRDefault="00000000">
            <w:r>
              <w:t>The policy includes user choices about collection, use, and disclosure, and it implies cookie-based and marketing-related controls. However, the opt-out structure appears more limited and less granular than in the largest companies’ dashboards.</w:t>
            </w:r>
          </w:p>
        </w:tc>
      </w:tr>
      <w:tr w:rsidR="00C17922" w14:paraId="4BA820B0" w14:textId="77777777">
        <w:trPr>
          <w:jc w:val="center"/>
        </w:trPr>
        <w:tc>
          <w:tcPr>
            <w:tcW w:w="4896" w:type="dxa"/>
            <w:shd w:val="clear" w:color="auto" w:fill="EAF3F8"/>
            <w:tcMar>
              <w:top w:w="80" w:type="dxa"/>
              <w:left w:w="90" w:type="dxa"/>
              <w:bottom w:w="80" w:type="dxa"/>
              <w:right w:w="90" w:type="dxa"/>
            </w:tcMar>
            <w:vAlign w:val="center"/>
          </w:tcPr>
          <w:p w14:paraId="33D63E68" w14:textId="77777777" w:rsidR="00C17922" w:rsidRDefault="00000000">
            <w:r>
              <w:t>Update procedures</w:t>
            </w:r>
          </w:p>
        </w:tc>
        <w:tc>
          <w:tcPr>
            <w:tcW w:w="4896" w:type="dxa"/>
            <w:tcMar>
              <w:top w:w="80" w:type="dxa"/>
              <w:left w:w="90" w:type="dxa"/>
              <w:bottom w:w="80" w:type="dxa"/>
              <w:right w:w="90" w:type="dxa"/>
            </w:tcMar>
            <w:vAlign w:val="center"/>
          </w:tcPr>
          <w:p w14:paraId="3D24E669" w14:textId="77777777" w:rsidR="00C17922" w:rsidRDefault="00000000">
            <w:r>
              <w:t>Comfrt states that the policy may change from time to time and that continued use of the site after revision means the user accepts the changes. Users are told to check the policy periodically for updates.</w:t>
            </w:r>
          </w:p>
        </w:tc>
      </w:tr>
    </w:tbl>
    <w:p w14:paraId="0BFAD1EA" w14:textId="77777777" w:rsidR="00C17922" w:rsidRDefault="00C17922"/>
    <w:p w14:paraId="3053A68C" w14:textId="77777777" w:rsidR="00C17922" w:rsidRDefault="00000000">
      <w:pPr>
        <w:pStyle w:val="Heading2"/>
      </w:pPr>
      <w:r>
        <w:t>GitHub</w:t>
      </w:r>
    </w:p>
    <w:tbl>
      <w:tblPr>
        <w:tblStyle w:val="TableGrid"/>
        <w:tblW w:w="0" w:type="auto"/>
        <w:jc w:val="center"/>
        <w:tblLook w:val="04A0" w:firstRow="1" w:lastRow="0" w:firstColumn="1" w:lastColumn="0" w:noHBand="0" w:noVBand="1"/>
      </w:tblPr>
      <w:tblGrid>
        <w:gridCol w:w="4896"/>
        <w:gridCol w:w="4896"/>
      </w:tblGrid>
      <w:tr w:rsidR="00C17922" w14:paraId="6226D56B" w14:textId="77777777">
        <w:trPr>
          <w:jc w:val="center"/>
        </w:trPr>
        <w:tc>
          <w:tcPr>
            <w:tcW w:w="4896" w:type="dxa"/>
            <w:shd w:val="clear" w:color="auto" w:fill="EAF3F8"/>
            <w:tcMar>
              <w:top w:w="80" w:type="dxa"/>
              <w:left w:w="90" w:type="dxa"/>
              <w:bottom w:w="80" w:type="dxa"/>
              <w:right w:w="90" w:type="dxa"/>
            </w:tcMar>
            <w:vAlign w:val="center"/>
          </w:tcPr>
          <w:p w14:paraId="1429069A" w14:textId="77777777" w:rsidR="00C17922" w:rsidRDefault="00000000">
            <w:r>
              <w:t>Policy date</w:t>
            </w:r>
          </w:p>
        </w:tc>
        <w:tc>
          <w:tcPr>
            <w:tcW w:w="4896" w:type="dxa"/>
            <w:tcMar>
              <w:top w:w="80" w:type="dxa"/>
              <w:left w:w="90" w:type="dxa"/>
              <w:bottom w:w="80" w:type="dxa"/>
              <w:right w:w="90" w:type="dxa"/>
            </w:tcMar>
            <w:vAlign w:val="center"/>
          </w:tcPr>
          <w:p w14:paraId="04EF0F33" w14:textId="77777777" w:rsidR="00C17922" w:rsidRDefault="00000000">
            <w:r>
              <w:t>Effective February 1, 2024</w:t>
            </w:r>
          </w:p>
        </w:tc>
      </w:tr>
      <w:tr w:rsidR="00C17922" w14:paraId="37CA86CE" w14:textId="77777777">
        <w:trPr>
          <w:jc w:val="center"/>
        </w:trPr>
        <w:tc>
          <w:tcPr>
            <w:tcW w:w="4896" w:type="dxa"/>
            <w:shd w:val="clear" w:color="auto" w:fill="EAF3F8"/>
            <w:tcMar>
              <w:top w:w="80" w:type="dxa"/>
              <w:left w:w="90" w:type="dxa"/>
              <w:bottom w:w="80" w:type="dxa"/>
              <w:right w:w="90" w:type="dxa"/>
            </w:tcMar>
            <w:vAlign w:val="center"/>
          </w:tcPr>
          <w:p w14:paraId="06D64510" w14:textId="77777777" w:rsidR="00C17922" w:rsidRDefault="00000000">
            <w:r>
              <w:t>Data collection practices</w:t>
            </w:r>
          </w:p>
        </w:tc>
        <w:tc>
          <w:tcPr>
            <w:tcW w:w="4896" w:type="dxa"/>
            <w:tcMar>
              <w:top w:w="80" w:type="dxa"/>
              <w:left w:w="90" w:type="dxa"/>
              <w:bottom w:w="80" w:type="dxa"/>
              <w:right w:w="90" w:type="dxa"/>
            </w:tcMar>
            <w:vAlign w:val="center"/>
          </w:tcPr>
          <w:p w14:paraId="65242C76" w14:textId="77777777" w:rsidR="00C17922" w:rsidRDefault="00000000">
            <w:r>
              <w:t>GitHub collects account data, payment data, profile information, user content and files, support and feedback data, cookie and analytics data, geolocation information, service usage information, website interaction data, and information from third parties and linked services. The policy is especially clear that the exact data collected depends on product features and whether the account is organization-provided.</w:t>
            </w:r>
          </w:p>
        </w:tc>
      </w:tr>
      <w:tr w:rsidR="00C17922" w14:paraId="5E5700E3" w14:textId="77777777">
        <w:trPr>
          <w:jc w:val="center"/>
        </w:trPr>
        <w:tc>
          <w:tcPr>
            <w:tcW w:w="4896" w:type="dxa"/>
            <w:shd w:val="clear" w:color="auto" w:fill="EAF3F8"/>
            <w:tcMar>
              <w:top w:w="80" w:type="dxa"/>
              <w:left w:w="90" w:type="dxa"/>
              <w:bottom w:w="80" w:type="dxa"/>
              <w:right w:w="90" w:type="dxa"/>
            </w:tcMar>
            <w:vAlign w:val="center"/>
          </w:tcPr>
          <w:p w14:paraId="6FA261CD" w14:textId="77777777" w:rsidR="00C17922" w:rsidRDefault="00000000">
            <w:r>
              <w:t>Data sharing policies</w:t>
            </w:r>
          </w:p>
        </w:tc>
        <w:tc>
          <w:tcPr>
            <w:tcW w:w="4896" w:type="dxa"/>
            <w:tcMar>
              <w:top w:w="80" w:type="dxa"/>
              <w:left w:w="90" w:type="dxa"/>
              <w:bottom w:w="80" w:type="dxa"/>
              <w:right w:w="90" w:type="dxa"/>
            </w:tcMar>
            <w:vAlign w:val="center"/>
          </w:tcPr>
          <w:p w14:paraId="438EF4ED" w14:textId="77777777" w:rsidR="00C17922" w:rsidRDefault="00000000">
            <w:r>
              <w:t xml:space="preserve">GitHub shares personal data with third-party extensions and integrations and, in organization-provided accounts, may process data under the instructions of the organization acting as data controller. The controller versus processor distinction is one of the most explicit governance </w:t>
            </w:r>
            <w:r>
              <w:lastRenderedPageBreak/>
              <w:t>features in the set of policies.</w:t>
            </w:r>
          </w:p>
        </w:tc>
      </w:tr>
      <w:tr w:rsidR="00C17922" w14:paraId="52076273" w14:textId="77777777">
        <w:trPr>
          <w:jc w:val="center"/>
        </w:trPr>
        <w:tc>
          <w:tcPr>
            <w:tcW w:w="4896" w:type="dxa"/>
            <w:shd w:val="clear" w:color="auto" w:fill="EAF3F8"/>
            <w:tcMar>
              <w:top w:w="80" w:type="dxa"/>
              <w:left w:w="90" w:type="dxa"/>
              <w:bottom w:w="80" w:type="dxa"/>
              <w:right w:w="90" w:type="dxa"/>
            </w:tcMar>
            <w:vAlign w:val="center"/>
          </w:tcPr>
          <w:p w14:paraId="4AC9E7AB" w14:textId="77777777" w:rsidR="00C17922" w:rsidRDefault="00000000">
            <w:r>
              <w:lastRenderedPageBreak/>
              <w:t>User rights</w:t>
            </w:r>
          </w:p>
        </w:tc>
        <w:tc>
          <w:tcPr>
            <w:tcW w:w="4896" w:type="dxa"/>
            <w:tcMar>
              <w:top w:w="80" w:type="dxa"/>
              <w:left w:w="90" w:type="dxa"/>
              <w:bottom w:w="80" w:type="dxa"/>
              <w:right w:w="90" w:type="dxa"/>
            </w:tcMar>
            <w:vAlign w:val="center"/>
          </w:tcPr>
          <w:p w14:paraId="3EC977D8" w14:textId="77777777" w:rsidR="00C17922" w:rsidRDefault="00000000">
            <w:r>
              <w:t>GitHub states that privacy rights are available and that data-controller status affects how those rights apply. This is important because an employer or school may control much of the data in organization-managed accounts.</w:t>
            </w:r>
          </w:p>
        </w:tc>
      </w:tr>
      <w:tr w:rsidR="00C17922" w14:paraId="1A72B686" w14:textId="77777777">
        <w:trPr>
          <w:jc w:val="center"/>
        </w:trPr>
        <w:tc>
          <w:tcPr>
            <w:tcW w:w="4896" w:type="dxa"/>
            <w:shd w:val="clear" w:color="auto" w:fill="EAF3F8"/>
            <w:tcMar>
              <w:top w:w="80" w:type="dxa"/>
              <w:left w:w="90" w:type="dxa"/>
              <w:bottom w:w="80" w:type="dxa"/>
              <w:right w:w="90" w:type="dxa"/>
            </w:tcMar>
            <w:vAlign w:val="center"/>
          </w:tcPr>
          <w:p w14:paraId="0058AC79" w14:textId="77777777" w:rsidR="00C17922" w:rsidRDefault="00000000">
            <w:r>
              <w:t>Opt-out provisions</w:t>
            </w:r>
          </w:p>
        </w:tc>
        <w:tc>
          <w:tcPr>
            <w:tcW w:w="4896" w:type="dxa"/>
            <w:tcMar>
              <w:top w:w="80" w:type="dxa"/>
              <w:left w:w="90" w:type="dxa"/>
              <w:bottom w:w="80" w:type="dxa"/>
              <w:right w:w="90" w:type="dxa"/>
            </w:tcMar>
            <w:vAlign w:val="center"/>
          </w:tcPr>
          <w:p w14:paraId="64DD5780" w14:textId="77777777" w:rsidR="00C17922" w:rsidRDefault="00000000">
            <w:r>
              <w:t>GitHub differentiates between essential cookies and non-essential cookies and states that, in some jurisdictions, non-essential cookies are used only after consent. This creates a clearer consent-based model for some tracking practices than several U.S.-centric policies.</w:t>
            </w:r>
          </w:p>
        </w:tc>
      </w:tr>
      <w:tr w:rsidR="00C17922" w14:paraId="1FDB0338" w14:textId="77777777">
        <w:trPr>
          <w:jc w:val="center"/>
        </w:trPr>
        <w:tc>
          <w:tcPr>
            <w:tcW w:w="4896" w:type="dxa"/>
            <w:shd w:val="clear" w:color="auto" w:fill="EAF3F8"/>
            <w:tcMar>
              <w:top w:w="80" w:type="dxa"/>
              <w:left w:w="90" w:type="dxa"/>
              <w:bottom w:w="80" w:type="dxa"/>
              <w:right w:w="90" w:type="dxa"/>
            </w:tcMar>
            <w:vAlign w:val="center"/>
          </w:tcPr>
          <w:p w14:paraId="3DD0FF8E" w14:textId="77777777" w:rsidR="00C17922" w:rsidRDefault="00000000">
            <w:r>
              <w:t>Update procedures</w:t>
            </w:r>
          </w:p>
        </w:tc>
        <w:tc>
          <w:tcPr>
            <w:tcW w:w="4896" w:type="dxa"/>
            <w:tcMar>
              <w:top w:w="80" w:type="dxa"/>
              <w:left w:w="90" w:type="dxa"/>
              <w:bottom w:w="80" w:type="dxa"/>
              <w:right w:w="90" w:type="dxa"/>
            </w:tcMar>
            <w:vAlign w:val="center"/>
          </w:tcPr>
          <w:p w14:paraId="15E8D25D" w14:textId="77777777" w:rsidR="00C17922" w:rsidRDefault="00000000">
            <w:r>
              <w:t>GitHub includes a change-management section for the privacy statement and documents the governing effective date. The policy structure is formal, modular, and internationally oriented.</w:t>
            </w:r>
          </w:p>
        </w:tc>
      </w:tr>
    </w:tbl>
    <w:p w14:paraId="30172F1F" w14:textId="77777777" w:rsidR="00C17922" w:rsidRDefault="00C17922"/>
    <w:p w14:paraId="04777F73" w14:textId="77777777" w:rsidR="00C17922" w:rsidRDefault="00000000">
      <w:pPr>
        <w:pStyle w:val="Heading2"/>
      </w:pPr>
      <w:r>
        <w:t>Apple</w:t>
      </w:r>
    </w:p>
    <w:tbl>
      <w:tblPr>
        <w:tblStyle w:val="TableGrid"/>
        <w:tblW w:w="0" w:type="auto"/>
        <w:jc w:val="center"/>
        <w:tblLook w:val="04A0" w:firstRow="1" w:lastRow="0" w:firstColumn="1" w:lastColumn="0" w:noHBand="0" w:noVBand="1"/>
      </w:tblPr>
      <w:tblGrid>
        <w:gridCol w:w="4896"/>
        <w:gridCol w:w="4896"/>
      </w:tblGrid>
      <w:tr w:rsidR="00C17922" w14:paraId="44DB639F" w14:textId="77777777">
        <w:trPr>
          <w:jc w:val="center"/>
        </w:trPr>
        <w:tc>
          <w:tcPr>
            <w:tcW w:w="4896" w:type="dxa"/>
            <w:shd w:val="clear" w:color="auto" w:fill="EAF3F8"/>
            <w:tcMar>
              <w:top w:w="80" w:type="dxa"/>
              <w:left w:w="90" w:type="dxa"/>
              <w:bottom w:w="80" w:type="dxa"/>
              <w:right w:w="90" w:type="dxa"/>
            </w:tcMar>
            <w:vAlign w:val="center"/>
          </w:tcPr>
          <w:p w14:paraId="77610151" w14:textId="77777777" w:rsidR="00C17922" w:rsidRDefault="00000000">
            <w:r>
              <w:t>Policy date</w:t>
            </w:r>
          </w:p>
        </w:tc>
        <w:tc>
          <w:tcPr>
            <w:tcW w:w="4896" w:type="dxa"/>
            <w:tcMar>
              <w:top w:w="80" w:type="dxa"/>
              <w:left w:w="90" w:type="dxa"/>
              <w:bottom w:w="80" w:type="dxa"/>
              <w:right w:w="90" w:type="dxa"/>
            </w:tcMar>
            <w:vAlign w:val="center"/>
          </w:tcPr>
          <w:p w14:paraId="5F7C7683" w14:textId="77777777" w:rsidR="00C17922" w:rsidRDefault="00000000">
            <w:r>
              <w:t>Updated July 30, 2025</w:t>
            </w:r>
          </w:p>
        </w:tc>
      </w:tr>
      <w:tr w:rsidR="00C17922" w14:paraId="2A888654" w14:textId="77777777">
        <w:trPr>
          <w:jc w:val="center"/>
        </w:trPr>
        <w:tc>
          <w:tcPr>
            <w:tcW w:w="4896" w:type="dxa"/>
            <w:shd w:val="clear" w:color="auto" w:fill="EAF3F8"/>
            <w:tcMar>
              <w:top w:w="80" w:type="dxa"/>
              <w:left w:w="90" w:type="dxa"/>
              <w:bottom w:w="80" w:type="dxa"/>
              <w:right w:w="90" w:type="dxa"/>
            </w:tcMar>
            <w:vAlign w:val="center"/>
          </w:tcPr>
          <w:p w14:paraId="2F89910C" w14:textId="77777777" w:rsidR="00C17922" w:rsidRDefault="00000000">
            <w:r>
              <w:t>Data collection practices</w:t>
            </w:r>
          </w:p>
        </w:tc>
        <w:tc>
          <w:tcPr>
            <w:tcW w:w="4896" w:type="dxa"/>
            <w:tcMar>
              <w:top w:w="80" w:type="dxa"/>
              <w:left w:w="90" w:type="dxa"/>
              <w:bottom w:w="80" w:type="dxa"/>
              <w:right w:w="90" w:type="dxa"/>
            </w:tcMar>
            <w:vAlign w:val="center"/>
          </w:tcPr>
          <w:p w14:paraId="4B8E3B5F" w14:textId="77777777" w:rsidR="00C17922" w:rsidRDefault="00000000">
            <w:r>
              <w:t>Apple states that it collects personal data from users, receives data from other sources, and provides additional data-and-privacy information inside products and features before users engage with certain data uses. This layered notice model is more product-embedded than many of the other policies.</w:t>
            </w:r>
          </w:p>
        </w:tc>
      </w:tr>
      <w:tr w:rsidR="00C17922" w14:paraId="1F1438FF" w14:textId="77777777">
        <w:trPr>
          <w:jc w:val="center"/>
        </w:trPr>
        <w:tc>
          <w:tcPr>
            <w:tcW w:w="4896" w:type="dxa"/>
            <w:shd w:val="clear" w:color="auto" w:fill="EAF3F8"/>
            <w:tcMar>
              <w:top w:w="80" w:type="dxa"/>
              <w:left w:w="90" w:type="dxa"/>
              <w:bottom w:w="80" w:type="dxa"/>
              <w:right w:w="90" w:type="dxa"/>
            </w:tcMar>
            <w:vAlign w:val="center"/>
          </w:tcPr>
          <w:p w14:paraId="5295FDAF" w14:textId="77777777" w:rsidR="00C17922" w:rsidRDefault="00000000">
            <w:r>
              <w:t>Data sharing policies</w:t>
            </w:r>
          </w:p>
        </w:tc>
        <w:tc>
          <w:tcPr>
            <w:tcW w:w="4896" w:type="dxa"/>
            <w:tcMar>
              <w:top w:w="80" w:type="dxa"/>
              <w:left w:w="90" w:type="dxa"/>
              <w:bottom w:w="80" w:type="dxa"/>
              <w:right w:w="90" w:type="dxa"/>
            </w:tcMar>
            <w:vAlign w:val="center"/>
          </w:tcPr>
          <w:p w14:paraId="5F32131D" w14:textId="77777777" w:rsidR="00C17922" w:rsidRDefault="00000000">
            <w:r>
              <w:t>Apple includes a dedicated section on sharing of personal data and generally presents sharing within a privacy-forward framework. Based on the policy structure, the emphasis is on explaining categories of sharing and pairing them with product-level controls.</w:t>
            </w:r>
          </w:p>
        </w:tc>
      </w:tr>
      <w:tr w:rsidR="00C17922" w14:paraId="7F50F00A" w14:textId="77777777">
        <w:trPr>
          <w:jc w:val="center"/>
        </w:trPr>
        <w:tc>
          <w:tcPr>
            <w:tcW w:w="4896" w:type="dxa"/>
            <w:shd w:val="clear" w:color="auto" w:fill="EAF3F8"/>
            <w:tcMar>
              <w:top w:w="80" w:type="dxa"/>
              <w:left w:w="90" w:type="dxa"/>
              <w:bottom w:w="80" w:type="dxa"/>
              <w:right w:w="90" w:type="dxa"/>
            </w:tcMar>
            <w:vAlign w:val="center"/>
          </w:tcPr>
          <w:p w14:paraId="65DB52F8" w14:textId="77777777" w:rsidR="00C17922" w:rsidRDefault="00000000">
            <w:r>
              <w:t>User rights</w:t>
            </w:r>
          </w:p>
        </w:tc>
        <w:tc>
          <w:tcPr>
            <w:tcW w:w="4896" w:type="dxa"/>
            <w:tcMar>
              <w:top w:w="80" w:type="dxa"/>
              <w:left w:w="90" w:type="dxa"/>
              <w:bottom w:w="80" w:type="dxa"/>
              <w:right w:w="90" w:type="dxa"/>
            </w:tcMar>
            <w:vAlign w:val="center"/>
          </w:tcPr>
          <w:p w14:paraId="2A0AE71C" w14:textId="77777777" w:rsidR="00C17922" w:rsidRDefault="00000000">
            <w:r>
              <w:t>Apple clearly identifies a section on privacy rights, provides California disclosures, and points users to product-level data-and-privacy notices and settings. Among the uploaded policies, Apple appears especially focused on user-facing transparency and control design.</w:t>
            </w:r>
          </w:p>
        </w:tc>
      </w:tr>
      <w:tr w:rsidR="00C17922" w14:paraId="1C7F23AD" w14:textId="77777777">
        <w:trPr>
          <w:jc w:val="center"/>
        </w:trPr>
        <w:tc>
          <w:tcPr>
            <w:tcW w:w="4896" w:type="dxa"/>
            <w:shd w:val="clear" w:color="auto" w:fill="EAF3F8"/>
            <w:tcMar>
              <w:top w:w="80" w:type="dxa"/>
              <w:left w:w="90" w:type="dxa"/>
              <w:bottom w:w="80" w:type="dxa"/>
              <w:right w:w="90" w:type="dxa"/>
            </w:tcMar>
            <w:vAlign w:val="center"/>
          </w:tcPr>
          <w:p w14:paraId="5F15ABCA" w14:textId="77777777" w:rsidR="00C17922" w:rsidRDefault="00000000">
            <w:r>
              <w:t>Opt-out provisions</w:t>
            </w:r>
          </w:p>
        </w:tc>
        <w:tc>
          <w:tcPr>
            <w:tcW w:w="4896" w:type="dxa"/>
            <w:tcMar>
              <w:top w:w="80" w:type="dxa"/>
              <w:left w:w="90" w:type="dxa"/>
              <w:bottom w:w="80" w:type="dxa"/>
              <w:right w:w="90" w:type="dxa"/>
            </w:tcMar>
            <w:vAlign w:val="center"/>
          </w:tcPr>
          <w:p w14:paraId="5D6C3D79" w14:textId="77777777" w:rsidR="00C17922" w:rsidRDefault="00000000">
            <w:r>
              <w:t>Apple relies heavily on in-product settings, permissions, and feature-level notices. This is less of a single centralized opt-out page and more of an ecosystem of controls built into devices, apps, and services.</w:t>
            </w:r>
          </w:p>
        </w:tc>
      </w:tr>
      <w:tr w:rsidR="00C17922" w14:paraId="6C13A08A" w14:textId="77777777">
        <w:trPr>
          <w:jc w:val="center"/>
        </w:trPr>
        <w:tc>
          <w:tcPr>
            <w:tcW w:w="4896" w:type="dxa"/>
            <w:shd w:val="clear" w:color="auto" w:fill="EAF3F8"/>
            <w:tcMar>
              <w:top w:w="80" w:type="dxa"/>
              <w:left w:w="90" w:type="dxa"/>
              <w:bottom w:w="80" w:type="dxa"/>
              <w:right w:w="90" w:type="dxa"/>
            </w:tcMar>
            <w:vAlign w:val="center"/>
          </w:tcPr>
          <w:p w14:paraId="548859B8" w14:textId="77777777" w:rsidR="00C17922" w:rsidRDefault="00000000">
            <w:r>
              <w:t>Update procedures</w:t>
            </w:r>
          </w:p>
        </w:tc>
        <w:tc>
          <w:tcPr>
            <w:tcW w:w="4896" w:type="dxa"/>
            <w:tcMar>
              <w:top w:w="80" w:type="dxa"/>
              <w:left w:w="90" w:type="dxa"/>
              <w:bottom w:w="80" w:type="dxa"/>
              <w:right w:w="90" w:type="dxa"/>
            </w:tcMar>
            <w:vAlign w:val="center"/>
          </w:tcPr>
          <w:p w14:paraId="0DE6D8B0" w14:textId="77777777" w:rsidR="00C17922" w:rsidRDefault="00000000">
            <w:r>
              <w:t xml:space="preserve">Apple states the update date and provides linked policy resources and product-specific privacy </w:t>
            </w:r>
            <w:r>
              <w:lastRenderedPageBreak/>
              <w:t>information. Its update approach appears structured and integrated with a broader privacy documentation system.</w:t>
            </w:r>
          </w:p>
        </w:tc>
      </w:tr>
    </w:tbl>
    <w:p w14:paraId="4802CEB6" w14:textId="77777777" w:rsidR="00C17922" w:rsidRDefault="00C17922"/>
    <w:p w14:paraId="2EC0EA45" w14:textId="77777777" w:rsidR="00C17922" w:rsidRDefault="00000000">
      <w:pPr>
        <w:pStyle w:val="Heading2"/>
      </w:pPr>
      <w:r>
        <w:t>Meta</w:t>
      </w:r>
    </w:p>
    <w:tbl>
      <w:tblPr>
        <w:tblStyle w:val="TableGrid"/>
        <w:tblW w:w="0" w:type="auto"/>
        <w:jc w:val="center"/>
        <w:tblLook w:val="04A0" w:firstRow="1" w:lastRow="0" w:firstColumn="1" w:lastColumn="0" w:noHBand="0" w:noVBand="1"/>
      </w:tblPr>
      <w:tblGrid>
        <w:gridCol w:w="4896"/>
        <w:gridCol w:w="4896"/>
      </w:tblGrid>
      <w:tr w:rsidR="00C17922" w14:paraId="328791C1" w14:textId="77777777">
        <w:trPr>
          <w:jc w:val="center"/>
        </w:trPr>
        <w:tc>
          <w:tcPr>
            <w:tcW w:w="4896" w:type="dxa"/>
            <w:shd w:val="clear" w:color="auto" w:fill="EAF3F8"/>
            <w:tcMar>
              <w:top w:w="80" w:type="dxa"/>
              <w:left w:w="90" w:type="dxa"/>
              <w:bottom w:w="80" w:type="dxa"/>
              <w:right w:w="90" w:type="dxa"/>
            </w:tcMar>
            <w:vAlign w:val="center"/>
          </w:tcPr>
          <w:p w14:paraId="39E81DDA" w14:textId="77777777" w:rsidR="00C17922" w:rsidRDefault="00000000">
            <w:r>
              <w:t>Policy date</w:t>
            </w:r>
          </w:p>
        </w:tc>
        <w:tc>
          <w:tcPr>
            <w:tcW w:w="4896" w:type="dxa"/>
            <w:tcMar>
              <w:top w:w="80" w:type="dxa"/>
              <w:left w:w="90" w:type="dxa"/>
              <w:bottom w:w="80" w:type="dxa"/>
              <w:right w:w="90" w:type="dxa"/>
            </w:tcMar>
            <w:vAlign w:val="center"/>
          </w:tcPr>
          <w:p w14:paraId="18CE044C" w14:textId="77777777" w:rsidR="00C17922" w:rsidRDefault="00000000">
            <w:r>
              <w:t>Effective December 16, 2025</w:t>
            </w:r>
          </w:p>
        </w:tc>
      </w:tr>
      <w:tr w:rsidR="00C17922" w14:paraId="08260514" w14:textId="77777777">
        <w:trPr>
          <w:jc w:val="center"/>
        </w:trPr>
        <w:tc>
          <w:tcPr>
            <w:tcW w:w="4896" w:type="dxa"/>
            <w:shd w:val="clear" w:color="auto" w:fill="EAF3F8"/>
            <w:tcMar>
              <w:top w:w="80" w:type="dxa"/>
              <w:left w:w="90" w:type="dxa"/>
              <w:bottom w:w="80" w:type="dxa"/>
              <w:right w:w="90" w:type="dxa"/>
            </w:tcMar>
            <w:vAlign w:val="center"/>
          </w:tcPr>
          <w:p w14:paraId="15EF7128" w14:textId="77777777" w:rsidR="00C17922" w:rsidRDefault="00000000">
            <w:r>
              <w:t>Data collection practices</w:t>
            </w:r>
          </w:p>
        </w:tc>
        <w:tc>
          <w:tcPr>
            <w:tcW w:w="4896" w:type="dxa"/>
            <w:tcMar>
              <w:top w:w="80" w:type="dxa"/>
              <w:left w:w="90" w:type="dxa"/>
              <w:bottom w:w="80" w:type="dxa"/>
              <w:right w:w="90" w:type="dxa"/>
            </w:tcMar>
            <w:vAlign w:val="center"/>
          </w:tcPr>
          <w:p w14:paraId="1DD4CF6B" w14:textId="77777777" w:rsidR="00C17922" w:rsidRDefault="00000000">
            <w:r>
              <w:t>Meta has the broadest collection posture in the set. It collects information users provide directly, activity across products, content, messages, metadata, device and browser data, location-related information, contacts, inferred information, and partner data from websites, apps, and business tools. The policy also notes that Meta may collect some information even when a person does not have an account.</w:t>
            </w:r>
          </w:p>
        </w:tc>
      </w:tr>
      <w:tr w:rsidR="00C17922" w14:paraId="50B64B24" w14:textId="77777777">
        <w:trPr>
          <w:jc w:val="center"/>
        </w:trPr>
        <w:tc>
          <w:tcPr>
            <w:tcW w:w="4896" w:type="dxa"/>
            <w:shd w:val="clear" w:color="auto" w:fill="EAF3F8"/>
            <w:tcMar>
              <w:top w:w="80" w:type="dxa"/>
              <w:left w:w="90" w:type="dxa"/>
              <w:bottom w:w="80" w:type="dxa"/>
              <w:right w:w="90" w:type="dxa"/>
            </w:tcMar>
            <w:vAlign w:val="center"/>
          </w:tcPr>
          <w:p w14:paraId="359D9580" w14:textId="77777777" w:rsidR="00C17922" w:rsidRDefault="00000000">
            <w:r>
              <w:t>Data sharing policies</w:t>
            </w:r>
          </w:p>
        </w:tc>
        <w:tc>
          <w:tcPr>
            <w:tcW w:w="4896" w:type="dxa"/>
            <w:tcMar>
              <w:top w:w="80" w:type="dxa"/>
              <w:left w:w="90" w:type="dxa"/>
              <w:bottom w:w="80" w:type="dxa"/>
              <w:right w:w="90" w:type="dxa"/>
            </w:tcMar>
            <w:vAlign w:val="center"/>
          </w:tcPr>
          <w:p w14:paraId="797D230B" w14:textId="77777777" w:rsidR="00C17922" w:rsidRDefault="00000000">
            <w:r>
              <w:t>Meta shares information across Meta companies, with integrated partners, measurement vendors, service providers, and other third parties. The policy links sharing to advertising, measurement, safety, legal compliance, product development, and cross-company integrations.</w:t>
            </w:r>
          </w:p>
        </w:tc>
      </w:tr>
      <w:tr w:rsidR="00C17922" w14:paraId="7CBE64BA" w14:textId="77777777">
        <w:trPr>
          <w:jc w:val="center"/>
        </w:trPr>
        <w:tc>
          <w:tcPr>
            <w:tcW w:w="4896" w:type="dxa"/>
            <w:shd w:val="clear" w:color="auto" w:fill="EAF3F8"/>
            <w:tcMar>
              <w:top w:w="80" w:type="dxa"/>
              <w:left w:w="90" w:type="dxa"/>
              <w:bottom w:w="80" w:type="dxa"/>
              <w:right w:w="90" w:type="dxa"/>
            </w:tcMar>
            <w:vAlign w:val="center"/>
          </w:tcPr>
          <w:p w14:paraId="7C6D7E5D" w14:textId="77777777" w:rsidR="00C17922" w:rsidRDefault="00000000">
            <w:r>
              <w:t>User rights</w:t>
            </w:r>
          </w:p>
        </w:tc>
        <w:tc>
          <w:tcPr>
            <w:tcW w:w="4896" w:type="dxa"/>
            <w:tcMar>
              <w:top w:w="80" w:type="dxa"/>
              <w:left w:w="90" w:type="dxa"/>
              <w:bottom w:w="80" w:type="dxa"/>
              <w:right w:w="90" w:type="dxa"/>
            </w:tcMar>
            <w:vAlign w:val="center"/>
          </w:tcPr>
          <w:p w14:paraId="0F95B145" w14:textId="77777777" w:rsidR="00C17922" w:rsidRDefault="00000000">
            <w:r>
              <w:t>Meta provides tools to access, view, download, port, manage, and delete information. The policy directs users to privacy checkups, settings, help centers, ad preferences, and device-based settings, making rights visible but spread across many interfaces.</w:t>
            </w:r>
          </w:p>
        </w:tc>
      </w:tr>
      <w:tr w:rsidR="00C17922" w14:paraId="6A51AD00" w14:textId="77777777">
        <w:trPr>
          <w:jc w:val="center"/>
        </w:trPr>
        <w:tc>
          <w:tcPr>
            <w:tcW w:w="4896" w:type="dxa"/>
            <w:shd w:val="clear" w:color="auto" w:fill="EAF3F8"/>
            <w:tcMar>
              <w:top w:w="80" w:type="dxa"/>
              <w:left w:w="90" w:type="dxa"/>
              <w:bottom w:w="80" w:type="dxa"/>
              <w:right w:w="90" w:type="dxa"/>
            </w:tcMar>
            <w:vAlign w:val="center"/>
          </w:tcPr>
          <w:p w14:paraId="2F2B2A68" w14:textId="77777777" w:rsidR="00C17922" w:rsidRDefault="00000000">
            <w:r>
              <w:t>Opt-out provisions</w:t>
            </w:r>
          </w:p>
        </w:tc>
        <w:tc>
          <w:tcPr>
            <w:tcW w:w="4896" w:type="dxa"/>
            <w:tcMar>
              <w:top w:w="80" w:type="dxa"/>
              <w:left w:w="90" w:type="dxa"/>
              <w:bottom w:w="80" w:type="dxa"/>
              <w:right w:w="90" w:type="dxa"/>
            </w:tcMar>
            <w:vAlign w:val="center"/>
          </w:tcPr>
          <w:p w14:paraId="2606B4C5" w14:textId="77777777" w:rsidR="00C17922" w:rsidRDefault="00000000">
            <w:r>
              <w:t>Meta offers ad preference controls, off-Meta activity controls, tools to manage and delete information, and account deletion options. Even so, the company’s advertising model and extensive partner ecosystem mean the user experience for opting out is more complex than on companies with narrower data practices.</w:t>
            </w:r>
          </w:p>
        </w:tc>
      </w:tr>
      <w:tr w:rsidR="00C17922" w14:paraId="5F05A001" w14:textId="77777777">
        <w:trPr>
          <w:jc w:val="center"/>
        </w:trPr>
        <w:tc>
          <w:tcPr>
            <w:tcW w:w="4896" w:type="dxa"/>
            <w:shd w:val="clear" w:color="auto" w:fill="EAF3F8"/>
            <w:tcMar>
              <w:top w:w="80" w:type="dxa"/>
              <w:left w:w="90" w:type="dxa"/>
              <w:bottom w:w="80" w:type="dxa"/>
              <w:right w:w="90" w:type="dxa"/>
            </w:tcMar>
            <w:vAlign w:val="center"/>
          </w:tcPr>
          <w:p w14:paraId="5A66C51F" w14:textId="77777777" w:rsidR="00C17922" w:rsidRDefault="00000000">
            <w:r>
              <w:t>Update procedures</w:t>
            </w:r>
          </w:p>
        </w:tc>
        <w:tc>
          <w:tcPr>
            <w:tcW w:w="4896" w:type="dxa"/>
            <w:tcMar>
              <w:top w:w="80" w:type="dxa"/>
              <w:left w:w="90" w:type="dxa"/>
              <w:bottom w:w="80" w:type="dxa"/>
              <w:right w:w="90" w:type="dxa"/>
            </w:tcMar>
            <w:vAlign w:val="center"/>
          </w:tcPr>
          <w:p w14:paraId="33A51439" w14:textId="77777777" w:rsidR="00C17922" w:rsidRDefault="00000000">
            <w:r>
              <w:t>Meta expressly states that it will let users know when the policy has changed and includes a separate section describing how changes are communicated. The policy is unusually long but uses highlights and examples to improve readability.</w:t>
            </w:r>
          </w:p>
        </w:tc>
      </w:tr>
    </w:tbl>
    <w:p w14:paraId="75D82345" w14:textId="77777777" w:rsidR="00C17922" w:rsidRDefault="00C17922"/>
    <w:p w14:paraId="7FCE1742" w14:textId="77777777" w:rsidR="00C17922" w:rsidRDefault="00000000">
      <w:pPr>
        <w:pStyle w:val="Heading2"/>
      </w:pPr>
      <w:r>
        <w:t>Microsoft</w:t>
      </w:r>
    </w:p>
    <w:tbl>
      <w:tblPr>
        <w:tblStyle w:val="TableGrid"/>
        <w:tblW w:w="0" w:type="auto"/>
        <w:jc w:val="center"/>
        <w:tblLook w:val="04A0" w:firstRow="1" w:lastRow="0" w:firstColumn="1" w:lastColumn="0" w:noHBand="0" w:noVBand="1"/>
      </w:tblPr>
      <w:tblGrid>
        <w:gridCol w:w="4896"/>
        <w:gridCol w:w="4896"/>
      </w:tblGrid>
      <w:tr w:rsidR="00C17922" w14:paraId="49474D0A" w14:textId="77777777">
        <w:trPr>
          <w:jc w:val="center"/>
        </w:trPr>
        <w:tc>
          <w:tcPr>
            <w:tcW w:w="4896" w:type="dxa"/>
            <w:shd w:val="clear" w:color="auto" w:fill="EAF3F8"/>
            <w:tcMar>
              <w:top w:w="80" w:type="dxa"/>
              <w:left w:w="90" w:type="dxa"/>
              <w:bottom w:w="80" w:type="dxa"/>
              <w:right w:w="90" w:type="dxa"/>
            </w:tcMar>
            <w:vAlign w:val="center"/>
          </w:tcPr>
          <w:p w14:paraId="205F2F4C" w14:textId="77777777" w:rsidR="00C17922" w:rsidRDefault="00000000">
            <w:r>
              <w:t>Policy date</w:t>
            </w:r>
          </w:p>
        </w:tc>
        <w:tc>
          <w:tcPr>
            <w:tcW w:w="4896" w:type="dxa"/>
            <w:tcMar>
              <w:top w:w="80" w:type="dxa"/>
              <w:left w:w="90" w:type="dxa"/>
              <w:bottom w:w="80" w:type="dxa"/>
              <w:right w:w="90" w:type="dxa"/>
            </w:tcMar>
            <w:vAlign w:val="center"/>
          </w:tcPr>
          <w:p w14:paraId="7EA634DF" w14:textId="77777777" w:rsidR="00C17922" w:rsidRDefault="00000000">
            <w:r>
              <w:t>Last updated March 2026</w:t>
            </w:r>
          </w:p>
        </w:tc>
      </w:tr>
      <w:tr w:rsidR="00C17922" w14:paraId="7924A9CA" w14:textId="77777777">
        <w:trPr>
          <w:jc w:val="center"/>
        </w:trPr>
        <w:tc>
          <w:tcPr>
            <w:tcW w:w="4896" w:type="dxa"/>
            <w:shd w:val="clear" w:color="auto" w:fill="EAF3F8"/>
            <w:tcMar>
              <w:top w:w="80" w:type="dxa"/>
              <w:left w:w="90" w:type="dxa"/>
              <w:bottom w:w="80" w:type="dxa"/>
              <w:right w:w="90" w:type="dxa"/>
            </w:tcMar>
            <w:vAlign w:val="center"/>
          </w:tcPr>
          <w:p w14:paraId="4F636667" w14:textId="77777777" w:rsidR="00C17922" w:rsidRDefault="00000000">
            <w:r>
              <w:t>Data collection practices</w:t>
            </w:r>
          </w:p>
        </w:tc>
        <w:tc>
          <w:tcPr>
            <w:tcW w:w="4896" w:type="dxa"/>
            <w:tcMar>
              <w:top w:w="80" w:type="dxa"/>
              <w:left w:w="90" w:type="dxa"/>
              <w:bottom w:w="80" w:type="dxa"/>
              <w:right w:w="90" w:type="dxa"/>
            </w:tcMar>
            <w:vAlign w:val="center"/>
          </w:tcPr>
          <w:p w14:paraId="335C5B3B" w14:textId="77777777" w:rsidR="00C17922" w:rsidRDefault="00000000">
            <w:r>
              <w:t xml:space="preserve">Microsoft collects data directly from users, from interactions with its products, through cookies and </w:t>
            </w:r>
            <w:r>
              <w:lastRenderedPageBreak/>
              <w:t>similar technologies, and from affiliates, subsidiaries, and third parties. The policy makes repeated use of the idea that collection depends on context, user choices, privacy settings, and the specific products and features in use.</w:t>
            </w:r>
          </w:p>
        </w:tc>
      </w:tr>
      <w:tr w:rsidR="00C17922" w14:paraId="4E5FB023" w14:textId="77777777">
        <w:trPr>
          <w:jc w:val="center"/>
        </w:trPr>
        <w:tc>
          <w:tcPr>
            <w:tcW w:w="4896" w:type="dxa"/>
            <w:shd w:val="clear" w:color="auto" w:fill="EAF3F8"/>
            <w:tcMar>
              <w:top w:w="80" w:type="dxa"/>
              <w:left w:w="90" w:type="dxa"/>
              <w:bottom w:w="80" w:type="dxa"/>
              <w:right w:w="90" w:type="dxa"/>
            </w:tcMar>
            <w:vAlign w:val="center"/>
          </w:tcPr>
          <w:p w14:paraId="0E92B5E7" w14:textId="77777777" w:rsidR="00C17922" w:rsidRDefault="00000000">
            <w:r>
              <w:lastRenderedPageBreak/>
              <w:t>Data sharing policies</w:t>
            </w:r>
          </w:p>
        </w:tc>
        <w:tc>
          <w:tcPr>
            <w:tcW w:w="4896" w:type="dxa"/>
            <w:tcMar>
              <w:top w:w="80" w:type="dxa"/>
              <w:left w:w="90" w:type="dxa"/>
              <w:bottom w:w="80" w:type="dxa"/>
              <w:right w:w="90" w:type="dxa"/>
            </w:tcMar>
            <w:vAlign w:val="center"/>
          </w:tcPr>
          <w:p w14:paraId="2D591AA3" w14:textId="77777777" w:rsidR="00C17922" w:rsidRDefault="00000000">
            <w:r>
              <w:t>Microsoft shares personal data where needed to provide products, complete transactions, comply with law, secure services, conduct support, and operate the business. The statement is broad but organized around product delivery and business necessity.</w:t>
            </w:r>
          </w:p>
        </w:tc>
      </w:tr>
      <w:tr w:rsidR="00C17922" w14:paraId="4CAF80BE" w14:textId="77777777">
        <w:trPr>
          <w:jc w:val="center"/>
        </w:trPr>
        <w:tc>
          <w:tcPr>
            <w:tcW w:w="4896" w:type="dxa"/>
            <w:shd w:val="clear" w:color="auto" w:fill="EAF3F8"/>
            <w:tcMar>
              <w:top w:w="80" w:type="dxa"/>
              <w:left w:w="90" w:type="dxa"/>
              <w:bottom w:w="80" w:type="dxa"/>
              <w:right w:w="90" w:type="dxa"/>
            </w:tcMar>
            <w:vAlign w:val="center"/>
          </w:tcPr>
          <w:p w14:paraId="47F50F26" w14:textId="77777777" w:rsidR="00C17922" w:rsidRDefault="00000000">
            <w:r>
              <w:t>User rights</w:t>
            </w:r>
          </w:p>
        </w:tc>
        <w:tc>
          <w:tcPr>
            <w:tcW w:w="4896" w:type="dxa"/>
            <w:tcMar>
              <w:top w:w="80" w:type="dxa"/>
              <w:left w:w="90" w:type="dxa"/>
              <w:bottom w:w="80" w:type="dxa"/>
              <w:right w:w="90" w:type="dxa"/>
            </w:tcMar>
            <w:vAlign w:val="center"/>
          </w:tcPr>
          <w:p w14:paraId="1F52F5E1" w14:textId="77777777" w:rsidR="00C17922" w:rsidRDefault="00000000">
            <w:r>
              <w:t>Microsoft points users to access and control tools, a privacy dashboard, and a U.S. State Data Privacy Notice. It also references a Data Protection Officer contact path and separate notices for particular products and categories of data.</w:t>
            </w:r>
          </w:p>
        </w:tc>
      </w:tr>
      <w:tr w:rsidR="00C17922" w14:paraId="2F28283C" w14:textId="77777777">
        <w:trPr>
          <w:jc w:val="center"/>
        </w:trPr>
        <w:tc>
          <w:tcPr>
            <w:tcW w:w="4896" w:type="dxa"/>
            <w:shd w:val="clear" w:color="auto" w:fill="EAF3F8"/>
            <w:tcMar>
              <w:top w:w="80" w:type="dxa"/>
              <w:left w:w="90" w:type="dxa"/>
              <w:bottom w:w="80" w:type="dxa"/>
              <w:right w:w="90" w:type="dxa"/>
            </w:tcMar>
            <w:vAlign w:val="center"/>
          </w:tcPr>
          <w:p w14:paraId="03EAE839" w14:textId="77777777" w:rsidR="00C17922" w:rsidRDefault="00000000">
            <w:r>
              <w:t>Opt-out provisions</w:t>
            </w:r>
          </w:p>
        </w:tc>
        <w:tc>
          <w:tcPr>
            <w:tcW w:w="4896" w:type="dxa"/>
            <w:tcMar>
              <w:top w:w="80" w:type="dxa"/>
              <w:left w:w="90" w:type="dxa"/>
              <w:bottom w:w="80" w:type="dxa"/>
              <w:right w:w="90" w:type="dxa"/>
            </w:tcMar>
            <w:vAlign w:val="center"/>
          </w:tcPr>
          <w:p w14:paraId="65DB7519" w14:textId="77777777" w:rsidR="00C17922" w:rsidRDefault="00000000">
            <w:r>
              <w:t>Microsoft says users can decline to provide some personal data, but some products or features will not function without required data. The policy therefore offers meaningful choice while also clearly stating the service consequences of declining collection.</w:t>
            </w:r>
          </w:p>
        </w:tc>
      </w:tr>
      <w:tr w:rsidR="00C17922" w14:paraId="79A9F3EF" w14:textId="77777777">
        <w:trPr>
          <w:jc w:val="center"/>
        </w:trPr>
        <w:tc>
          <w:tcPr>
            <w:tcW w:w="4896" w:type="dxa"/>
            <w:shd w:val="clear" w:color="auto" w:fill="EAF3F8"/>
            <w:tcMar>
              <w:top w:w="80" w:type="dxa"/>
              <w:left w:w="90" w:type="dxa"/>
              <w:bottom w:w="80" w:type="dxa"/>
              <w:right w:w="90" w:type="dxa"/>
            </w:tcMar>
            <w:vAlign w:val="center"/>
          </w:tcPr>
          <w:p w14:paraId="329C4BB5" w14:textId="77777777" w:rsidR="00C17922" w:rsidRDefault="00000000">
            <w:r>
              <w:t>Update procedures</w:t>
            </w:r>
          </w:p>
        </w:tc>
        <w:tc>
          <w:tcPr>
            <w:tcW w:w="4896" w:type="dxa"/>
            <w:tcMar>
              <w:top w:w="80" w:type="dxa"/>
              <w:left w:w="90" w:type="dxa"/>
              <w:bottom w:w="80" w:type="dxa"/>
              <w:right w:w="90" w:type="dxa"/>
            </w:tcMar>
            <w:vAlign w:val="center"/>
          </w:tcPr>
          <w:p w14:paraId="3111244A" w14:textId="77777777" w:rsidR="00C17922" w:rsidRDefault="00000000">
            <w:r>
              <w:t>Microsoft includes a what is new section, a clear update date, linked privacy resources, and dedicated notices for U.S. state privacy rights and consumer health data. The update model is structured and transparent.</w:t>
            </w:r>
          </w:p>
        </w:tc>
      </w:tr>
    </w:tbl>
    <w:p w14:paraId="08001BDA" w14:textId="77777777" w:rsidR="00C17922" w:rsidRDefault="00C17922"/>
    <w:p w14:paraId="07392F9F" w14:textId="77777777" w:rsidR="00C17922" w:rsidRDefault="00000000">
      <w:pPr>
        <w:pStyle w:val="Heading2"/>
      </w:pPr>
      <w:r>
        <w:t>PayPal</w:t>
      </w:r>
    </w:p>
    <w:tbl>
      <w:tblPr>
        <w:tblStyle w:val="TableGrid"/>
        <w:tblW w:w="0" w:type="auto"/>
        <w:jc w:val="center"/>
        <w:tblLook w:val="04A0" w:firstRow="1" w:lastRow="0" w:firstColumn="1" w:lastColumn="0" w:noHBand="0" w:noVBand="1"/>
      </w:tblPr>
      <w:tblGrid>
        <w:gridCol w:w="4896"/>
        <w:gridCol w:w="4896"/>
      </w:tblGrid>
      <w:tr w:rsidR="00C17922" w14:paraId="307DA53C" w14:textId="77777777">
        <w:trPr>
          <w:jc w:val="center"/>
        </w:trPr>
        <w:tc>
          <w:tcPr>
            <w:tcW w:w="4896" w:type="dxa"/>
            <w:shd w:val="clear" w:color="auto" w:fill="EAF3F8"/>
            <w:tcMar>
              <w:top w:w="80" w:type="dxa"/>
              <w:left w:w="90" w:type="dxa"/>
              <w:bottom w:w="80" w:type="dxa"/>
              <w:right w:w="90" w:type="dxa"/>
            </w:tcMar>
            <w:vAlign w:val="center"/>
          </w:tcPr>
          <w:p w14:paraId="37E4ADCB" w14:textId="77777777" w:rsidR="00C17922" w:rsidRDefault="00000000">
            <w:r>
              <w:t>Policy date</w:t>
            </w:r>
          </w:p>
        </w:tc>
        <w:tc>
          <w:tcPr>
            <w:tcW w:w="4896" w:type="dxa"/>
            <w:tcMar>
              <w:top w:w="80" w:type="dxa"/>
              <w:left w:w="90" w:type="dxa"/>
              <w:bottom w:w="80" w:type="dxa"/>
              <w:right w:w="90" w:type="dxa"/>
            </w:tcMar>
            <w:vAlign w:val="center"/>
          </w:tcPr>
          <w:p w14:paraId="5AEC2614" w14:textId="77777777" w:rsidR="00C17922" w:rsidRDefault="00000000">
            <w:r>
              <w:t>Last updated April 2, 2026</w:t>
            </w:r>
          </w:p>
        </w:tc>
      </w:tr>
      <w:tr w:rsidR="00C17922" w14:paraId="1FFBC210" w14:textId="77777777">
        <w:trPr>
          <w:jc w:val="center"/>
        </w:trPr>
        <w:tc>
          <w:tcPr>
            <w:tcW w:w="4896" w:type="dxa"/>
            <w:shd w:val="clear" w:color="auto" w:fill="EAF3F8"/>
            <w:tcMar>
              <w:top w:w="80" w:type="dxa"/>
              <w:left w:w="90" w:type="dxa"/>
              <w:bottom w:w="80" w:type="dxa"/>
              <w:right w:w="90" w:type="dxa"/>
            </w:tcMar>
            <w:vAlign w:val="center"/>
          </w:tcPr>
          <w:p w14:paraId="5F38ABB6" w14:textId="77777777" w:rsidR="00C17922" w:rsidRDefault="00000000">
            <w:r>
              <w:t>Data collection practices</w:t>
            </w:r>
          </w:p>
        </w:tc>
        <w:tc>
          <w:tcPr>
            <w:tcW w:w="4896" w:type="dxa"/>
            <w:tcMar>
              <w:top w:w="80" w:type="dxa"/>
              <w:left w:w="90" w:type="dxa"/>
              <w:bottom w:w="80" w:type="dxa"/>
              <w:right w:w="90" w:type="dxa"/>
            </w:tcMar>
            <w:vAlign w:val="center"/>
          </w:tcPr>
          <w:p w14:paraId="1C2058CF" w14:textId="77777777" w:rsidR="00C17922" w:rsidRDefault="00000000">
            <w:r>
              <w:t>PayPal collects one of the widest sets of data in the sample, including identifiers, records and financial information, transaction history, commercial information, geolocation, internet activity, biometric data, audio and visual information, imported contacts, profile data, inferred data, legal-compliance data, protected-classification information, sensitive personal information, and device data. It also collects from linked accounts, third-party applications, partners, merchants, credit agencies, government entities, and the broader PayPal group.</w:t>
            </w:r>
          </w:p>
        </w:tc>
      </w:tr>
      <w:tr w:rsidR="00C17922" w14:paraId="4FDE8605" w14:textId="77777777">
        <w:trPr>
          <w:jc w:val="center"/>
        </w:trPr>
        <w:tc>
          <w:tcPr>
            <w:tcW w:w="4896" w:type="dxa"/>
            <w:shd w:val="clear" w:color="auto" w:fill="EAF3F8"/>
            <w:tcMar>
              <w:top w:w="80" w:type="dxa"/>
              <w:left w:w="90" w:type="dxa"/>
              <w:bottom w:w="80" w:type="dxa"/>
              <w:right w:w="90" w:type="dxa"/>
            </w:tcMar>
            <w:vAlign w:val="center"/>
          </w:tcPr>
          <w:p w14:paraId="18509085" w14:textId="77777777" w:rsidR="00C17922" w:rsidRDefault="00000000">
            <w:r>
              <w:t>Data sharing policies</w:t>
            </w:r>
          </w:p>
        </w:tc>
        <w:tc>
          <w:tcPr>
            <w:tcW w:w="4896" w:type="dxa"/>
            <w:tcMar>
              <w:top w:w="80" w:type="dxa"/>
              <w:left w:w="90" w:type="dxa"/>
              <w:bottom w:w="80" w:type="dxa"/>
              <w:right w:w="90" w:type="dxa"/>
            </w:tcMar>
            <w:vAlign w:val="center"/>
          </w:tcPr>
          <w:p w14:paraId="65C4F456" w14:textId="77777777" w:rsidR="00C17922" w:rsidRDefault="00000000">
            <w:r>
              <w:t xml:space="preserve">PayPal discloses information to transaction counterparties, partners and merchants, service providers, security vendors, advertising platforms, marketing partners, and business-transfer recipients. The policy is explicit that some </w:t>
            </w:r>
            <w:r>
              <w:lastRenderedPageBreak/>
              <w:t>disclosures are necessary to complete the user’s requested transactions, while others relate to personalized shopping experiences and marketing.</w:t>
            </w:r>
          </w:p>
        </w:tc>
      </w:tr>
      <w:tr w:rsidR="00C17922" w14:paraId="7BA2FCF9" w14:textId="77777777">
        <w:trPr>
          <w:jc w:val="center"/>
        </w:trPr>
        <w:tc>
          <w:tcPr>
            <w:tcW w:w="4896" w:type="dxa"/>
            <w:shd w:val="clear" w:color="auto" w:fill="EAF3F8"/>
            <w:tcMar>
              <w:top w:w="80" w:type="dxa"/>
              <w:left w:w="90" w:type="dxa"/>
              <w:bottom w:w="80" w:type="dxa"/>
              <w:right w:w="90" w:type="dxa"/>
            </w:tcMar>
            <w:vAlign w:val="center"/>
          </w:tcPr>
          <w:p w14:paraId="26C8548C" w14:textId="77777777" w:rsidR="00C17922" w:rsidRDefault="00000000">
            <w:r>
              <w:lastRenderedPageBreak/>
              <w:t>User rights</w:t>
            </w:r>
          </w:p>
        </w:tc>
        <w:tc>
          <w:tcPr>
            <w:tcW w:w="4896" w:type="dxa"/>
            <w:tcMar>
              <w:top w:w="80" w:type="dxa"/>
              <w:left w:w="90" w:type="dxa"/>
              <w:bottom w:w="80" w:type="dxa"/>
              <w:right w:w="90" w:type="dxa"/>
            </w:tcMar>
            <w:vAlign w:val="center"/>
          </w:tcPr>
          <w:p w14:paraId="6E603375" w14:textId="77777777" w:rsidR="00C17922" w:rsidRDefault="00000000">
            <w:r>
              <w:t>PayPal states that rights vary by jurisdiction and provides jurisdiction-specific information. It is one of the most legally detailed policies in the set and contains strong notice language, but it also reflects the complexity of financial services regulation and data flows.</w:t>
            </w:r>
          </w:p>
        </w:tc>
      </w:tr>
      <w:tr w:rsidR="00C17922" w14:paraId="4893E934" w14:textId="77777777">
        <w:trPr>
          <w:jc w:val="center"/>
        </w:trPr>
        <w:tc>
          <w:tcPr>
            <w:tcW w:w="4896" w:type="dxa"/>
            <w:shd w:val="clear" w:color="auto" w:fill="EAF3F8"/>
            <w:tcMar>
              <w:top w:w="80" w:type="dxa"/>
              <w:left w:w="90" w:type="dxa"/>
              <w:bottom w:w="80" w:type="dxa"/>
              <w:right w:w="90" w:type="dxa"/>
            </w:tcMar>
            <w:vAlign w:val="center"/>
          </w:tcPr>
          <w:p w14:paraId="36CFC4D5" w14:textId="77777777" w:rsidR="00C17922" w:rsidRDefault="00000000">
            <w:r>
              <w:t>Opt-out provisions</w:t>
            </w:r>
          </w:p>
        </w:tc>
        <w:tc>
          <w:tcPr>
            <w:tcW w:w="4896" w:type="dxa"/>
            <w:tcMar>
              <w:top w:w="80" w:type="dxa"/>
              <w:left w:w="90" w:type="dxa"/>
              <w:bottom w:w="80" w:type="dxa"/>
              <w:right w:w="90" w:type="dxa"/>
            </w:tcMar>
            <w:vAlign w:val="center"/>
          </w:tcPr>
          <w:p w14:paraId="5BBEFA44" w14:textId="77777777" w:rsidR="00C17922" w:rsidRDefault="00000000">
            <w:r>
              <w:t>PayPal allows users to opt out of certain disclosures to partners and merchants for personalized shopping experiences through account data and privacy settings. At the same time, it states that information will still be disclosed where necessary to complete transactions or comply with law.</w:t>
            </w:r>
          </w:p>
        </w:tc>
      </w:tr>
      <w:tr w:rsidR="00C17922" w14:paraId="3D4F1495" w14:textId="77777777">
        <w:trPr>
          <w:jc w:val="center"/>
        </w:trPr>
        <w:tc>
          <w:tcPr>
            <w:tcW w:w="4896" w:type="dxa"/>
            <w:shd w:val="clear" w:color="auto" w:fill="EAF3F8"/>
            <w:tcMar>
              <w:top w:w="80" w:type="dxa"/>
              <w:left w:w="90" w:type="dxa"/>
              <w:bottom w:w="80" w:type="dxa"/>
              <w:right w:w="90" w:type="dxa"/>
            </w:tcMar>
            <w:vAlign w:val="center"/>
          </w:tcPr>
          <w:p w14:paraId="6D665C4F" w14:textId="77777777" w:rsidR="00C17922" w:rsidRDefault="00000000">
            <w:r>
              <w:t>Update procedures</w:t>
            </w:r>
          </w:p>
        </w:tc>
        <w:tc>
          <w:tcPr>
            <w:tcW w:w="4896" w:type="dxa"/>
            <w:tcMar>
              <w:top w:w="80" w:type="dxa"/>
              <w:left w:w="90" w:type="dxa"/>
              <w:bottom w:w="80" w:type="dxa"/>
              <w:right w:w="90" w:type="dxa"/>
            </w:tcMar>
            <w:vAlign w:val="center"/>
          </w:tcPr>
          <w:p w14:paraId="0AF03C89" w14:textId="77777777" w:rsidR="00C17922" w:rsidRDefault="00000000">
            <w:r>
              <w:t>PayPal provides one of the clearest update procedures: if a revised version requires notice under applicable law, it will provide 30 days prior notice; otherwise the revised statement becomes effective on the published effective date.</w:t>
            </w:r>
          </w:p>
        </w:tc>
      </w:tr>
    </w:tbl>
    <w:p w14:paraId="1DD5768A" w14:textId="77777777" w:rsidR="00C17922" w:rsidRDefault="00C17922"/>
    <w:p w14:paraId="213160E1" w14:textId="77777777" w:rsidR="00C17922" w:rsidRDefault="00000000">
      <w:pPr>
        <w:pStyle w:val="Heading2"/>
      </w:pPr>
      <w:r>
        <w:t>Venmo</w:t>
      </w:r>
    </w:p>
    <w:tbl>
      <w:tblPr>
        <w:tblStyle w:val="TableGrid"/>
        <w:tblW w:w="0" w:type="auto"/>
        <w:jc w:val="center"/>
        <w:tblLook w:val="04A0" w:firstRow="1" w:lastRow="0" w:firstColumn="1" w:lastColumn="0" w:noHBand="0" w:noVBand="1"/>
      </w:tblPr>
      <w:tblGrid>
        <w:gridCol w:w="4896"/>
        <w:gridCol w:w="4896"/>
      </w:tblGrid>
      <w:tr w:rsidR="00C17922" w14:paraId="6BC473BF" w14:textId="77777777">
        <w:trPr>
          <w:jc w:val="center"/>
        </w:trPr>
        <w:tc>
          <w:tcPr>
            <w:tcW w:w="4896" w:type="dxa"/>
            <w:shd w:val="clear" w:color="auto" w:fill="EAF3F8"/>
            <w:tcMar>
              <w:top w:w="80" w:type="dxa"/>
              <w:left w:w="90" w:type="dxa"/>
              <w:bottom w:w="80" w:type="dxa"/>
              <w:right w:w="90" w:type="dxa"/>
            </w:tcMar>
            <w:vAlign w:val="center"/>
          </w:tcPr>
          <w:p w14:paraId="7E5E5BEB" w14:textId="77777777" w:rsidR="00C17922" w:rsidRDefault="00000000">
            <w:r>
              <w:t>Policy date</w:t>
            </w:r>
          </w:p>
        </w:tc>
        <w:tc>
          <w:tcPr>
            <w:tcW w:w="4896" w:type="dxa"/>
            <w:tcMar>
              <w:top w:w="80" w:type="dxa"/>
              <w:left w:w="90" w:type="dxa"/>
              <w:bottom w:w="80" w:type="dxa"/>
              <w:right w:w="90" w:type="dxa"/>
            </w:tcMar>
            <w:vAlign w:val="center"/>
          </w:tcPr>
          <w:p w14:paraId="04F951D1" w14:textId="77777777" w:rsidR="00C17922" w:rsidRDefault="00000000">
            <w:r>
              <w:t>Effective November 17, 2025</w:t>
            </w:r>
          </w:p>
        </w:tc>
      </w:tr>
      <w:tr w:rsidR="00C17922" w14:paraId="44A69343" w14:textId="77777777">
        <w:trPr>
          <w:jc w:val="center"/>
        </w:trPr>
        <w:tc>
          <w:tcPr>
            <w:tcW w:w="4896" w:type="dxa"/>
            <w:shd w:val="clear" w:color="auto" w:fill="EAF3F8"/>
            <w:tcMar>
              <w:top w:w="80" w:type="dxa"/>
              <w:left w:w="90" w:type="dxa"/>
              <w:bottom w:w="80" w:type="dxa"/>
              <w:right w:w="90" w:type="dxa"/>
            </w:tcMar>
            <w:vAlign w:val="center"/>
          </w:tcPr>
          <w:p w14:paraId="6A9968C2" w14:textId="77777777" w:rsidR="00C17922" w:rsidRDefault="00000000">
            <w:r>
              <w:t>Data collection practices</w:t>
            </w:r>
          </w:p>
        </w:tc>
        <w:tc>
          <w:tcPr>
            <w:tcW w:w="4896" w:type="dxa"/>
            <w:tcMar>
              <w:top w:w="80" w:type="dxa"/>
              <w:left w:w="90" w:type="dxa"/>
              <w:bottom w:w="80" w:type="dxa"/>
              <w:right w:w="90" w:type="dxa"/>
            </w:tcMar>
            <w:vAlign w:val="center"/>
          </w:tcPr>
          <w:p w14:paraId="1A54DCC8" w14:textId="77777777" w:rsidR="00C17922" w:rsidRDefault="00000000">
            <w:r>
              <w:t>Venmo collects account information, identification information including SSN or similar identifiers, device information, geolocation information, social web information, financial information, biometric information, audio or visual information, employment-related information, and information supplied when users contact support. It also collects cookies and tracking data and may gather information from third parties for fraud prevention and transaction processing.</w:t>
            </w:r>
          </w:p>
        </w:tc>
      </w:tr>
      <w:tr w:rsidR="00C17922" w14:paraId="79EE6715" w14:textId="77777777">
        <w:trPr>
          <w:jc w:val="center"/>
        </w:trPr>
        <w:tc>
          <w:tcPr>
            <w:tcW w:w="4896" w:type="dxa"/>
            <w:shd w:val="clear" w:color="auto" w:fill="EAF3F8"/>
            <w:tcMar>
              <w:top w:w="80" w:type="dxa"/>
              <w:left w:w="90" w:type="dxa"/>
              <w:bottom w:w="80" w:type="dxa"/>
              <w:right w:w="90" w:type="dxa"/>
            </w:tcMar>
            <w:vAlign w:val="center"/>
          </w:tcPr>
          <w:p w14:paraId="456C4A6E" w14:textId="77777777" w:rsidR="00C17922" w:rsidRDefault="00000000">
            <w:r>
              <w:t>Data sharing policies</w:t>
            </w:r>
          </w:p>
        </w:tc>
        <w:tc>
          <w:tcPr>
            <w:tcW w:w="4896" w:type="dxa"/>
            <w:tcMar>
              <w:top w:w="80" w:type="dxa"/>
              <w:left w:w="90" w:type="dxa"/>
              <w:bottom w:w="80" w:type="dxa"/>
              <w:right w:w="90" w:type="dxa"/>
            </w:tcMar>
            <w:vAlign w:val="center"/>
          </w:tcPr>
          <w:p w14:paraId="667036AD" w14:textId="77777777" w:rsidR="00C17922" w:rsidRDefault="00000000">
            <w:r>
              <w:t>Venmo shares information for everyday business purposes, service delivery, fraud prevention, account management, legal compliance, partner and merchant interactions, and service-provider support. The policy also includes a consumer privacy notice format common in financial services.</w:t>
            </w:r>
          </w:p>
        </w:tc>
      </w:tr>
      <w:tr w:rsidR="00C17922" w14:paraId="1D18B987" w14:textId="77777777">
        <w:trPr>
          <w:jc w:val="center"/>
        </w:trPr>
        <w:tc>
          <w:tcPr>
            <w:tcW w:w="4896" w:type="dxa"/>
            <w:shd w:val="clear" w:color="auto" w:fill="EAF3F8"/>
            <w:tcMar>
              <w:top w:w="80" w:type="dxa"/>
              <w:left w:w="90" w:type="dxa"/>
              <w:bottom w:w="80" w:type="dxa"/>
              <w:right w:w="90" w:type="dxa"/>
            </w:tcMar>
            <w:vAlign w:val="center"/>
          </w:tcPr>
          <w:p w14:paraId="49F58178" w14:textId="77777777" w:rsidR="00C17922" w:rsidRDefault="00000000">
            <w:r>
              <w:t>User rights</w:t>
            </w:r>
          </w:p>
        </w:tc>
        <w:tc>
          <w:tcPr>
            <w:tcW w:w="4896" w:type="dxa"/>
            <w:tcMar>
              <w:top w:w="80" w:type="dxa"/>
              <w:left w:w="90" w:type="dxa"/>
              <w:bottom w:w="80" w:type="dxa"/>
              <w:right w:w="90" w:type="dxa"/>
            </w:tcMar>
            <w:vAlign w:val="center"/>
          </w:tcPr>
          <w:p w14:paraId="6A74C78F" w14:textId="77777777" w:rsidR="00C17922" w:rsidRDefault="00000000">
            <w:r>
              <w:t>Venmo provides access rights through account-based privacy links and recognizes state-law rights, teen account controls, and certain rights to delete or limit use of data where legally available. As with other financial services, legal-retention obligations limit how far deletion can go.</w:t>
            </w:r>
          </w:p>
        </w:tc>
      </w:tr>
      <w:tr w:rsidR="00C17922" w14:paraId="37F1E260" w14:textId="77777777">
        <w:trPr>
          <w:jc w:val="center"/>
        </w:trPr>
        <w:tc>
          <w:tcPr>
            <w:tcW w:w="4896" w:type="dxa"/>
            <w:shd w:val="clear" w:color="auto" w:fill="EAF3F8"/>
            <w:tcMar>
              <w:top w:w="80" w:type="dxa"/>
              <w:left w:w="90" w:type="dxa"/>
              <w:bottom w:w="80" w:type="dxa"/>
              <w:right w:w="90" w:type="dxa"/>
            </w:tcMar>
            <w:vAlign w:val="center"/>
          </w:tcPr>
          <w:p w14:paraId="58923E31" w14:textId="77777777" w:rsidR="00C17922" w:rsidRDefault="00000000">
            <w:r>
              <w:t>Opt-out provisions</w:t>
            </w:r>
          </w:p>
        </w:tc>
        <w:tc>
          <w:tcPr>
            <w:tcW w:w="4896" w:type="dxa"/>
            <w:tcMar>
              <w:top w:w="80" w:type="dxa"/>
              <w:left w:w="90" w:type="dxa"/>
              <w:bottom w:w="80" w:type="dxa"/>
              <w:right w:w="90" w:type="dxa"/>
            </w:tcMar>
            <w:vAlign w:val="center"/>
          </w:tcPr>
          <w:p w14:paraId="7D68C8F2" w14:textId="77777777" w:rsidR="00C17922" w:rsidRDefault="00000000">
            <w:r>
              <w:t xml:space="preserve">Venmo offers some sharing limits under financial </w:t>
            </w:r>
            <w:r>
              <w:lastRenderedPageBreak/>
              <w:t>privacy law, state-specific rights, cookie controls, and account privacy settings. However, it expressly says that federal law allows consumers to limit only some categories of sharing, which means opt-out rights are narrower than in many non-financial consumer platforms.</w:t>
            </w:r>
          </w:p>
        </w:tc>
      </w:tr>
      <w:tr w:rsidR="00C17922" w14:paraId="349DF7B8" w14:textId="77777777">
        <w:trPr>
          <w:jc w:val="center"/>
        </w:trPr>
        <w:tc>
          <w:tcPr>
            <w:tcW w:w="4896" w:type="dxa"/>
            <w:shd w:val="clear" w:color="auto" w:fill="EAF3F8"/>
            <w:tcMar>
              <w:top w:w="80" w:type="dxa"/>
              <w:left w:w="90" w:type="dxa"/>
              <w:bottom w:w="80" w:type="dxa"/>
              <w:right w:w="90" w:type="dxa"/>
            </w:tcMar>
            <w:vAlign w:val="center"/>
          </w:tcPr>
          <w:p w14:paraId="55865D75" w14:textId="77777777" w:rsidR="00C17922" w:rsidRDefault="00000000">
            <w:r>
              <w:lastRenderedPageBreak/>
              <w:t>Update procedures</w:t>
            </w:r>
          </w:p>
        </w:tc>
        <w:tc>
          <w:tcPr>
            <w:tcW w:w="4896" w:type="dxa"/>
            <w:tcMar>
              <w:top w:w="80" w:type="dxa"/>
              <w:left w:w="90" w:type="dxa"/>
              <w:bottom w:w="80" w:type="dxa"/>
              <w:right w:w="90" w:type="dxa"/>
            </w:tcMar>
            <w:vAlign w:val="center"/>
          </w:tcPr>
          <w:p w14:paraId="1EBC3084" w14:textId="77777777" w:rsidR="00C17922" w:rsidRDefault="00000000">
            <w:r>
              <w:t>Venmo states that if a revised version requires notice under applicable law, it will provide 30 days prior notice by posting notice on the website and app; otherwise the revised statement is effective on the published date.</w:t>
            </w:r>
          </w:p>
        </w:tc>
      </w:tr>
    </w:tbl>
    <w:p w14:paraId="2B35176D" w14:textId="77777777" w:rsidR="00C17922" w:rsidRDefault="00C17922"/>
    <w:p w14:paraId="2ED07250" w14:textId="77777777" w:rsidR="00C17922" w:rsidRDefault="00000000">
      <w:pPr>
        <w:pStyle w:val="Heading2"/>
      </w:pPr>
      <w:r>
        <w:t>Yahoo</w:t>
      </w:r>
    </w:p>
    <w:tbl>
      <w:tblPr>
        <w:tblStyle w:val="TableGrid"/>
        <w:tblW w:w="0" w:type="auto"/>
        <w:jc w:val="center"/>
        <w:tblLook w:val="04A0" w:firstRow="1" w:lastRow="0" w:firstColumn="1" w:lastColumn="0" w:noHBand="0" w:noVBand="1"/>
      </w:tblPr>
      <w:tblGrid>
        <w:gridCol w:w="4896"/>
        <w:gridCol w:w="4896"/>
      </w:tblGrid>
      <w:tr w:rsidR="00C17922" w14:paraId="60BA8E7F" w14:textId="77777777">
        <w:trPr>
          <w:jc w:val="center"/>
        </w:trPr>
        <w:tc>
          <w:tcPr>
            <w:tcW w:w="4896" w:type="dxa"/>
            <w:shd w:val="clear" w:color="auto" w:fill="EAF3F8"/>
            <w:tcMar>
              <w:top w:w="80" w:type="dxa"/>
              <w:left w:w="90" w:type="dxa"/>
              <w:bottom w:w="80" w:type="dxa"/>
              <w:right w:w="90" w:type="dxa"/>
            </w:tcMar>
            <w:vAlign w:val="center"/>
          </w:tcPr>
          <w:p w14:paraId="0DBE2601" w14:textId="77777777" w:rsidR="00C17922" w:rsidRDefault="00000000">
            <w:r>
              <w:t>Policy date</w:t>
            </w:r>
          </w:p>
        </w:tc>
        <w:tc>
          <w:tcPr>
            <w:tcW w:w="4896" w:type="dxa"/>
            <w:tcMar>
              <w:top w:w="80" w:type="dxa"/>
              <w:left w:w="90" w:type="dxa"/>
              <w:bottom w:w="80" w:type="dxa"/>
              <w:right w:w="90" w:type="dxa"/>
            </w:tcMar>
            <w:vAlign w:val="center"/>
          </w:tcPr>
          <w:p w14:paraId="52C4BE04" w14:textId="77777777" w:rsidR="00C17922" w:rsidRDefault="00000000">
            <w:r>
              <w:t>Last updated March 2026</w:t>
            </w:r>
          </w:p>
        </w:tc>
      </w:tr>
      <w:tr w:rsidR="00C17922" w14:paraId="0AC1DB74" w14:textId="77777777">
        <w:trPr>
          <w:jc w:val="center"/>
        </w:trPr>
        <w:tc>
          <w:tcPr>
            <w:tcW w:w="4896" w:type="dxa"/>
            <w:shd w:val="clear" w:color="auto" w:fill="EAF3F8"/>
            <w:tcMar>
              <w:top w:w="80" w:type="dxa"/>
              <w:left w:w="90" w:type="dxa"/>
              <w:bottom w:w="80" w:type="dxa"/>
              <w:right w:w="90" w:type="dxa"/>
            </w:tcMar>
            <w:vAlign w:val="center"/>
          </w:tcPr>
          <w:p w14:paraId="6FF97F51" w14:textId="77777777" w:rsidR="00C17922" w:rsidRDefault="00000000">
            <w:r>
              <w:t>Data collection practices</w:t>
            </w:r>
          </w:p>
        </w:tc>
        <w:tc>
          <w:tcPr>
            <w:tcW w:w="4896" w:type="dxa"/>
            <w:tcMar>
              <w:top w:w="80" w:type="dxa"/>
              <w:left w:w="90" w:type="dxa"/>
              <w:bottom w:w="80" w:type="dxa"/>
              <w:right w:w="90" w:type="dxa"/>
            </w:tcMar>
            <w:vAlign w:val="center"/>
          </w:tcPr>
          <w:p w14:paraId="519636D1" w14:textId="77777777" w:rsidR="00C17922" w:rsidRDefault="00000000">
            <w:r>
              <w:t>Yahoo collects information users provide directly, content and communications, title queries, watch history, search queries, payment and billing information, device identifiers, advertising identifiers, browser and operating system information, cookie data, location information, and information combined from business partners or other companies. The policy also emphasizes cross-device recognition and personalization.</w:t>
            </w:r>
          </w:p>
        </w:tc>
      </w:tr>
      <w:tr w:rsidR="00C17922" w14:paraId="787D3C47" w14:textId="77777777">
        <w:trPr>
          <w:jc w:val="center"/>
        </w:trPr>
        <w:tc>
          <w:tcPr>
            <w:tcW w:w="4896" w:type="dxa"/>
            <w:shd w:val="clear" w:color="auto" w:fill="EAF3F8"/>
            <w:tcMar>
              <w:top w:w="80" w:type="dxa"/>
              <w:left w:w="90" w:type="dxa"/>
              <w:bottom w:w="80" w:type="dxa"/>
              <w:right w:w="90" w:type="dxa"/>
            </w:tcMar>
            <w:vAlign w:val="center"/>
          </w:tcPr>
          <w:p w14:paraId="4A0C975B" w14:textId="77777777" w:rsidR="00C17922" w:rsidRDefault="00000000">
            <w:r>
              <w:t>Data sharing policies</w:t>
            </w:r>
          </w:p>
        </w:tc>
        <w:tc>
          <w:tcPr>
            <w:tcW w:w="4896" w:type="dxa"/>
            <w:tcMar>
              <w:top w:w="80" w:type="dxa"/>
              <w:left w:w="90" w:type="dxa"/>
              <w:bottom w:w="80" w:type="dxa"/>
              <w:right w:w="90" w:type="dxa"/>
            </w:tcMar>
            <w:vAlign w:val="center"/>
          </w:tcPr>
          <w:p w14:paraId="601749F6" w14:textId="77777777" w:rsidR="00C17922" w:rsidRDefault="00000000">
            <w:r>
              <w:t>Yahoo shares information within Yahoo and with trusted partners working on its behalf. It also shares aggregated or pseudonymous information with publishers, advertisers, analytics providers, apps, and other companies. The policy states that Yahoo does not sell, license, or share personally identifiable information outside Yahoo except under listed circumstances such as consent, service delivery, legal reasons, or business transfer.</w:t>
            </w:r>
          </w:p>
        </w:tc>
      </w:tr>
      <w:tr w:rsidR="00C17922" w14:paraId="26A700C9" w14:textId="77777777">
        <w:trPr>
          <w:jc w:val="center"/>
        </w:trPr>
        <w:tc>
          <w:tcPr>
            <w:tcW w:w="4896" w:type="dxa"/>
            <w:shd w:val="clear" w:color="auto" w:fill="EAF3F8"/>
            <w:tcMar>
              <w:top w:w="80" w:type="dxa"/>
              <w:left w:w="90" w:type="dxa"/>
              <w:bottom w:w="80" w:type="dxa"/>
              <w:right w:w="90" w:type="dxa"/>
            </w:tcMar>
            <w:vAlign w:val="center"/>
          </w:tcPr>
          <w:p w14:paraId="777E6ECB" w14:textId="77777777" w:rsidR="00C17922" w:rsidRDefault="00000000">
            <w:r>
              <w:t>User rights</w:t>
            </w:r>
          </w:p>
        </w:tc>
        <w:tc>
          <w:tcPr>
            <w:tcW w:w="4896" w:type="dxa"/>
            <w:tcMar>
              <w:top w:w="80" w:type="dxa"/>
              <w:left w:w="90" w:type="dxa"/>
              <w:bottom w:w="80" w:type="dxa"/>
              <w:right w:w="90" w:type="dxa"/>
            </w:tcMar>
            <w:vAlign w:val="center"/>
          </w:tcPr>
          <w:p w14:paraId="486D5D74" w14:textId="77777777" w:rsidR="00C17922" w:rsidRDefault="00000000">
            <w:r>
              <w:t>Yahoo provides user controls for account information, marketing preferences, targeted ads, privacy dashboard access, and separate contact points for complaints, the Data Protection Officer, and an Article 27 representative. The rights language is comparatively strong and internationally aware.</w:t>
            </w:r>
          </w:p>
        </w:tc>
      </w:tr>
      <w:tr w:rsidR="00C17922" w14:paraId="3983E139" w14:textId="77777777">
        <w:trPr>
          <w:jc w:val="center"/>
        </w:trPr>
        <w:tc>
          <w:tcPr>
            <w:tcW w:w="4896" w:type="dxa"/>
            <w:shd w:val="clear" w:color="auto" w:fill="EAF3F8"/>
            <w:tcMar>
              <w:top w:w="80" w:type="dxa"/>
              <w:left w:w="90" w:type="dxa"/>
              <w:bottom w:w="80" w:type="dxa"/>
              <w:right w:w="90" w:type="dxa"/>
            </w:tcMar>
            <w:vAlign w:val="center"/>
          </w:tcPr>
          <w:p w14:paraId="6FD5EA18" w14:textId="77777777" w:rsidR="00C17922" w:rsidRDefault="00000000">
            <w:r>
              <w:t>Opt-out provisions</w:t>
            </w:r>
          </w:p>
        </w:tc>
        <w:tc>
          <w:tcPr>
            <w:tcW w:w="4896" w:type="dxa"/>
            <w:tcMar>
              <w:top w:w="80" w:type="dxa"/>
              <w:left w:w="90" w:type="dxa"/>
              <w:bottom w:w="80" w:type="dxa"/>
              <w:right w:w="90" w:type="dxa"/>
            </w:tcMar>
            <w:vAlign w:val="center"/>
          </w:tcPr>
          <w:p w14:paraId="7C829B11" w14:textId="77777777" w:rsidR="00C17922" w:rsidRDefault="00000000">
            <w:r>
              <w:t>Yahoo allows users to manage marketing preferences and opt out of targeted ads. If users opt out, they still see ads, but they may be less relevant. This is a fairly direct and understandable opt-out explanation.</w:t>
            </w:r>
          </w:p>
        </w:tc>
      </w:tr>
      <w:tr w:rsidR="00C17922" w14:paraId="459E2633" w14:textId="77777777">
        <w:trPr>
          <w:jc w:val="center"/>
        </w:trPr>
        <w:tc>
          <w:tcPr>
            <w:tcW w:w="4896" w:type="dxa"/>
            <w:shd w:val="clear" w:color="auto" w:fill="EAF3F8"/>
            <w:tcMar>
              <w:top w:w="80" w:type="dxa"/>
              <w:left w:w="90" w:type="dxa"/>
              <w:bottom w:w="80" w:type="dxa"/>
              <w:right w:w="90" w:type="dxa"/>
            </w:tcMar>
            <w:vAlign w:val="center"/>
          </w:tcPr>
          <w:p w14:paraId="13641FE7" w14:textId="77777777" w:rsidR="00C17922" w:rsidRDefault="00000000">
            <w:r>
              <w:t>Update procedures</w:t>
            </w:r>
          </w:p>
        </w:tc>
        <w:tc>
          <w:tcPr>
            <w:tcW w:w="4896" w:type="dxa"/>
            <w:tcMar>
              <w:top w:w="80" w:type="dxa"/>
              <w:left w:w="90" w:type="dxa"/>
              <w:bottom w:w="80" w:type="dxa"/>
              <w:right w:w="90" w:type="dxa"/>
            </w:tcMar>
            <w:vAlign w:val="center"/>
          </w:tcPr>
          <w:p w14:paraId="03288C61" w14:textId="77777777" w:rsidR="00C17922" w:rsidRDefault="00000000">
            <w:r>
              <w:t>Yahoo states that it may update the policy from time to time and will provide appropriate notice before material changes take effect. It also provides a recent updates log, which improves transparency.</w:t>
            </w:r>
          </w:p>
        </w:tc>
      </w:tr>
    </w:tbl>
    <w:p w14:paraId="5F2C5EE0" w14:textId="77777777" w:rsidR="00C17922" w:rsidRDefault="00C17922"/>
    <w:p w14:paraId="44409AE1" w14:textId="444B4314" w:rsidR="00C17922" w:rsidRDefault="00000000">
      <w:pPr>
        <w:pStyle w:val="Heading1"/>
      </w:pPr>
      <w:r>
        <w:t>Regulatory Comparison</w:t>
      </w:r>
    </w:p>
    <w:p w14:paraId="532AE77D" w14:textId="77777777" w:rsidR="0031459E" w:rsidRPr="0031459E" w:rsidRDefault="0031459E" w:rsidP="0031459E">
      <w:pPr>
        <w:pStyle w:val="NormalWeb"/>
        <w:rPr>
          <w:rFonts w:ascii="Aptos" w:eastAsiaTheme="minorEastAsia" w:hAnsi="Aptos" w:cstheme="minorBidi"/>
          <w:sz w:val="21"/>
          <w:szCs w:val="22"/>
        </w:rPr>
      </w:pPr>
      <w:r w:rsidRPr="0031459E">
        <w:rPr>
          <w:rFonts w:ascii="Aptos" w:eastAsiaTheme="minorEastAsia" w:hAnsi="Aptos" w:cstheme="minorBidi"/>
          <w:sz w:val="21"/>
          <w:szCs w:val="22"/>
        </w:rPr>
        <w:t>When comparing these privacy policies to major regulations, most of the companies generally meet the basic requirements, but some do it much better than others. In the United States, laws like the California Consumer Privacy Act (CCPA) and the Virginia Consumer Data Protection Act (VCDPA) set the main standards. In Europe, the General Data Protection Regulation (GDPR) is much stricter and requires more transparency and user control.</w:t>
      </w:r>
    </w:p>
    <w:p w14:paraId="2FFF9B86" w14:textId="77777777" w:rsidR="0031459E" w:rsidRPr="0031459E" w:rsidRDefault="0031459E" w:rsidP="0031459E">
      <w:pPr>
        <w:pStyle w:val="NormalWeb"/>
        <w:rPr>
          <w:rFonts w:ascii="Aptos" w:eastAsiaTheme="minorEastAsia" w:hAnsi="Aptos" w:cstheme="minorBidi"/>
          <w:sz w:val="21"/>
          <w:szCs w:val="22"/>
        </w:rPr>
      </w:pPr>
      <w:r w:rsidRPr="0031459E">
        <w:rPr>
          <w:rFonts w:ascii="Aptos" w:eastAsiaTheme="minorEastAsia" w:hAnsi="Aptos" w:cstheme="minorBidi"/>
          <w:sz w:val="21"/>
          <w:szCs w:val="22"/>
        </w:rPr>
        <w:t>Starting with the CCPA, which is enforced by the state of California, companies are required to clearly tell users what data they collect, allow users to access or delete their data, and give them the option to opt out of the sale of their personal information. Most of the companies in this analysis, like Amazon, Microsoft, and Yahoo, meet these requirements by including sections about what data they collect and giving users some level of control through account settings or dashboards. For example, Microsoft provides a privacy dashboard where users can view and manage their data, which aligns well with CCPA requirements. However, companies like Meta technically meet the requirements, but their policies are so long and complex that it is harder for users to fully understand what they are agreeing to.</w:t>
      </w:r>
    </w:p>
    <w:p w14:paraId="7BFE39D8" w14:textId="77777777" w:rsidR="0031459E" w:rsidRPr="0031459E" w:rsidRDefault="0031459E" w:rsidP="0031459E">
      <w:pPr>
        <w:pStyle w:val="NormalWeb"/>
        <w:rPr>
          <w:rFonts w:ascii="Aptos" w:eastAsiaTheme="minorEastAsia" w:hAnsi="Aptos" w:cstheme="minorBidi"/>
          <w:sz w:val="21"/>
          <w:szCs w:val="22"/>
        </w:rPr>
      </w:pPr>
      <w:r w:rsidRPr="0031459E">
        <w:rPr>
          <w:rFonts w:ascii="Aptos" w:eastAsiaTheme="minorEastAsia" w:hAnsi="Aptos" w:cstheme="minorBidi"/>
          <w:sz w:val="21"/>
          <w:szCs w:val="22"/>
        </w:rPr>
        <w:t xml:space="preserve">The VCDPA, which applies in Virginia, focuses more on limiting how companies process data and making sure they only collect what is necessary. It also requires businesses to clearly explain why they are collecting data and how it will be used. Larger companies like Apple and Microsoft do a better job here because they explain the purpose of data collection more clearly and give users more control. For example, Apple allows users to control data collection directly through device settings, which supports the idea of data minimization. On the other hand, smaller companies like </w:t>
      </w:r>
      <w:proofErr w:type="spellStart"/>
      <w:r w:rsidRPr="0031459E">
        <w:rPr>
          <w:rFonts w:ascii="Aptos" w:eastAsiaTheme="minorEastAsia" w:hAnsi="Aptos" w:cstheme="minorBidi"/>
          <w:sz w:val="21"/>
          <w:szCs w:val="22"/>
        </w:rPr>
        <w:t>Comfrt</w:t>
      </w:r>
      <w:proofErr w:type="spellEnd"/>
      <w:r w:rsidRPr="0031459E">
        <w:rPr>
          <w:rFonts w:ascii="Aptos" w:eastAsiaTheme="minorEastAsia" w:hAnsi="Aptos" w:cstheme="minorBidi"/>
          <w:sz w:val="21"/>
          <w:szCs w:val="22"/>
        </w:rPr>
        <w:t xml:space="preserve"> do not go into as much detail about why data is being collected or how it is limited, which makes their compliance less clear.</w:t>
      </w:r>
    </w:p>
    <w:p w14:paraId="62FE0F53" w14:textId="77777777" w:rsidR="0031459E" w:rsidRPr="0031459E" w:rsidRDefault="0031459E" w:rsidP="0031459E">
      <w:pPr>
        <w:pStyle w:val="NormalWeb"/>
        <w:rPr>
          <w:rFonts w:ascii="Aptos" w:eastAsiaTheme="minorEastAsia" w:hAnsi="Aptos" w:cstheme="minorBidi"/>
          <w:sz w:val="21"/>
          <w:szCs w:val="22"/>
        </w:rPr>
      </w:pPr>
      <w:r w:rsidRPr="0031459E">
        <w:rPr>
          <w:rFonts w:ascii="Aptos" w:eastAsiaTheme="minorEastAsia" w:hAnsi="Aptos" w:cstheme="minorBidi"/>
          <w:sz w:val="21"/>
          <w:szCs w:val="22"/>
        </w:rPr>
        <w:t xml:space="preserve">When looking at the GDPR, which is enforced in the European Union, the expectations are much higher. Companies must have a legal basis for collecting data, get clear user consent, and provide strong rights such as access, deletion, and data portability. Companies like Apple, Microsoft, and GitHub are the strongest in this area because they clearly explain user rights and include features that allow users to control their data. For example, GitHub explains how data is handled differently depending on whether the user is an individual or part of an organization, which shows a higher level of transparency. Amazon and PayPal also meet many GDPR requirements, but their policies are harder to understand, which can make it more difficult for users to </w:t>
      </w:r>
      <w:proofErr w:type="gramStart"/>
      <w:r w:rsidRPr="0031459E">
        <w:rPr>
          <w:rFonts w:ascii="Aptos" w:eastAsiaTheme="minorEastAsia" w:hAnsi="Aptos" w:cstheme="minorBidi"/>
          <w:sz w:val="21"/>
          <w:szCs w:val="22"/>
        </w:rPr>
        <w:t>actually exercise</w:t>
      </w:r>
      <w:proofErr w:type="gramEnd"/>
      <w:r w:rsidRPr="0031459E">
        <w:rPr>
          <w:rFonts w:ascii="Aptos" w:eastAsiaTheme="minorEastAsia" w:hAnsi="Aptos" w:cstheme="minorBidi"/>
          <w:sz w:val="21"/>
          <w:szCs w:val="22"/>
        </w:rPr>
        <w:t xml:space="preserve"> their rights.</w:t>
      </w:r>
    </w:p>
    <w:p w14:paraId="479EC6BB" w14:textId="77777777" w:rsidR="0031459E" w:rsidRPr="0031459E" w:rsidRDefault="0031459E" w:rsidP="0031459E">
      <w:pPr>
        <w:pStyle w:val="NormalWeb"/>
        <w:rPr>
          <w:rFonts w:ascii="Aptos" w:eastAsiaTheme="minorEastAsia" w:hAnsi="Aptos" w:cstheme="minorBidi"/>
          <w:sz w:val="21"/>
          <w:szCs w:val="22"/>
        </w:rPr>
      </w:pPr>
      <w:r w:rsidRPr="0031459E">
        <w:rPr>
          <w:rFonts w:ascii="Aptos" w:eastAsiaTheme="minorEastAsia" w:hAnsi="Aptos" w:cstheme="minorBidi"/>
          <w:sz w:val="21"/>
          <w:szCs w:val="22"/>
        </w:rPr>
        <w:t xml:space="preserve">Meta is one of the weakest when it comes to GDPR-style expectations, not necessarily because it violates the rules, but because it collects such a large amount of data, including off-platform activity and data from third parties. This creates more risk and makes it harder for users to fully understand how their data is being used. </w:t>
      </w:r>
      <w:proofErr w:type="spellStart"/>
      <w:r w:rsidRPr="0031459E">
        <w:rPr>
          <w:rFonts w:ascii="Aptos" w:eastAsiaTheme="minorEastAsia" w:hAnsi="Aptos" w:cstheme="minorBidi"/>
          <w:sz w:val="21"/>
          <w:szCs w:val="22"/>
        </w:rPr>
        <w:t>Comfrt</w:t>
      </w:r>
      <w:proofErr w:type="spellEnd"/>
      <w:r w:rsidRPr="0031459E">
        <w:rPr>
          <w:rFonts w:ascii="Aptos" w:eastAsiaTheme="minorEastAsia" w:hAnsi="Aptos" w:cstheme="minorBidi"/>
          <w:sz w:val="21"/>
          <w:szCs w:val="22"/>
        </w:rPr>
        <w:t xml:space="preserve"> is also weaker in this area, mainly because its policy lacks detail and does not clearly explain user rights or consent in the same way larger companies do.</w:t>
      </w:r>
    </w:p>
    <w:p w14:paraId="313ADD22" w14:textId="77777777" w:rsidR="0031459E" w:rsidRPr="0031459E" w:rsidRDefault="0031459E" w:rsidP="0031459E">
      <w:pPr>
        <w:pStyle w:val="NormalWeb"/>
        <w:rPr>
          <w:rFonts w:ascii="Aptos" w:eastAsiaTheme="minorEastAsia" w:hAnsi="Aptos" w:cstheme="minorBidi"/>
          <w:sz w:val="21"/>
          <w:szCs w:val="22"/>
        </w:rPr>
      </w:pPr>
      <w:r w:rsidRPr="0031459E">
        <w:rPr>
          <w:rFonts w:ascii="Aptos" w:eastAsiaTheme="minorEastAsia" w:hAnsi="Aptos" w:cstheme="minorBidi"/>
          <w:sz w:val="21"/>
          <w:szCs w:val="22"/>
        </w:rPr>
        <w:t>Overall, while most of these companies technically comply with major privacy regulations like CCPA, VCDPA, and GDPR, there is a clear difference in how transparent and user-friendly they are. Companies that are more upfront about their data practices and give users easy control, like Apple and Microsoft, align better with the intent of these laws, not just the minimum requirements.</w:t>
      </w:r>
    </w:p>
    <w:p w14:paraId="705A3648" w14:textId="03DAC28D" w:rsidR="0031459E" w:rsidRPr="0031459E" w:rsidRDefault="0031459E">
      <w:pPr>
        <w:pStyle w:val="Heading2"/>
        <w:rPr>
          <w:rFonts w:ascii="Aptos" w:eastAsiaTheme="minorEastAsia" w:hAnsi="Aptos" w:cstheme="minorBidi"/>
          <w:b w:val="0"/>
          <w:bCs w:val="0"/>
          <w:color w:val="auto"/>
          <w:sz w:val="21"/>
          <w:szCs w:val="22"/>
        </w:rPr>
      </w:pPr>
      <w:r w:rsidRPr="0031459E">
        <w:rPr>
          <w:rFonts w:ascii="Aptos" w:eastAsiaTheme="minorEastAsia" w:hAnsi="Aptos" w:cstheme="minorBidi"/>
          <w:b w:val="0"/>
          <w:bCs w:val="0"/>
          <w:color w:val="auto"/>
          <w:sz w:val="21"/>
          <w:szCs w:val="22"/>
        </w:rPr>
        <w:lastRenderedPageBreak/>
        <w:t xml:space="preserve"> </w:t>
      </w:r>
    </w:p>
    <w:p w14:paraId="4FA6A4D4" w14:textId="51C43CB8" w:rsidR="00C17922" w:rsidRDefault="00000000">
      <w:pPr>
        <w:pStyle w:val="Heading2"/>
      </w:pPr>
      <w:r>
        <w:t>Regulatory alignment summary table</w:t>
      </w:r>
      <w:r w:rsidR="0031459E">
        <w:t xml:space="preserve"> (Put together by AI)</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C17922" w14:paraId="4D7D0EB2" w14:textId="77777777">
        <w:trPr>
          <w:tblHeader/>
          <w:jc w:val="center"/>
        </w:trPr>
        <w:tc>
          <w:tcPr>
            <w:tcW w:w="1958" w:type="dxa"/>
            <w:shd w:val="clear" w:color="auto" w:fill="BFD7EA"/>
            <w:tcMar>
              <w:top w:w="80" w:type="dxa"/>
              <w:left w:w="90" w:type="dxa"/>
              <w:bottom w:w="80" w:type="dxa"/>
              <w:right w:w="90" w:type="dxa"/>
            </w:tcMar>
          </w:tcPr>
          <w:p w14:paraId="470E467D" w14:textId="77777777" w:rsidR="00C17922" w:rsidRDefault="00000000">
            <w:r>
              <w:rPr>
                <w:b/>
              </w:rPr>
              <w:t>Policy</w:t>
            </w:r>
          </w:p>
        </w:tc>
        <w:tc>
          <w:tcPr>
            <w:tcW w:w="1958" w:type="dxa"/>
            <w:shd w:val="clear" w:color="auto" w:fill="BFD7EA"/>
            <w:tcMar>
              <w:top w:w="80" w:type="dxa"/>
              <w:left w:w="90" w:type="dxa"/>
              <w:bottom w:w="80" w:type="dxa"/>
              <w:right w:w="90" w:type="dxa"/>
            </w:tcMar>
          </w:tcPr>
          <w:p w14:paraId="09B2F6D1" w14:textId="77777777" w:rsidR="00C17922" w:rsidRDefault="00000000">
            <w:r>
              <w:rPr>
                <w:b/>
              </w:rPr>
              <w:t>CCPA</w:t>
            </w:r>
          </w:p>
        </w:tc>
        <w:tc>
          <w:tcPr>
            <w:tcW w:w="1958" w:type="dxa"/>
            <w:shd w:val="clear" w:color="auto" w:fill="BFD7EA"/>
            <w:tcMar>
              <w:top w:w="80" w:type="dxa"/>
              <w:left w:w="90" w:type="dxa"/>
              <w:bottom w:w="80" w:type="dxa"/>
              <w:right w:w="90" w:type="dxa"/>
            </w:tcMar>
          </w:tcPr>
          <w:p w14:paraId="31B35564" w14:textId="77777777" w:rsidR="00C17922" w:rsidRDefault="00000000">
            <w:r>
              <w:rPr>
                <w:b/>
              </w:rPr>
              <w:t>VCDPA</w:t>
            </w:r>
          </w:p>
        </w:tc>
        <w:tc>
          <w:tcPr>
            <w:tcW w:w="1958" w:type="dxa"/>
            <w:shd w:val="clear" w:color="auto" w:fill="BFD7EA"/>
            <w:tcMar>
              <w:top w:w="80" w:type="dxa"/>
              <w:left w:w="90" w:type="dxa"/>
              <w:bottom w:w="80" w:type="dxa"/>
              <w:right w:w="90" w:type="dxa"/>
            </w:tcMar>
          </w:tcPr>
          <w:p w14:paraId="47DFB046" w14:textId="77777777" w:rsidR="00C17922" w:rsidRDefault="00000000">
            <w:r>
              <w:rPr>
                <w:b/>
              </w:rPr>
              <w:t>GDPR</w:t>
            </w:r>
          </w:p>
        </w:tc>
        <w:tc>
          <w:tcPr>
            <w:tcW w:w="1958" w:type="dxa"/>
            <w:shd w:val="clear" w:color="auto" w:fill="BFD7EA"/>
            <w:tcMar>
              <w:top w:w="80" w:type="dxa"/>
              <w:left w:w="90" w:type="dxa"/>
              <w:bottom w:w="80" w:type="dxa"/>
              <w:right w:w="90" w:type="dxa"/>
            </w:tcMar>
          </w:tcPr>
          <w:p w14:paraId="6B7A4A30" w14:textId="77777777" w:rsidR="00C17922" w:rsidRDefault="00000000">
            <w:r>
              <w:rPr>
                <w:b/>
              </w:rPr>
              <w:t>Overall policy transparency</w:t>
            </w:r>
          </w:p>
        </w:tc>
      </w:tr>
      <w:tr w:rsidR="00C17922" w14:paraId="3C8655DD" w14:textId="77777777">
        <w:trPr>
          <w:jc w:val="center"/>
        </w:trPr>
        <w:tc>
          <w:tcPr>
            <w:tcW w:w="1958" w:type="dxa"/>
            <w:tcMar>
              <w:top w:w="75" w:type="dxa"/>
              <w:left w:w="85" w:type="dxa"/>
              <w:bottom w:w="75" w:type="dxa"/>
              <w:right w:w="85" w:type="dxa"/>
            </w:tcMar>
          </w:tcPr>
          <w:p w14:paraId="51A994DC" w14:textId="77777777" w:rsidR="00C17922" w:rsidRDefault="00000000">
            <w:r>
              <w:t>Amazon</w:t>
            </w:r>
          </w:p>
        </w:tc>
        <w:tc>
          <w:tcPr>
            <w:tcW w:w="1958" w:type="dxa"/>
            <w:tcMar>
              <w:top w:w="75" w:type="dxa"/>
              <w:left w:w="85" w:type="dxa"/>
              <w:bottom w:w="75" w:type="dxa"/>
              <w:right w:w="85" w:type="dxa"/>
            </w:tcMar>
          </w:tcPr>
          <w:p w14:paraId="71C09FB9" w14:textId="77777777" w:rsidR="00C17922" w:rsidRDefault="00000000">
            <w:pPr>
              <w:jc w:val="center"/>
            </w:pPr>
            <w:r>
              <w:t>Moderate</w:t>
            </w:r>
          </w:p>
        </w:tc>
        <w:tc>
          <w:tcPr>
            <w:tcW w:w="1958" w:type="dxa"/>
            <w:tcMar>
              <w:top w:w="75" w:type="dxa"/>
              <w:left w:w="85" w:type="dxa"/>
              <w:bottom w:w="75" w:type="dxa"/>
              <w:right w:w="85" w:type="dxa"/>
            </w:tcMar>
          </w:tcPr>
          <w:p w14:paraId="05BC7A51" w14:textId="77777777" w:rsidR="00C17922" w:rsidRDefault="00000000">
            <w:pPr>
              <w:jc w:val="center"/>
            </w:pPr>
            <w:r>
              <w:t>Moderate</w:t>
            </w:r>
          </w:p>
        </w:tc>
        <w:tc>
          <w:tcPr>
            <w:tcW w:w="1958" w:type="dxa"/>
            <w:tcMar>
              <w:top w:w="75" w:type="dxa"/>
              <w:left w:w="85" w:type="dxa"/>
              <w:bottom w:w="75" w:type="dxa"/>
              <w:right w:w="85" w:type="dxa"/>
            </w:tcMar>
          </w:tcPr>
          <w:p w14:paraId="2AAD1D84" w14:textId="77777777" w:rsidR="00C17922" w:rsidRDefault="00000000">
            <w:pPr>
              <w:jc w:val="center"/>
            </w:pPr>
            <w:r>
              <w:t>Moderate</w:t>
            </w:r>
          </w:p>
        </w:tc>
        <w:tc>
          <w:tcPr>
            <w:tcW w:w="1958" w:type="dxa"/>
            <w:tcMar>
              <w:top w:w="75" w:type="dxa"/>
              <w:left w:w="85" w:type="dxa"/>
              <w:bottom w:w="75" w:type="dxa"/>
              <w:right w:w="85" w:type="dxa"/>
            </w:tcMar>
          </w:tcPr>
          <w:p w14:paraId="4E520B3F" w14:textId="77777777" w:rsidR="00C17922" w:rsidRDefault="00000000">
            <w:pPr>
              <w:jc w:val="center"/>
            </w:pPr>
            <w:r>
              <w:t>Moderate</w:t>
            </w:r>
          </w:p>
        </w:tc>
      </w:tr>
      <w:tr w:rsidR="00C17922" w14:paraId="199AFFE6" w14:textId="77777777">
        <w:trPr>
          <w:jc w:val="center"/>
        </w:trPr>
        <w:tc>
          <w:tcPr>
            <w:tcW w:w="1958" w:type="dxa"/>
            <w:tcMar>
              <w:top w:w="75" w:type="dxa"/>
              <w:left w:w="85" w:type="dxa"/>
              <w:bottom w:w="75" w:type="dxa"/>
              <w:right w:w="85" w:type="dxa"/>
            </w:tcMar>
          </w:tcPr>
          <w:p w14:paraId="0898E14C" w14:textId="77777777" w:rsidR="00C17922" w:rsidRDefault="00000000">
            <w:r>
              <w:t>Comfrt</w:t>
            </w:r>
          </w:p>
        </w:tc>
        <w:tc>
          <w:tcPr>
            <w:tcW w:w="1958" w:type="dxa"/>
            <w:tcMar>
              <w:top w:w="75" w:type="dxa"/>
              <w:left w:w="85" w:type="dxa"/>
              <w:bottom w:w="75" w:type="dxa"/>
              <w:right w:w="85" w:type="dxa"/>
            </w:tcMar>
          </w:tcPr>
          <w:p w14:paraId="6C07C433" w14:textId="77777777" w:rsidR="00C17922" w:rsidRDefault="00000000">
            <w:pPr>
              <w:jc w:val="center"/>
            </w:pPr>
            <w:r>
              <w:t>Moderate</w:t>
            </w:r>
          </w:p>
        </w:tc>
        <w:tc>
          <w:tcPr>
            <w:tcW w:w="1958" w:type="dxa"/>
            <w:tcMar>
              <w:top w:w="75" w:type="dxa"/>
              <w:left w:w="85" w:type="dxa"/>
              <w:bottom w:w="75" w:type="dxa"/>
              <w:right w:w="85" w:type="dxa"/>
            </w:tcMar>
          </w:tcPr>
          <w:p w14:paraId="00FEBD16" w14:textId="77777777" w:rsidR="00C17922" w:rsidRDefault="00000000">
            <w:pPr>
              <w:jc w:val="center"/>
            </w:pPr>
            <w:r>
              <w:t>Limited to moderate</w:t>
            </w:r>
          </w:p>
        </w:tc>
        <w:tc>
          <w:tcPr>
            <w:tcW w:w="1958" w:type="dxa"/>
            <w:tcMar>
              <w:top w:w="75" w:type="dxa"/>
              <w:left w:w="85" w:type="dxa"/>
              <w:bottom w:w="75" w:type="dxa"/>
              <w:right w:w="85" w:type="dxa"/>
            </w:tcMar>
          </w:tcPr>
          <w:p w14:paraId="47A89F54" w14:textId="77777777" w:rsidR="00C17922" w:rsidRDefault="00000000">
            <w:pPr>
              <w:jc w:val="center"/>
            </w:pPr>
            <w:r>
              <w:t>Moderate</w:t>
            </w:r>
          </w:p>
        </w:tc>
        <w:tc>
          <w:tcPr>
            <w:tcW w:w="1958" w:type="dxa"/>
            <w:tcMar>
              <w:top w:w="75" w:type="dxa"/>
              <w:left w:w="85" w:type="dxa"/>
              <w:bottom w:w="75" w:type="dxa"/>
              <w:right w:w="85" w:type="dxa"/>
            </w:tcMar>
          </w:tcPr>
          <w:p w14:paraId="2AF5250C" w14:textId="77777777" w:rsidR="00C17922" w:rsidRDefault="00000000">
            <w:pPr>
              <w:jc w:val="center"/>
            </w:pPr>
            <w:r>
              <w:t>Moderate</w:t>
            </w:r>
          </w:p>
        </w:tc>
      </w:tr>
      <w:tr w:rsidR="00C17922" w14:paraId="5A1B57B1" w14:textId="77777777">
        <w:trPr>
          <w:jc w:val="center"/>
        </w:trPr>
        <w:tc>
          <w:tcPr>
            <w:tcW w:w="1958" w:type="dxa"/>
            <w:tcMar>
              <w:top w:w="75" w:type="dxa"/>
              <w:left w:w="85" w:type="dxa"/>
              <w:bottom w:w="75" w:type="dxa"/>
              <w:right w:w="85" w:type="dxa"/>
            </w:tcMar>
          </w:tcPr>
          <w:p w14:paraId="6A57D96B" w14:textId="77777777" w:rsidR="00C17922" w:rsidRDefault="00000000">
            <w:r>
              <w:t>GitHub</w:t>
            </w:r>
          </w:p>
        </w:tc>
        <w:tc>
          <w:tcPr>
            <w:tcW w:w="1958" w:type="dxa"/>
            <w:tcMar>
              <w:top w:w="75" w:type="dxa"/>
              <w:left w:w="85" w:type="dxa"/>
              <w:bottom w:w="75" w:type="dxa"/>
              <w:right w:w="85" w:type="dxa"/>
            </w:tcMar>
          </w:tcPr>
          <w:p w14:paraId="473CC6EC" w14:textId="77777777" w:rsidR="00C17922" w:rsidRDefault="00000000">
            <w:pPr>
              <w:jc w:val="center"/>
            </w:pPr>
            <w:r>
              <w:t>Strong</w:t>
            </w:r>
          </w:p>
        </w:tc>
        <w:tc>
          <w:tcPr>
            <w:tcW w:w="1958" w:type="dxa"/>
            <w:tcMar>
              <w:top w:w="75" w:type="dxa"/>
              <w:left w:w="85" w:type="dxa"/>
              <w:bottom w:w="75" w:type="dxa"/>
              <w:right w:w="85" w:type="dxa"/>
            </w:tcMar>
          </w:tcPr>
          <w:p w14:paraId="01A8188A" w14:textId="77777777" w:rsidR="00C17922" w:rsidRDefault="00000000">
            <w:pPr>
              <w:jc w:val="center"/>
            </w:pPr>
            <w:r>
              <w:t>Strong</w:t>
            </w:r>
          </w:p>
        </w:tc>
        <w:tc>
          <w:tcPr>
            <w:tcW w:w="1958" w:type="dxa"/>
            <w:tcMar>
              <w:top w:w="75" w:type="dxa"/>
              <w:left w:w="85" w:type="dxa"/>
              <w:bottom w:w="75" w:type="dxa"/>
              <w:right w:w="85" w:type="dxa"/>
            </w:tcMar>
          </w:tcPr>
          <w:p w14:paraId="28C22094" w14:textId="77777777" w:rsidR="00C17922" w:rsidRDefault="00000000">
            <w:pPr>
              <w:jc w:val="center"/>
            </w:pPr>
            <w:r>
              <w:t>Strong</w:t>
            </w:r>
          </w:p>
        </w:tc>
        <w:tc>
          <w:tcPr>
            <w:tcW w:w="1958" w:type="dxa"/>
            <w:tcMar>
              <w:top w:w="75" w:type="dxa"/>
              <w:left w:w="85" w:type="dxa"/>
              <w:bottom w:w="75" w:type="dxa"/>
              <w:right w:w="85" w:type="dxa"/>
            </w:tcMar>
          </w:tcPr>
          <w:p w14:paraId="3A689B51" w14:textId="77777777" w:rsidR="00C17922" w:rsidRDefault="00000000">
            <w:pPr>
              <w:jc w:val="center"/>
            </w:pPr>
            <w:r>
              <w:t>Strong</w:t>
            </w:r>
          </w:p>
        </w:tc>
      </w:tr>
      <w:tr w:rsidR="00C17922" w14:paraId="6BD853F7" w14:textId="77777777">
        <w:trPr>
          <w:jc w:val="center"/>
        </w:trPr>
        <w:tc>
          <w:tcPr>
            <w:tcW w:w="1958" w:type="dxa"/>
            <w:tcMar>
              <w:top w:w="75" w:type="dxa"/>
              <w:left w:w="85" w:type="dxa"/>
              <w:bottom w:w="75" w:type="dxa"/>
              <w:right w:w="85" w:type="dxa"/>
            </w:tcMar>
          </w:tcPr>
          <w:p w14:paraId="65FFFAB0" w14:textId="77777777" w:rsidR="00C17922" w:rsidRDefault="00000000">
            <w:r>
              <w:t>Apple</w:t>
            </w:r>
          </w:p>
        </w:tc>
        <w:tc>
          <w:tcPr>
            <w:tcW w:w="1958" w:type="dxa"/>
            <w:tcMar>
              <w:top w:w="75" w:type="dxa"/>
              <w:left w:w="85" w:type="dxa"/>
              <w:bottom w:w="75" w:type="dxa"/>
              <w:right w:w="85" w:type="dxa"/>
            </w:tcMar>
          </w:tcPr>
          <w:p w14:paraId="28412687" w14:textId="77777777" w:rsidR="00C17922" w:rsidRDefault="00000000">
            <w:pPr>
              <w:jc w:val="center"/>
            </w:pPr>
            <w:r>
              <w:t>Strong</w:t>
            </w:r>
          </w:p>
        </w:tc>
        <w:tc>
          <w:tcPr>
            <w:tcW w:w="1958" w:type="dxa"/>
            <w:tcMar>
              <w:top w:w="75" w:type="dxa"/>
              <w:left w:w="85" w:type="dxa"/>
              <w:bottom w:w="75" w:type="dxa"/>
              <w:right w:w="85" w:type="dxa"/>
            </w:tcMar>
          </w:tcPr>
          <w:p w14:paraId="666FD4CB" w14:textId="77777777" w:rsidR="00C17922" w:rsidRDefault="00000000">
            <w:pPr>
              <w:jc w:val="center"/>
            </w:pPr>
            <w:r>
              <w:t>Strong</w:t>
            </w:r>
          </w:p>
        </w:tc>
        <w:tc>
          <w:tcPr>
            <w:tcW w:w="1958" w:type="dxa"/>
            <w:tcMar>
              <w:top w:w="75" w:type="dxa"/>
              <w:left w:w="85" w:type="dxa"/>
              <w:bottom w:w="75" w:type="dxa"/>
              <w:right w:w="85" w:type="dxa"/>
            </w:tcMar>
          </w:tcPr>
          <w:p w14:paraId="6B436216" w14:textId="77777777" w:rsidR="00C17922" w:rsidRDefault="00000000">
            <w:pPr>
              <w:jc w:val="center"/>
            </w:pPr>
            <w:r>
              <w:t>Strong</w:t>
            </w:r>
          </w:p>
        </w:tc>
        <w:tc>
          <w:tcPr>
            <w:tcW w:w="1958" w:type="dxa"/>
            <w:tcMar>
              <w:top w:w="75" w:type="dxa"/>
              <w:left w:w="85" w:type="dxa"/>
              <w:bottom w:w="75" w:type="dxa"/>
              <w:right w:w="85" w:type="dxa"/>
            </w:tcMar>
          </w:tcPr>
          <w:p w14:paraId="1316C6E1" w14:textId="77777777" w:rsidR="00C17922" w:rsidRDefault="00000000">
            <w:pPr>
              <w:jc w:val="center"/>
            </w:pPr>
            <w:r>
              <w:t>Strong</w:t>
            </w:r>
          </w:p>
        </w:tc>
      </w:tr>
      <w:tr w:rsidR="00C17922" w14:paraId="0256E3CF" w14:textId="77777777">
        <w:trPr>
          <w:jc w:val="center"/>
        </w:trPr>
        <w:tc>
          <w:tcPr>
            <w:tcW w:w="1958" w:type="dxa"/>
            <w:tcMar>
              <w:top w:w="75" w:type="dxa"/>
              <w:left w:w="85" w:type="dxa"/>
              <w:bottom w:w="75" w:type="dxa"/>
              <w:right w:w="85" w:type="dxa"/>
            </w:tcMar>
          </w:tcPr>
          <w:p w14:paraId="651A2DB4" w14:textId="77777777" w:rsidR="00C17922" w:rsidRDefault="00000000">
            <w:r>
              <w:t>Meta</w:t>
            </w:r>
          </w:p>
        </w:tc>
        <w:tc>
          <w:tcPr>
            <w:tcW w:w="1958" w:type="dxa"/>
            <w:tcMar>
              <w:top w:w="75" w:type="dxa"/>
              <w:left w:w="85" w:type="dxa"/>
              <w:bottom w:w="75" w:type="dxa"/>
              <w:right w:w="85" w:type="dxa"/>
            </w:tcMar>
          </w:tcPr>
          <w:p w14:paraId="38583FB6" w14:textId="77777777" w:rsidR="00C17922" w:rsidRDefault="00000000">
            <w:pPr>
              <w:jc w:val="center"/>
            </w:pPr>
            <w:r>
              <w:t>Moderate</w:t>
            </w:r>
          </w:p>
        </w:tc>
        <w:tc>
          <w:tcPr>
            <w:tcW w:w="1958" w:type="dxa"/>
            <w:tcMar>
              <w:top w:w="75" w:type="dxa"/>
              <w:left w:w="85" w:type="dxa"/>
              <w:bottom w:w="75" w:type="dxa"/>
              <w:right w:w="85" w:type="dxa"/>
            </w:tcMar>
          </w:tcPr>
          <w:p w14:paraId="2C91037B" w14:textId="77777777" w:rsidR="00C17922" w:rsidRDefault="00000000">
            <w:pPr>
              <w:jc w:val="center"/>
            </w:pPr>
            <w:r>
              <w:t>Moderate</w:t>
            </w:r>
          </w:p>
        </w:tc>
        <w:tc>
          <w:tcPr>
            <w:tcW w:w="1958" w:type="dxa"/>
            <w:tcMar>
              <w:top w:w="75" w:type="dxa"/>
              <w:left w:w="85" w:type="dxa"/>
              <w:bottom w:w="75" w:type="dxa"/>
              <w:right w:w="85" w:type="dxa"/>
            </w:tcMar>
          </w:tcPr>
          <w:p w14:paraId="523F61C5" w14:textId="77777777" w:rsidR="00C17922" w:rsidRDefault="00000000">
            <w:pPr>
              <w:jc w:val="center"/>
            </w:pPr>
            <w:r>
              <w:t>Moderate to strong</w:t>
            </w:r>
          </w:p>
        </w:tc>
        <w:tc>
          <w:tcPr>
            <w:tcW w:w="1958" w:type="dxa"/>
            <w:tcMar>
              <w:top w:w="75" w:type="dxa"/>
              <w:left w:w="85" w:type="dxa"/>
              <w:bottom w:w="75" w:type="dxa"/>
              <w:right w:w="85" w:type="dxa"/>
            </w:tcMar>
          </w:tcPr>
          <w:p w14:paraId="6496A578" w14:textId="77777777" w:rsidR="00C17922" w:rsidRDefault="00000000">
            <w:pPr>
              <w:jc w:val="center"/>
            </w:pPr>
            <w:r>
              <w:t>Moderate</w:t>
            </w:r>
          </w:p>
        </w:tc>
      </w:tr>
      <w:tr w:rsidR="00C17922" w14:paraId="5F7C03E1" w14:textId="77777777">
        <w:trPr>
          <w:jc w:val="center"/>
        </w:trPr>
        <w:tc>
          <w:tcPr>
            <w:tcW w:w="1958" w:type="dxa"/>
            <w:tcMar>
              <w:top w:w="75" w:type="dxa"/>
              <w:left w:w="85" w:type="dxa"/>
              <w:bottom w:w="75" w:type="dxa"/>
              <w:right w:w="85" w:type="dxa"/>
            </w:tcMar>
          </w:tcPr>
          <w:p w14:paraId="5A6E2F4D" w14:textId="77777777" w:rsidR="00C17922" w:rsidRDefault="00000000">
            <w:r>
              <w:t>Microsoft</w:t>
            </w:r>
          </w:p>
        </w:tc>
        <w:tc>
          <w:tcPr>
            <w:tcW w:w="1958" w:type="dxa"/>
            <w:tcMar>
              <w:top w:w="75" w:type="dxa"/>
              <w:left w:w="85" w:type="dxa"/>
              <w:bottom w:w="75" w:type="dxa"/>
              <w:right w:w="85" w:type="dxa"/>
            </w:tcMar>
          </w:tcPr>
          <w:p w14:paraId="5019722B" w14:textId="77777777" w:rsidR="00C17922" w:rsidRDefault="00000000">
            <w:pPr>
              <w:jc w:val="center"/>
            </w:pPr>
            <w:r>
              <w:t>Strong</w:t>
            </w:r>
          </w:p>
        </w:tc>
        <w:tc>
          <w:tcPr>
            <w:tcW w:w="1958" w:type="dxa"/>
            <w:tcMar>
              <w:top w:w="75" w:type="dxa"/>
              <w:left w:w="85" w:type="dxa"/>
              <w:bottom w:w="75" w:type="dxa"/>
              <w:right w:w="85" w:type="dxa"/>
            </w:tcMar>
          </w:tcPr>
          <w:p w14:paraId="7B3DBA41" w14:textId="77777777" w:rsidR="00C17922" w:rsidRDefault="00000000">
            <w:pPr>
              <w:jc w:val="center"/>
            </w:pPr>
            <w:r>
              <w:t>Strong</w:t>
            </w:r>
          </w:p>
        </w:tc>
        <w:tc>
          <w:tcPr>
            <w:tcW w:w="1958" w:type="dxa"/>
            <w:tcMar>
              <w:top w:w="75" w:type="dxa"/>
              <w:left w:w="85" w:type="dxa"/>
              <w:bottom w:w="75" w:type="dxa"/>
              <w:right w:w="85" w:type="dxa"/>
            </w:tcMar>
          </w:tcPr>
          <w:p w14:paraId="0A1F3944" w14:textId="77777777" w:rsidR="00C17922" w:rsidRDefault="00000000">
            <w:pPr>
              <w:jc w:val="center"/>
            </w:pPr>
            <w:r>
              <w:t>Strong</w:t>
            </w:r>
          </w:p>
        </w:tc>
        <w:tc>
          <w:tcPr>
            <w:tcW w:w="1958" w:type="dxa"/>
            <w:tcMar>
              <w:top w:w="75" w:type="dxa"/>
              <w:left w:w="85" w:type="dxa"/>
              <w:bottom w:w="75" w:type="dxa"/>
              <w:right w:w="85" w:type="dxa"/>
            </w:tcMar>
          </w:tcPr>
          <w:p w14:paraId="6AE49D86" w14:textId="77777777" w:rsidR="00C17922" w:rsidRDefault="00000000">
            <w:pPr>
              <w:jc w:val="center"/>
            </w:pPr>
            <w:r>
              <w:t>Strong</w:t>
            </w:r>
          </w:p>
        </w:tc>
      </w:tr>
      <w:tr w:rsidR="00C17922" w14:paraId="20831DB9" w14:textId="77777777">
        <w:trPr>
          <w:jc w:val="center"/>
        </w:trPr>
        <w:tc>
          <w:tcPr>
            <w:tcW w:w="1958" w:type="dxa"/>
            <w:tcMar>
              <w:top w:w="75" w:type="dxa"/>
              <w:left w:w="85" w:type="dxa"/>
              <w:bottom w:w="75" w:type="dxa"/>
              <w:right w:w="85" w:type="dxa"/>
            </w:tcMar>
          </w:tcPr>
          <w:p w14:paraId="33ADC5A7" w14:textId="77777777" w:rsidR="00C17922" w:rsidRDefault="00000000">
            <w:r>
              <w:t>PayPal</w:t>
            </w:r>
          </w:p>
        </w:tc>
        <w:tc>
          <w:tcPr>
            <w:tcW w:w="1958" w:type="dxa"/>
            <w:tcMar>
              <w:top w:w="75" w:type="dxa"/>
              <w:left w:w="85" w:type="dxa"/>
              <w:bottom w:w="75" w:type="dxa"/>
              <w:right w:w="85" w:type="dxa"/>
            </w:tcMar>
          </w:tcPr>
          <w:p w14:paraId="2C845543" w14:textId="77777777" w:rsidR="00C17922" w:rsidRDefault="00000000">
            <w:pPr>
              <w:jc w:val="center"/>
            </w:pPr>
            <w:r>
              <w:t>Strong</w:t>
            </w:r>
          </w:p>
        </w:tc>
        <w:tc>
          <w:tcPr>
            <w:tcW w:w="1958" w:type="dxa"/>
            <w:tcMar>
              <w:top w:w="75" w:type="dxa"/>
              <w:left w:w="85" w:type="dxa"/>
              <w:bottom w:w="75" w:type="dxa"/>
              <w:right w:w="85" w:type="dxa"/>
            </w:tcMar>
          </w:tcPr>
          <w:p w14:paraId="6BC7AAA7" w14:textId="77777777" w:rsidR="00C17922" w:rsidRDefault="00000000">
            <w:pPr>
              <w:jc w:val="center"/>
            </w:pPr>
            <w:r>
              <w:t>Moderate to strong</w:t>
            </w:r>
          </w:p>
        </w:tc>
        <w:tc>
          <w:tcPr>
            <w:tcW w:w="1958" w:type="dxa"/>
            <w:tcMar>
              <w:top w:w="75" w:type="dxa"/>
              <w:left w:w="85" w:type="dxa"/>
              <w:bottom w:w="75" w:type="dxa"/>
              <w:right w:w="85" w:type="dxa"/>
            </w:tcMar>
          </w:tcPr>
          <w:p w14:paraId="65EAB52A" w14:textId="77777777" w:rsidR="00C17922" w:rsidRDefault="00000000">
            <w:pPr>
              <w:jc w:val="center"/>
            </w:pPr>
            <w:r>
              <w:t>Moderate to strong</w:t>
            </w:r>
          </w:p>
        </w:tc>
        <w:tc>
          <w:tcPr>
            <w:tcW w:w="1958" w:type="dxa"/>
            <w:tcMar>
              <w:top w:w="75" w:type="dxa"/>
              <w:left w:w="85" w:type="dxa"/>
              <w:bottom w:w="75" w:type="dxa"/>
              <w:right w:w="85" w:type="dxa"/>
            </w:tcMar>
          </w:tcPr>
          <w:p w14:paraId="7834E6B1" w14:textId="77777777" w:rsidR="00C17922" w:rsidRDefault="00000000">
            <w:pPr>
              <w:jc w:val="center"/>
            </w:pPr>
            <w:r>
              <w:t>Strong</w:t>
            </w:r>
          </w:p>
        </w:tc>
      </w:tr>
      <w:tr w:rsidR="00C17922" w14:paraId="5D8C95BB" w14:textId="77777777">
        <w:trPr>
          <w:jc w:val="center"/>
        </w:trPr>
        <w:tc>
          <w:tcPr>
            <w:tcW w:w="1958" w:type="dxa"/>
            <w:tcMar>
              <w:top w:w="75" w:type="dxa"/>
              <w:left w:w="85" w:type="dxa"/>
              <w:bottom w:w="75" w:type="dxa"/>
              <w:right w:w="85" w:type="dxa"/>
            </w:tcMar>
          </w:tcPr>
          <w:p w14:paraId="6117FAA0" w14:textId="77777777" w:rsidR="00C17922" w:rsidRDefault="00000000">
            <w:r>
              <w:t>Venmo</w:t>
            </w:r>
          </w:p>
        </w:tc>
        <w:tc>
          <w:tcPr>
            <w:tcW w:w="1958" w:type="dxa"/>
            <w:tcMar>
              <w:top w:w="75" w:type="dxa"/>
              <w:left w:w="85" w:type="dxa"/>
              <w:bottom w:w="75" w:type="dxa"/>
              <w:right w:w="85" w:type="dxa"/>
            </w:tcMar>
          </w:tcPr>
          <w:p w14:paraId="6FF6C3B5" w14:textId="77777777" w:rsidR="00C17922" w:rsidRDefault="00000000">
            <w:pPr>
              <w:jc w:val="center"/>
            </w:pPr>
            <w:r>
              <w:t>Strong</w:t>
            </w:r>
          </w:p>
        </w:tc>
        <w:tc>
          <w:tcPr>
            <w:tcW w:w="1958" w:type="dxa"/>
            <w:tcMar>
              <w:top w:w="75" w:type="dxa"/>
              <w:left w:w="85" w:type="dxa"/>
              <w:bottom w:w="75" w:type="dxa"/>
              <w:right w:w="85" w:type="dxa"/>
            </w:tcMar>
          </w:tcPr>
          <w:p w14:paraId="68BEF30F" w14:textId="77777777" w:rsidR="00C17922" w:rsidRDefault="00000000">
            <w:pPr>
              <w:jc w:val="center"/>
            </w:pPr>
            <w:r>
              <w:t>Moderate</w:t>
            </w:r>
          </w:p>
        </w:tc>
        <w:tc>
          <w:tcPr>
            <w:tcW w:w="1958" w:type="dxa"/>
            <w:tcMar>
              <w:top w:w="75" w:type="dxa"/>
              <w:left w:w="85" w:type="dxa"/>
              <w:bottom w:w="75" w:type="dxa"/>
              <w:right w:w="85" w:type="dxa"/>
            </w:tcMar>
          </w:tcPr>
          <w:p w14:paraId="007F6D7B" w14:textId="77777777" w:rsidR="00C17922" w:rsidRDefault="00000000">
            <w:pPr>
              <w:jc w:val="center"/>
            </w:pPr>
            <w:r>
              <w:t>Moderate</w:t>
            </w:r>
          </w:p>
        </w:tc>
        <w:tc>
          <w:tcPr>
            <w:tcW w:w="1958" w:type="dxa"/>
            <w:tcMar>
              <w:top w:w="75" w:type="dxa"/>
              <w:left w:w="85" w:type="dxa"/>
              <w:bottom w:w="75" w:type="dxa"/>
              <w:right w:w="85" w:type="dxa"/>
            </w:tcMar>
          </w:tcPr>
          <w:p w14:paraId="3397B1CB" w14:textId="77777777" w:rsidR="00C17922" w:rsidRDefault="00000000">
            <w:pPr>
              <w:jc w:val="center"/>
            </w:pPr>
            <w:r>
              <w:t>Moderate to strong</w:t>
            </w:r>
          </w:p>
        </w:tc>
      </w:tr>
      <w:tr w:rsidR="00C17922" w14:paraId="4533E32B" w14:textId="77777777">
        <w:trPr>
          <w:jc w:val="center"/>
        </w:trPr>
        <w:tc>
          <w:tcPr>
            <w:tcW w:w="1958" w:type="dxa"/>
            <w:tcMar>
              <w:top w:w="75" w:type="dxa"/>
              <w:left w:w="85" w:type="dxa"/>
              <w:bottom w:w="75" w:type="dxa"/>
              <w:right w:w="85" w:type="dxa"/>
            </w:tcMar>
          </w:tcPr>
          <w:p w14:paraId="75591C3B" w14:textId="77777777" w:rsidR="00C17922" w:rsidRDefault="00000000">
            <w:r>
              <w:t>Yahoo</w:t>
            </w:r>
          </w:p>
        </w:tc>
        <w:tc>
          <w:tcPr>
            <w:tcW w:w="1958" w:type="dxa"/>
            <w:tcMar>
              <w:top w:w="75" w:type="dxa"/>
              <w:left w:w="85" w:type="dxa"/>
              <w:bottom w:w="75" w:type="dxa"/>
              <w:right w:w="85" w:type="dxa"/>
            </w:tcMar>
          </w:tcPr>
          <w:p w14:paraId="769CFE3D" w14:textId="77777777" w:rsidR="00C17922" w:rsidRDefault="00000000">
            <w:pPr>
              <w:jc w:val="center"/>
            </w:pPr>
            <w:r>
              <w:t>Strong</w:t>
            </w:r>
          </w:p>
        </w:tc>
        <w:tc>
          <w:tcPr>
            <w:tcW w:w="1958" w:type="dxa"/>
            <w:tcMar>
              <w:top w:w="75" w:type="dxa"/>
              <w:left w:w="85" w:type="dxa"/>
              <w:bottom w:w="75" w:type="dxa"/>
              <w:right w:w="85" w:type="dxa"/>
            </w:tcMar>
          </w:tcPr>
          <w:p w14:paraId="7FD25F45" w14:textId="77777777" w:rsidR="00C17922" w:rsidRDefault="00000000">
            <w:pPr>
              <w:jc w:val="center"/>
            </w:pPr>
            <w:r>
              <w:t>Strong</w:t>
            </w:r>
          </w:p>
        </w:tc>
        <w:tc>
          <w:tcPr>
            <w:tcW w:w="1958" w:type="dxa"/>
            <w:tcMar>
              <w:top w:w="75" w:type="dxa"/>
              <w:left w:w="85" w:type="dxa"/>
              <w:bottom w:w="75" w:type="dxa"/>
              <w:right w:w="85" w:type="dxa"/>
            </w:tcMar>
          </w:tcPr>
          <w:p w14:paraId="449DD6AC" w14:textId="77777777" w:rsidR="00C17922" w:rsidRDefault="00000000">
            <w:pPr>
              <w:jc w:val="center"/>
            </w:pPr>
            <w:r>
              <w:t>Strong</w:t>
            </w:r>
          </w:p>
        </w:tc>
        <w:tc>
          <w:tcPr>
            <w:tcW w:w="1958" w:type="dxa"/>
            <w:tcMar>
              <w:top w:w="75" w:type="dxa"/>
              <w:left w:w="85" w:type="dxa"/>
              <w:bottom w:w="75" w:type="dxa"/>
              <w:right w:w="85" w:type="dxa"/>
            </w:tcMar>
          </w:tcPr>
          <w:p w14:paraId="76416105" w14:textId="77777777" w:rsidR="00C17922" w:rsidRDefault="00000000">
            <w:pPr>
              <w:jc w:val="center"/>
            </w:pPr>
            <w:r>
              <w:t>Strong</w:t>
            </w:r>
          </w:p>
        </w:tc>
      </w:tr>
    </w:tbl>
    <w:p w14:paraId="729EC71A" w14:textId="77777777" w:rsidR="00C17922" w:rsidRDefault="00C17922"/>
    <w:p w14:paraId="2323FEBF" w14:textId="1E0A2D40" w:rsidR="00C17922" w:rsidRDefault="00000000">
      <w:pPr>
        <w:pStyle w:val="Heading1"/>
      </w:pPr>
      <w:r>
        <w:t>Comparative Analysis</w:t>
      </w:r>
    </w:p>
    <w:p w14:paraId="76174D02" w14:textId="098EE542" w:rsidR="0031459E" w:rsidRDefault="0031459E" w:rsidP="0031459E">
      <w:pPr>
        <w:pStyle w:val="Heading2"/>
      </w:pPr>
      <w:r>
        <w:t xml:space="preserve">1. </w:t>
      </w:r>
      <w:r>
        <w:t>Data Collection - Types of data collected - Collection methods - Purpose specification</w:t>
      </w:r>
    </w:p>
    <w:p w14:paraId="53D21653" w14:textId="77777777" w:rsidR="0031459E" w:rsidRPr="0031459E" w:rsidRDefault="0031459E" w:rsidP="0031459E">
      <w:pPr>
        <w:pStyle w:val="NormalWeb"/>
        <w:rPr>
          <w:rFonts w:ascii="Aptos" w:eastAsiaTheme="minorEastAsia" w:hAnsi="Aptos" w:cstheme="minorBidi"/>
          <w:sz w:val="21"/>
          <w:szCs w:val="22"/>
        </w:rPr>
      </w:pPr>
      <w:r w:rsidRPr="0031459E">
        <w:rPr>
          <w:rFonts w:ascii="Aptos" w:eastAsiaTheme="minorEastAsia" w:hAnsi="Aptos" w:cstheme="minorBidi"/>
          <w:sz w:val="21"/>
          <w:szCs w:val="22"/>
        </w:rPr>
        <w:t xml:space="preserve">Across </w:t>
      </w:r>
      <w:proofErr w:type="gramStart"/>
      <w:r w:rsidRPr="0031459E">
        <w:rPr>
          <w:rFonts w:ascii="Aptos" w:eastAsiaTheme="minorEastAsia" w:hAnsi="Aptos" w:cstheme="minorBidi"/>
          <w:sz w:val="21"/>
          <w:szCs w:val="22"/>
        </w:rPr>
        <w:t>all of</w:t>
      </w:r>
      <w:proofErr w:type="gramEnd"/>
      <w:r w:rsidRPr="0031459E">
        <w:rPr>
          <w:rFonts w:ascii="Aptos" w:eastAsiaTheme="minorEastAsia" w:hAnsi="Aptos" w:cstheme="minorBidi"/>
          <w:sz w:val="21"/>
          <w:szCs w:val="22"/>
        </w:rPr>
        <w:t xml:space="preserve"> the policies, every company collects some combination of personal and behavioral data. This includes basic information like names, emails, and account details, as well as more detailed data such as device information, browsing activity, and location. Companies like Meta, PayPal, and Venmo collect the widest range of data, including inferred data, which means they make assumptions about users based on behavior, along with data from third-party sources. In contrast, </w:t>
      </w:r>
      <w:proofErr w:type="spellStart"/>
      <w:r w:rsidRPr="0031459E">
        <w:rPr>
          <w:rFonts w:ascii="Aptos" w:eastAsiaTheme="minorEastAsia" w:hAnsi="Aptos" w:cstheme="minorBidi"/>
          <w:sz w:val="21"/>
          <w:szCs w:val="22"/>
        </w:rPr>
        <w:t>Comfrt</w:t>
      </w:r>
      <w:proofErr w:type="spellEnd"/>
      <w:r w:rsidRPr="0031459E">
        <w:rPr>
          <w:rFonts w:ascii="Aptos" w:eastAsiaTheme="minorEastAsia" w:hAnsi="Aptos" w:cstheme="minorBidi"/>
          <w:sz w:val="21"/>
          <w:szCs w:val="22"/>
        </w:rPr>
        <w:t xml:space="preserve"> collects much less data overall since it mainly focuses on website activity and analytics.</w:t>
      </w:r>
    </w:p>
    <w:p w14:paraId="3DAF3E8D" w14:textId="77777777" w:rsidR="0031459E" w:rsidRPr="0031459E" w:rsidRDefault="0031459E" w:rsidP="0031459E">
      <w:pPr>
        <w:pStyle w:val="NormalWeb"/>
        <w:rPr>
          <w:rFonts w:ascii="Aptos" w:eastAsiaTheme="minorEastAsia" w:hAnsi="Aptos" w:cstheme="minorBidi"/>
          <w:sz w:val="21"/>
          <w:szCs w:val="22"/>
        </w:rPr>
      </w:pPr>
      <w:r w:rsidRPr="0031459E">
        <w:rPr>
          <w:rFonts w:ascii="Aptos" w:eastAsiaTheme="minorEastAsia" w:hAnsi="Aptos" w:cstheme="minorBidi"/>
          <w:sz w:val="21"/>
          <w:szCs w:val="22"/>
        </w:rPr>
        <w:t>Most companies collect this data in two main ways: directly from users and automatically through technology. Direct collection happens when users create accounts, make purchases, or enter information themselves. Automatic collection happens through things like cookies, apps, device tracking, and general usage patterns. For example, Amazon and Microsoft track how users interact with their platforms, while Meta also collects data from outside websites and apps through partnerships.</w:t>
      </w:r>
    </w:p>
    <w:p w14:paraId="444411BB" w14:textId="0F7341AA" w:rsidR="0031459E" w:rsidRPr="0031459E" w:rsidRDefault="0031459E" w:rsidP="0031459E">
      <w:pPr>
        <w:pStyle w:val="NormalWeb"/>
        <w:rPr>
          <w:rFonts w:ascii="Aptos" w:eastAsiaTheme="minorEastAsia" w:hAnsi="Aptos" w:cstheme="minorBidi"/>
          <w:sz w:val="21"/>
          <w:szCs w:val="22"/>
        </w:rPr>
      </w:pPr>
      <w:r w:rsidRPr="0031459E">
        <w:rPr>
          <w:rFonts w:ascii="Aptos" w:eastAsiaTheme="minorEastAsia" w:hAnsi="Aptos" w:cstheme="minorBidi"/>
          <w:sz w:val="21"/>
          <w:szCs w:val="22"/>
        </w:rPr>
        <w:t>All companies also explain why they collect data, but some do a better job making this clear than others. Most state that data is collected to provide services, improve products, personalize user experiences, and maintain security. Companies like Microsoft and GitHub clearly connect the data they collect to specific purposes, which makes their policies easier to understand. Apple also stands out because it often explains the purpose at the feature level, meaning users are told why data is being collected before they use certain features. On the other hand, Meta collects a large amount of data for many different purposes, which can make it harder for users to fully understand how their data is being used.</w:t>
      </w:r>
    </w:p>
    <w:p w14:paraId="00781A4A" w14:textId="200A5B0C" w:rsidR="0031459E" w:rsidRDefault="0031459E" w:rsidP="0031459E">
      <w:pPr>
        <w:pStyle w:val="Heading2"/>
      </w:pPr>
      <w:r>
        <w:t xml:space="preserve">2. </w:t>
      </w:r>
      <w:r>
        <w:t>User Rights</w:t>
      </w:r>
    </w:p>
    <w:p w14:paraId="1A9547C0" w14:textId="77777777" w:rsidR="0031459E" w:rsidRDefault="0031459E" w:rsidP="0031459E">
      <w:pPr>
        <w:pStyle w:val="Compact"/>
        <w:numPr>
          <w:ilvl w:val="1"/>
          <w:numId w:val="11"/>
        </w:numPr>
        <w:rPr>
          <w:rFonts w:ascii="Aptos" w:eastAsiaTheme="minorEastAsia" w:hAnsi="Aptos"/>
          <w:b/>
          <w:sz w:val="21"/>
          <w:szCs w:val="22"/>
        </w:rPr>
      </w:pPr>
      <w:r w:rsidRPr="0031459E">
        <w:rPr>
          <w:rFonts w:ascii="Aptos" w:eastAsiaTheme="minorEastAsia" w:hAnsi="Aptos"/>
          <w:b/>
          <w:sz w:val="21"/>
          <w:szCs w:val="22"/>
        </w:rPr>
        <w:t>Access rights</w:t>
      </w:r>
    </w:p>
    <w:p w14:paraId="5BB855CC" w14:textId="4AE78013" w:rsidR="0031459E" w:rsidRPr="0031459E" w:rsidRDefault="0031459E" w:rsidP="0031459E">
      <w:pPr>
        <w:pStyle w:val="Compact"/>
        <w:ind w:left="1080"/>
        <w:rPr>
          <w:rFonts w:ascii="Aptos" w:eastAsiaTheme="minorEastAsia" w:hAnsi="Aptos"/>
          <w:sz w:val="21"/>
          <w:szCs w:val="22"/>
        </w:rPr>
      </w:pPr>
      <w:r w:rsidRPr="0031459E">
        <w:rPr>
          <w:rFonts w:ascii="Aptos" w:eastAsiaTheme="minorEastAsia" w:hAnsi="Aptos"/>
          <w:sz w:val="21"/>
          <w:szCs w:val="22"/>
        </w:rPr>
        <w:lastRenderedPageBreak/>
        <w:t>Almost all companies allow users to access the data they have collected about them. This is usually done through account settings or a privacy dashboard. Microsoft and Apple make this very clear and easy to use, while companies like Meta also provide access but require users to navigate more complex settings.</w:t>
      </w:r>
    </w:p>
    <w:p w14:paraId="6BEE536F" w14:textId="77777777" w:rsidR="0031459E" w:rsidRDefault="0031459E" w:rsidP="0031459E">
      <w:pPr>
        <w:pStyle w:val="Compact"/>
        <w:numPr>
          <w:ilvl w:val="1"/>
          <w:numId w:val="11"/>
        </w:numPr>
        <w:rPr>
          <w:rFonts w:ascii="Aptos" w:eastAsiaTheme="minorEastAsia" w:hAnsi="Aptos"/>
          <w:b/>
          <w:sz w:val="21"/>
          <w:szCs w:val="22"/>
        </w:rPr>
      </w:pPr>
      <w:r w:rsidRPr="0031459E">
        <w:rPr>
          <w:rFonts w:ascii="Aptos" w:eastAsiaTheme="minorEastAsia" w:hAnsi="Aptos"/>
          <w:b/>
          <w:sz w:val="21"/>
          <w:szCs w:val="22"/>
        </w:rPr>
        <w:t>Deletion rights</w:t>
      </w:r>
    </w:p>
    <w:p w14:paraId="5399E0D0" w14:textId="1114F81F" w:rsidR="0031459E" w:rsidRPr="0031459E" w:rsidRDefault="0031459E" w:rsidP="0031459E">
      <w:pPr>
        <w:pStyle w:val="Compact"/>
        <w:ind w:left="1080"/>
        <w:rPr>
          <w:rFonts w:ascii="Aptos" w:eastAsiaTheme="minorEastAsia" w:hAnsi="Aptos"/>
          <w:sz w:val="21"/>
          <w:szCs w:val="22"/>
        </w:rPr>
      </w:pPr>
      <w:r w:rsidRPr="0031459E">
        <w:rPr>
          <w:rFonts w:ascii="Aptos" w:eastAsiaTheme="minorEastAsia" w:hAnsi="Aptos"/>
          <w:sz w:val="21"/>
          <w:szCs w:val="22"/>
        </w:rPr>
        <w:t>Most companies allow users to delete their data or accounts, but there are some limitations. For example, financial companies like PayPal and Venmo may not fully delete all data because they are required by law to keep certain records. Other companies, like Apple and Microsoft, make deletion more straightforward.</w:t>
      </w:r>
    </w:p>
    <w:p w14:paraId="3103C7FE" w14:textId="77777777" w:rsidR="0031459E" w:rsidRDefault="0031459E" w:rsidP="0031459E">
      <w:pPr>
        <w:pStyle w:val="Compact"/>
        <w:numPr>
          <w:ilvl w:val="1"/>
          <w:numId w:val="11"/>
        </w:numPr>
        <w:rPr>
          <w:rFonts w:ascii="Aptos" w:eastAsiaTheme="minorEastAsia" w:hAnsi="Aptos"/>
          <w:b/>
          <w:sz w:val="21"/>
          <w:szCs w:val="22"/>
        </w:rPr>
      </w:pPr>
      <w:r w:rsidRPr="0031459E">
        <w:rPr>
          <w:rFonts w:ascii="Aptos" w:eastAsiaTheme="minorEastAsia" w:hAnsi="Aptos"/>
          <w:b/>
          <w:sz w:val="21"/>
          <w:szCs w:val="22"/>
        </w:rPr>
        <w:t>Portability options</w:t>
      </w:r>
    </w:p>
    <w:p w14:paraId="0435AEB3" w14:textId="290E93D8" w:rsidR="0031459E" w:rsidRPr="0031459E" w:rsidRDefault="0031459E" w:rsidP="0031459E">
      <w:pPr>
        <w:pStyle w:val="Compact"/>
        <w:ind w:left="1080"/>
        <w:rPr>
          <w:rFonts w:ascii="Aptos" w:eastAsiaTheme="minorEastAsia" w:hAnsi="Aptos"/>
          <w:sz w:val="21"/>
          <w:szCs w:val="22"/>
        </w:rPr>
      </w:pPr>
      <w:r w:rsidRPr="0031459E">
        <w:rPr>
          <w:rFonts w:ascii="Aptos" w:eastAsiaTheme="minorEastAsia" w:hAnsi="Aptos"/>
          <w:sz w:val="21"/>
          <w:szCs w:val="22"/>
        </w:rPr>
        <w:t xml:space="preserve">Data portability, which means being able to download or transfer your data, is more visible in companies that follow GDPR closely. Meta, Yahoo, Microsoft, and GitHub all provide some level of data export options. However, not all companies explain this clearly, and smaller companies like </w:t>
      </w:r>
      <w:proofErr w:type="spellStart"/>
      <w:r w:rsidRPr="0031459E">
        <w:rPr>
          <w:rFonts w:ascii="Aptos" w:eastAsiaTheme="minorEastAsia" w:hAnsi="Aptos"/>
          <w:sz w:val="21"/>
          <w:szCs w:val="22"/>
        </w:rPr>
        <w:t>Comfrt</w:t>
      </w:r>
      <w:proofErr w:type="spellEnd"/>
      <w:r w:rsidRPr="0031459E">
        <w:rPr>
          <w:rFonts w:ascii="Aptos" w:eastAsiaTheme="minorEastAsia" w:hAnsi="Aptos"/>
          <w:sz w:val="21"/>
          <w:szCs w:val="22"/>
        </w:rPr>
        <w:t xml:space="preserve"> do not provide much detail on portability.</w:t>
      </w:r>
    </w:p>
    <w:p w14:paraId="791C2453" w14:textId="77777777" w:rsidR="0031459E" w:rsidRDefault="0031459E" w:rsidP="0031459E">
      <w:pPr>
        <w:pStyle w:val="Compact"/>
        <w:numPr>
          <w:ilvl w:val="1"/>
          <w:numId w:val="11"/>
        </w:numPr>
        <w:rPr>
          <w:rFonts w:ascii="Aptos" w:eastAsiaTheme="minorEastAsia" w:hAnsi="Aptos"/>
          <w:b/>
          <w:sz w:val="21"/>
          <w:szCs w:val="22"/>
        </w:rPr>
      </w:pPr>
      <w:r w:rsidRPr="0031459E">
        <w:rPr>
          <w:rFonts w:ascii="Aptos" w:eastAsiaTheme="minorEastAsia" w:hAnsi="Aptos"/>
          <w:b/>
          <w:sz w:val="21"/>
          <w:szCs w:val="22"/>
        </w:rPr>
        <w:t>Opt-out mechanisms</w:t>
      </w:r>
    </w:p>
    <w:p w14:paraId="744A9E3A" w14:textId="7A8260FB" w:rsidR="0031459E" w:rsidRPr="0031459E" w:rsidRDefault="0031459E" w:rsidP="0031459E">
      <w:pPr>
        <w:pStyle w:val="Compact"/>
        <w:ind w:left="1080"/>
        <w:rPr>
          <w:rFonts w:ascii="Aptos" w:eastAsiaTheme="minorEastAsia" w:hAnsi="Aptos"/>
          <w:sz w:val="21"/>
          <w:szCs w:val="22"/>
        </w:rPr>
      </w:pPr>
      <w:r w:rsidRPr="0031459E">
        <w:rPr>
          <w:rFonts w:ascii="Aptos" w:eastAsiaTheme="minorEastAsia" w:hAnsi="Aptos"/>
          <w:sz w:val="21"/>
          <w:szCs w:val="22"/>
        </w:rPr>
        <w:t>Most companies give users some way to opt out of certain data collection, especially for advertising. Yahoo, Microsoft, and Meta offer tools to manage ad preferences, while Apple allows users to limit tracking directly through device settings. However, opt-out options are more limited for companies like PayPal and Venmo because of legal requirements related to financial services. Meta also makes opt-out options available, but they can be harder to find and manage.</w:t>
      </w:r>
    </w:p>
    <w:p w14:paraId="47AA882D" w14:textId="12BFE77E" w:rsidR="0031459E" w:rsidRDefault="0031459E" w:rsidP="0031459E">
      <w:pPr>
        <w:pStyle w:val="Heading2"/>
      </w:pPr>
      <w:r>
        <w:t xml:space="preserve">3. </w:t>
      </w:r>
      <w:r>
        <w:t>Data Sharing</w:t>
      </w:r>
    </w:p>
    <w:p w14:paraId="74370222" w14:textId="77777777" w:rsidR="0031459E" w:rsidRDefault="0031459E" w:rsidP="0031459E">
      <w:pPr>
        <w:pStyle w:val="Compact"/>
        <w:numPr>
          <w:ilvl w:val="1"/>
          <w:numId w:val="11"/>
        </w:numPr>
        <w:rPr>
          <w:rFonts w:ascii="Aptos" w:eastAsiaTheme="minorEastAsia" w:hAnsi="Aptos"/>
          <w:b/>
          <w:sz w:val="21"/>
          <w:szCs w:val="22"/>
        </w:rPr>
      </w:pPr>
      <w:r w:rsidRPr="0031459E">
        <w:rPr>
          <w:rFonts w:ascii="Aptos" w:eastAsiaTheme="minorEastAsia" w:hAnsi="Aptos"/>
          <w:b/>
          <w:sz w:val="21"/>
          <w:szCs w:val="22"/>
        </w:rPr>
        <w:t>Third-party sharing</w:t>
      </w:r>
    </w:p>
    <w:p w14:paraId="657EC06B" w14:textId="7A1F7B3C" w:rsidR="0031459E" w:rsidRPr="0031459E" w:rsidRDefault="0031459E" w:rsidP="0031459E">
      <w:pPr>
        <w:pStyle w:val="Compact"/>
        <w:ind w:left="1080"/>
        <w:rPr>
          <w:rFonts w:ascii="Aptos" w:eastAsiaTheme="minorEastAsia" w:hAnsi="Aptos"/>
          <w:sz w:val="21"/>
          <w:szCs w:val="22"/>
        </w:rPr>
      </w:pPr>
      <w:r w:rsidRPr="0031459E">
        <w:rPr>
          <w:rFonts w:ascii="Aptos" w:eastAsiaTheme="minorEastAsia" w:hAnsi="Aptos"/>
          <w:sz w:val="21"/>
          <w:szCs w:val="22"/>
        </w:rPr>
        <w:t>All the companies share data with third parties, but the level of sharing varies. Meta, PayPal, and Yahoo have the broadest sharing practices because they rely heavily on partners, advertisers, and service providers. For example, Meta shares data across its platforms and with advertising partners. Apple</w:t>
      </w:r>
      <w:r>
        <w:rPr>
          <w:rFonts w:ascii="Aptos" w:eastAsiaTheme="minorEastAsia" w:hAnsi="Aptos"/>
          <w:sz w:val="21"/>
          <w:szCs w:val="22"/>
        </w:rPr>
        <w:t xml:space="preserve"> on the other hand</w:t>
      </w:r>
      <w:r w:rsidRPr="0031459E">
        <w:rPr>
          <w:rFonts w:ascii="Aptos" w:eastAsiaTheme="minorEastAsia" w:hAnsi="Aptos"/>
          <w:sz w:val="21"/>
          <w:szCs w:val="22"/>
        </w:rPr>
        <w:t xml:space="preserve"> limits sharing more and focuses mainly on service providers that help operate its products.</w:t>
      </w:r>
    </w:p>
    <w:p w14:paraId="7D59BFBE" w14:textId="77777777" w:rsidR="0031459E" w:rsidRDefault="0031459E" w:rsidP="0031459E">
      <w:pPr>
        <w:pStyle w:val="Compact"/>
        <w:numPr>
          <w:ilvl w:val="1"/>
          <w:numId w:val="11"/>
        </w:numPr>
        <w:rPr>
          <w:rFonts w:ascii="Aptos" w:eastAsiaTheme="minorEastAsia" w:hAnsi="Aptos"/>
          <w:b/>
          <w:sz w:val="21"/>
          <w:szCs w:val="22"/>
        </w:rPr>
      </w:pPr>
      <w:r w:rsidRPr="0031459E">
        <w:rPr>
          <w:rFonts w:ascii="Aptos" w:eastAsiaTheme="minorEastAsia" w:hAnsi="Aptos"/>
          <w:b/>
          <w:sz w:val="21"/>
          <w:szCs w:val="22"/>
        </w:rPr>
        <w:t>International transfers</w:t>
      </w:r>
    </w:p>
    <w:p w14:paraId="0AC07079" w14:textId="4D756D65" w:rsidR="0031459E" w:rsidRPr="0031459E" w:rsidRDefault="0031459E" w:rsidP="0031459E">
      <w:pPr>
        <w:pStyle w:val="Compact"/>
        <w:ind w:left="1080"/>
        <w:rPr>
          <w:rFonts w:ascii="Aptos" w:eastAsiaTheme="minorEastAsia" w:hAnsi="Aptos"/>
          <w:sz w:val="21"/>
          <w:szCs w:val="22"/>
        </w:rPr>
      </w:pPr>
      <w:r w:rsidRPr="0031459E">
        <w:rPr>
          <w:rFonts w:ascii="Aptos" w:eastAsiaTheme="minorEastAsia" w:hAnsi="Aptos"/>
          <w:sz w:val="21"/>
          <w:szCs w:val="22"/>
        </w:rPr>
        <w:t xml:space="preserve">Many companies transfer data across countries, especially global companies like Microsoft, Meta, and Yahoo. These companies often explain that they use legal frameworks to protect data during transfers. For example, Microsoft and Yahoo reference international data transfer agreements. Apple also has a dedicated section explaining how data is moved between countries. Smaller companies like </w:t>
      </w:r>
      <w:proofErr w:type="spellStart"/>
      <w:r w:rsidRPr="0031459E">
        <w:rPr>
          <w:rFonts w:ascii="Aptos" w:eastAsiaTheme="minorEastAsia" w:hAnsi="Aptos"/>
          <w:sz w:val="21"/>
          <w:szCs w:val="22"/>
        </w:rPr>
        <w:t>Comfrt</w:t>
      </w:r>
      <w:proofErr w:type="spellEnd"/>
      <w:r w:rsidRPr="0031459E">
        <w:rPr>
          <w:rFonts w:ascii="Aptos" w:eastAsiaTheme="minorEastAsia" w:hAnsi="Aptos"/>
          <w:sz w:val="21"/>
          <w:szCs w:val="22"/>
        </w:rPr>
        <w:t xml:space="preserve"> mention this topic but do not provide as much detail.</w:t>
      </w:r>
    </w:p>
    <w:p w14:paraId="771DE3B7" w14:textId="77777777" w:rsidR="0031459E" w:rsidRDefault="0031459E" w:rsidP="0031459E">
      <w:pPr>
        <w:pStyle w:val="Compact"/>
        <w:numPr>
          <w:ilvl w:val="1"/>
          <w:numId w:val="11"/>
        </w:numPr>
        <w:rPr>
          <w:rFonts w:ascii="Aptos" w:eastAsiaTheme="minorEastAsia" w:hAnsi="Aptos"/>
          <w:b/>
          <w:sz w:val="21"/>
          <w:szCs w:val="22"/>
        </w:rPr>
      </w:pPr>
      <w:r w:rsidRPr="0031459E">
        <w:rPr>
          <w:rFonts w:ascii="Aptos" w:eastAsiaTheme="minorEastAsia" w:hAnsi="Aptos"/>
          <w:b/>
          <w:sz w:val="21"/>
          <w:szCs w:val="22"/>
        </w:rPr>
        <w:t>Service provider requirements</w:t>
      </w:r>
    </w:p>
    <w:p w14:paraId="2422046E" w14:textId="24C79DDB" w:rsidR="0031459E" w:rsidRPr="0031459E" w:rsidRDefault="0031459E" w:rsidP="0031459E">
      <w:pPr>
        <w:pStyle w:val="Compact"/>
        <w:ind w:left="1080"/>
        <w:rPr>
          <w:rFonts w:ascii="Aptos" w:eastAsiaTheme="minorEastAsia" w:hAnsi="Aptos"/>
          <w:sz w:val="21"/>
          <w:szCs w:val="22"/>
        </w:rPr>
      </w:pPr>
      <w:r w:rsidRPr="0031459E">
        <w:rPr>
          <w:rFonts w:ascii="Aptos" w:eastAsiaTheme="minorEastAsia" w:hAnsi="Aptos"/>
          <w:sz w:val="21"/>
          <w:szCs w:val="22"/>
        </w:rPr>
        <w:t>Most companies require their service providers to follow certain rules when handling user data. Companies like GitHub, Meta, PayPal, and Yahoo do a better job explaining these relationships and responsibilities. For example, GitHub clearly explains when it acts as a data controller versus a processor which helps users understand who is responsible for their data. Other companies mention service providers but do not go into as much detail.</w:t>
      </w:r>
    </w:p>
    <w:p w14:paraId="50B5E1E2" w14:textId="61A61AFA" w:rsidR="0031459E" w:rsidRDefault="0031459E" w:rsidP="0031459E">
      <w:pPr>
        <w:pStyle w:val="Heading2"/>
      </w:pPr>
      <w:r>
        <w:t xml:space="preserve">4. </w:t>
      </w:r>
      <w:r>
        <w:t>Security Measures</w:t>
      </w:r>
    </w:p>
    <w:p w14:paraId="6CA7856C" w14:textId="77777777" w:rsidR="0031459E" w:rsidRDefault="0031459E" w:rsidP="0031459E">
      <w:pPr>
        <w:pStyle w:val="Compact"/>
        <w:numPr>
          <w:ilvl w:val="1"/>
          <w:numId w:val="11"/>
        </w:numPr>
        <w:rPr>
          <w:rFonts w:ascii="Aptos" w:eastAsiaTheme="minorEastAsia" w:hAnsi="Aptos"/>
          <w:b/>
          <w:sz w:val="21"/>
          <w:szCs w:val="22"/>
        </w:rPr>
      </w:pPr>
      <w:r w:rsidRPr="0031459E">
        <w:rPr>
          <w:rFonts w:ascii="Aptos" w:eastAsiaTheme="minorEastAsia" w:hAnsi="Aptos"/>
          <w:b/>
          <w:sz w:val="21"/>
          <w:szCs w:val="22"/>
        </w:rPr>
        <w:t>Storage practices</w:t>
      </w:r>
    </w:p>
    <w:p w14:paraId="79008658" w14:textId="10C53ED2" w:rsidR="0031459E" w:rsidRPr="0031459E" w:rsidRDefault="0031459E" w:rsidP="0031459E">
      <w:pPr>
        <w:pStyle w:val="Compact"/>
        <w:ind w:left="1080"/>
        <w:rPr>
          <w:rFonts w:ascii="Aptos" w:eastAsiaTheme="minorEastAsia" w:hAnsi="Aptos"/>
          <w:sz w:val="21"/>
          <w:szCs w:val="22"/>
        </w:rPr>
      </w:pPr>
      <w:r w:rsidRPr="0031459E">
        <w:rPr>
          <w:rFonts w:ascii="Aptos" w:eastAsiaTheme="minorEastAsia" w:hAnsi="Aptos"/>
          <w:sz w:val="21"/>
          <w:szCs w:val="22"/>
        </w:rPr>
        <w:t>Companies store user data in different ways depending on their services. Financial platforms like Venmo and PayPal store sensitive data in secure systems, often including third-party servers and data centers. Most companies mention that data is stored securely, but not all provide detailed explanations.</w:t>
      </w:r>
    </w:p>
    <w:p w14:paraId="71B676C5" w14:textId="77777777" w:rsidR="0031459E" w:rsidRDefault="0031459E" w:rsidP="0031459E">
      <w:pPr>
        <w:pStyle w:val="Compact"/>
        <w:numPr>
          <w:ilvl w:val="1"/>
          <w:numId w:val="11"/>
        </w:numPr>
        <w:rPr>
          <w:rFonts w:ascii="Aptos" w:eastAsiaTheme="minorEastAsia" w:hAnsi="Aptos"/>
          <w:b/>
          <w:sz w:val="21"/>
          <w:szCs w:val="22"/>
        </w:rPr>
      </w:pPr>
      <w:r w:rsidRPr="0031459E">
        <w:rPr>
          <w:rFonts w:ascii="Aptos" w:eastAsiaTheme="minorEastAsia" w:hAnsi="Aptos"/>
          <w:b/>
          <w:sz w:val="21"/>
          <w:szCs w:val="22"/>
        </w:rPr>
        <w:t>Protection methods</w:t>
      </w:r>
    </w:p>
    <w:p w14:paraId="7AB19BA9" w14:textId="329FCE24" w:rsidR="0031459E" w:rsidRPr="0031459E" w:rsidRDefault="0031459E" w:rsidP="0031459E">
      <w:pPr>
        <w:pStyle w:val="Compact"/>
        <w:ind w:left="1080"/>
        <w:rPr>
          <w:rFonts w:ascii="Aptos" w:eastAsiaTheme="minorEastAsia" w:hAnsi="Aptos"/>
          <w:sz w:val="21"/>
          <w:szCs w:val="22"/>
        </w:rPr>
      </w:pPr>
      <w:r w:rsidRPr="0031459E">
        <w:rPr>
          <w:rFonts w:ascii="Aptos" w:eastAsiaTheme="minorEastAsia" w:hAnsi="Aptos"/>
          <w:sz w:val="21"/>
          <w:szCs w:val="22"/>
        </w:rPr>
        <w:t xml:space="preserve">All companies state that they use security measures to protect data, such as encryption, access controls, and monitoring systems. Microsoft, Yahoo, and Meta provide more structured </w:t>
      </w:r>
      <w:r w:rsidRPr="0031459E">
        <w:rPr>
          <w:rFonts w:ascii="Aptos" w:eastAsiaTheme="minorEastAsia" w:hAnsi="Aptos"/>
          <w:sz w:val="21"/>
          <w:szCs w:val="22"/>
        </w:rPr>
        <w:lastRenderedPageBreak/>
        <w:t>explanations of their security practices, while Apple likely has strong protections but does not go into as much detail in</w:t>
      </w:r>
      <w:r>
        <w:rPr>
          <w:rFonts w:ascii="-webkit-standard" w:hAnsi="-webkit-standard"/>
          <w:color w:val="FFFFFF"/>
          <w:sz w:val="27"/>
          <w:szCs w:val="27"/>
        </w:rPr>
        <w:t xml:space="preserve"> </w:t>
      </w:r>
      <w:r w:rsidRPr="0031459E">
        <w:rPr>
          <w:rFonts w:ascii="Aptos" w:eastAsiaTheme="minorEastAsia" w:hAnsi="Aptos"/>
          <w:sz w:val="21"/>
          <w:szCs w:val="22"/>
        </w:rPr>
        <w:t>the provided version of the policy.</w:t>
      </w:r>
    </w:p>
    <w:p w14:paraId="7FF74B0A" w14:textId="77777777" w:rsidR="0031459E" w:rsidRDefault="0031459E" w:rsidP="0031459E">
      <w:pPr>
        <w:pStyle w:val="Compact"/>
        <w:numPr>
          <w:ilvl w:val="1"/>
          <w:numId w:val="11"/>
        </w:numPr>
        <w:rPr>
          <w:rFonts w:ascii="Aptos" w:eastAsiaTheme="minorEastAsia" w:hAnsi="Aptos"/>
          <w:b/>
          <w:sz w:val="21"/>
          <w:szCs w:val="22"/>
        </w:rPr>
      </w:pPr>
      <w:r w:rsidRPr="0031459E">
        <w:rPr>
          <w:rFonts w:ascii="Aptos" w:eastAsiaTheme="minorEastAsia" w:hAnsi="Aptos"/>
          <w:b/>
          <w:sz w:val="21"/>
          <w:szCs w:val="22"/>
        </w:rPr>
        <w:t>Breach notification</w:t>
      </w:r>
    </w:p>
    <w:p w14:paraId="41B02A41" w14:textId="54791A2C" w:rsidR="0031459E" w:rsidRPr="0031459E" w:rsidRDefault="0031459E" w:rsidP="0031459E">
      <w:pPr>
        <w:pStyle w:val="Compact"/>
        <w:ind w:left="1080"/>
        <w:rPr>
          <w:rFonts w:ascii="Aptos" w:eastAsiaTheme="minorEastAsia" w:hAnsi="Aptos"/>
          <w:sz w:val="21"/>
          <w:szCs w:val="22"/>
        </w:rPr>
      </w:pPr>
      <w:r w:rsidRPr="0031459E">
        <w:rPr>
          <w:rFonts w:ascii="Aptos" w:eastAsiaTheme="minorEastAsia" w:hAnsi="Aptos"/>
          <w:sz w:val="21"/>
          <w:szCs w:val="22"/>
        </w:rPr>
        <w:t>Some companies clearly explain what happens if there is a data breach. For example, Venmo states that users may receive electronic notification if their data is compromised. Yahoo and Microsoft also mention security safeguards and response processes. However, not all companies clearly explain their breach notification procedures, which can make it harder for users to know what to expect.</w:t>
      </w:r>
    </w:p>
    <w:p w14:paraId="7B7A1AAB" w14:textId="77777777" w:rsidR="00C17922" w:rsidRDefault="00000000">
      <w:pPr>
        <w:pStyle w:val="Heading1"/>
      </w:pPr>
      <w:r>
        <w:t>Conclusion</w:t>
      </w:r>
    </w:p>
    <w:p w14:paraId="512FAD3C" w14:textId="5E017046" w:rsidR="0031459E" w:rsidRDefault="0031459E">
      <w:r w:rsidRPr="0031459E">
        <w:t xml:space="preserve">Across the nine privacy policies, the strongest ones are the ones that clearly explain why data is being collected, what rights users have, and how users can </w:t>
      </w:r>
      <w:proofErr w:type="gramStart"/>
      <w:r w:rsidRPr="0031459E">
        <w:t>actually take</w:t>
      </w:r>
      <w:proofErr w:type="gramEnd"/>
      <w:r w:rsidRPr="0031459E">
        <w:t xml:space="preserve"> action on those rights. Companies like Apple, Microsoft, GitHub, and Yahoo stand out because their policies are more organized and easier to follow. PayPal and Venmo are also very detailed, but they are limited in some areas because they </w:t>
      </w:r>
      <w:proofErr w:type="gramStart"/>
      <w:r w:rsidRPr="0031459E">
        <w:t>have to</w:t>
      </w:r>
      <w:proofErr w:type="gramEnd"/>
      <w:r w:rsidRPr="0031459E">
        <w:t xml:space="preserve"> follow financial regulations. Meta has the most complex policy overall because it collects such a wide range of data, which makes it harder for users to fully understand. On the other hand, </w:t>
      </w:r>
      <w:proofErr w:type="spellStart"/>
      <w:r w:rsidRPr="0031459E">
        <w:t>Comfrt</w:t>
      </w:r>
      <w:proofErr w:type="spellEnd"/>
      <w:r w:rsidRPr="0031459E">
        <w:t xml:space="preserve"> is the least detailed, which makes it easier to read but also less informative. Overall, this comparison shows that privacy policies are no longer simple documents, and companies now rely more on dashboards, settings, and location-based disclosures instead of one clear, universal policy.</w:t>
      </w:r>
    </w:p>
    <w:p w14:paraId="323F6855" w14:textId="63672042" w:rsidR="00C17922" w:rsidRDefault="00000000">
      <w:pPr>
        <w:pStyle w:val="Heading1"/>
      </w:pPr>
      <w:r>
        <w:t>Appendix: Source documents used</w:t>
      </w:r>
      <w:r w:rsidR="0031459E">
        <w:t xml:space="preserve"> (dates extracted with AI)</w:t>
      </w:r>
    </w:p>
    <w:tbl>
      <w:tblPr>
        <w:tblStyle w:val="TableGrid"/>
        <w:tblW w:w="0" w:type="auto"/>
        <w:jc w:val="center"/>
        <w:tblLook w:val="04A0" w:firstRow="1" w:lastRow="0" w:firstColumn="1" w:lastColumn="0" w:noHBand="0" w:noVBand="1"/>
      </w:tblPr>
      <w:tblGrid>
        <w:gridCol w:w="4896"/>
        <w:gridCol w:w="4896"/>
      </w:tblGrid>
      <w:tr w:rsidR="00C17922" w14:paraId="2B57606D" w14:textId="77777777">
        <w:trPr>
          <w:jc w:val="center"/>
        </w:trPr>
        <w:tc>
          <w:tcPr>
            <w:tcW w:w="4896" w:type="dxa"/>
            <w:shd w:val="clear" w:color="auto" w:fill="BFD7EA"/>
            <w:tcMar>
              <w:top w:w="80" w:type="dxa"/>
              <w:left w:w="90" w:type="dxa"/>
              <w:bottom w:w="80" w:type="dxa"/>
              <w:right w:w="90" w:type="dxa"/>
            </w:tcMar>
          </w:tcPr>
          <w:p w14:paraId="45926217" w14:textId="77777777" w:rsidR="00C17922" w:rsidRDefault="00000000">
            <w:r>
              <w:rPr>
                <w:b/>
              </w:rPr>
              <w:t>Policy</w:t>
            </w:r>
          </w:p>
        </w:tc>
        <w:tc>
          <w:tcPr>
            <w:tcW w:w="4896" w:type="dxa"/>
            <w:shd w:val="clear" w:color="auto" w:fill="BFD7EA"/>
            <w:tcMar>
              <w:top w:w="80" w:type="dxa"/>
              <w:left w:w="90" w:type="dxa"/>
              <w:bottom w:w="80" w:type="dxa"/>
              <w:right w:w="90" w:type="dxa"/>
            </w:tcMar>
          </w:tcPr>
          <w:p w14:paraId="1BC9E4B3" w14:textId="77777777" w:rsidR="00C17922" w:rsidRDefault="00000000">
            <w:r>
              <w:rPr>
                <w:b/>
              </w:rPr>
              <w:t>Document date shown in uploaded file</w:t>
            </w:r>
          </w:p>
        </w:tc>
      </w:tr>
      <w:tr w:rsidR="00C17922" w14:paraId="16768824" w14:textId="77777777">
        <w:trPr>
          <w:jc w:val="center"/>
        </w:trPr>
        <w:tc>
          <w:tcPr>
            <w:tcW w:w="4896" w:type="dxa"/>
            <w:tcMar>
              <w:top w:w="80" w:type="dxa"/>
              <w:left w:w="90" w:type="dxa"/>
              <w:bottom w:w="80" w:type="dxa"/>
              <w:right w:w="90" w:type="dxa"/>
            </w:tcMar>
          </w:tcPr>
          <w:p w14:paraId="521AEE51" w14:textId="77777777" w:rsidR="00C17922" w:rsidRDefault="00000000">
            <w:r>
              <w:t>Amazon.com Privacy Notice</w:t>
            </w:r>
          </w:p>
        </w:tc>
        <w:tc>
          <w:tcPr>
            <w:tcW w:w="4896" w:type="dxa"/>
            <w:tcMar>
              <w:top w:w="80" w:type="dxa"/>
              <w:left w:w="90" w:type="dxa"/>
              <w:bottom w:w="80" w:type="dxa"/>
              <w:right w:w="90" w:type="dxa"/>
            </w:tcMar>
          </w:tcPr>
          <w:p w14:paraId="6E358685" w14:textId="77777777" w:rsidR="00C17922" w:rsidRDefault="00000000">
            <w:r>
              <w:t>December 31, 2025</w:t>
            </w:r>
          </w:p>
        </w:tc>
      </w:tr>
      <w:tr w:rsidR="00C17922" w14:paraId="1B9664F0" w14:textId="77777777">
        <w:trPr>
          <w:jc w:val="center"/>
        </w:trPr>
        <w:tc>
          <w:tcPr>
            <w:tcW w:w="4896" w:type="dxa"/>
            <w:tcMar>
              <w:top w:w="80" w:type="dxa"/>
              <w:left w:w="90" w:type="dxa"/>
              <w:bottom w:w="80" w:type="dxa"/>
              <w:right w:w="90" w:type="dxa"/>
            </w:tcMar>
          </w:tcPr>
          <w:p w14:paraId="5C518F3D" w14:textId="77777777" w:rsidR="00C17922" w:rsidRDefault="00000000">
            <w:r>
              <w:t>Comfrt Privacy Policy</w:t>
            </w:r>
          </w:p>
        </w:tc>
        <w:tc>
          <w:tcPr>
            <w:tcW w:w="4896" w:type="dxa"/>
            <w:tcMar>
              <w:top w:w="80" w:type="dxa"/>
              <w:left w:w="90" w:type="dxa"/>
              <w:bottom w:w="80" w:type="dxa"/>
              <w:right w:w="90" w:type="dxa"/>
            </w:tcMar>
          </w:tcPr>
          <w:p w14:paraId="3FF0FFE9" w14:textId="77777777" w:rsidR="00C17922" w:rsidRDefault="00000000">
            <w:r>
              <w:t>March 13, 2026</w:t>
            </w:r>
          </w:p>
        </w:tc>
      </w:tr>
      <w:tr w:rsidR="00C17922" w14:paraId="0C077A35" w14:textId="77777777">
        <w:trPr>
          <w:jc w:val="center"/>
        </w:trPr>
        <w:tc>
          <w:tcPr>
            <w:tcW w:w="4896" w:type="dxa"/>
            <w:tcMar>
              <w:top w:w="80" w:type="dxa"/>
              <w:left w:w="90" w:type="dxa"/>
              <w:bottom w:w="80" w:type="dxa"/>
              <w:right w:w="90" w:type="dxa"/>
            </w:tcMar>
          </w:tcPr>
          <w:p w14:paraId="73AB161D" w14:textId="77777777" w:rsidR="00C17922" w:rsidRDefault="00000000">
            <w:r>
              <w:t>GitHub General Privacy Statement</w:t>
            </w:r>
          </w:p>
        </w:tc>
        <w:tc>
          <w:tcPr>
            <w:tcW w:w="4896" w:type="dxa"/>
            <w:tcMar>
              <w:top w:w="80" w:type="dxa"/>
              <w:left w:w="90" w:type="dxa"/>
              <w:bottom w:w="80" w:type="dxa"/>
              <w:right w:w="90" w:type="dxa"/>
            </w:tcMar>
          </w:tcPr>
          <w:p w14:paraId="057C48F4" w14:textId="77777777" w:rsidR="00C17922" w:rsidRDefault="00000000">
            <w:r>
              <w:t>February 1, 2024</w:t>
            </w:r>
          </w:p>
        </w:tc>
      </w:tr>
      <w:tr w:rsidR="00C17922" w14:paraId="4F8EAE4E" w14:textId="77777777">
        <w:trPr>
          <w:jc w:val="center"/>
        </w:trPr>
        <w:tc>
          <w:tcPr>
            <w:tcW w:w="4896" w:type="dxa"/>
            <w:tcMar>
              <w:top w:w="80" w:type="dxa"/>
              <w:left w:w="90" w:type="dxa"/>
              <w:bottom w:w="80" w:type="dxa"/>
              <w:right w:w="90" w:type="dxa"/>
            </w:tcMar>
          </w:tcPr>
          <w:p w14:paraId="15E7F443" w14:textId="77777777" w:rsidR="00C17922" w:rsidRDefault="00000000">
            <w:r>
              <w:t>Apple Privacy Policy</w:t>
            </w:r>
          </w:p>
        </w:tc>
        <w:tc>
          <w:tcPr>
            <w:tcW w:w="4896" w:type="dxa"/>
            <w:tcMar>
              <w:top w:w="80" w:type="dxa"/>
              <w:left w:w="90" w:type="dxa"/>
              <w:bottom w:w="80" w:type="dxa"/>
              <w:right w:w="90" w:type="dxa"/>
            </w:tcMar>
          </w:tcPr>
          <w:p w14:paraId="7E9259DF" w14:textId="77777777" w:rsidR="00C17922" w:rsidRDefault="00000000">
            <w:r>
              <w:t>July 30, 2025</w:t>
            </w:r>
          </w:p>
        </w:tc>
      </w:tr>
      <w:tr w:rsidR="00C17922" w14:paraId="57381436" w14:textId="77777777">
        <w:trPr>
          <w:jc w:val="center"/>
        </w:trPr>
        <w:tc>
          <w:tcPr>
            <w:tcW w:w="4896" w:type="dxa"/>
            <w:tcMar>
              <w:top w:w="80" w:type="dxa"/>
              <w:left w:w="90" w:type="dxa"/>
              <w:bottom w:w="80" w:type="dxa"/>
              <w:right w:w="90" w:type="dxa"/>
            </w:tcMar>
          </w:tcPr>
          <w:p w14:paraId="2FC1CE90" w14:textId="77777777" w:rsidR="00C17922" w:rsidRDefault="00000000">
            <w:r>
              <w:t>Meta Privacy Policy</w:t>
            </w:r>
          </w:p>
        </w:tc>
        <w:tc>
          <w:tcPr>
            <w:tcW w:w="4896" w:type="dxa"/>
            <w:tcMar>
              <w:top w:w="80" w:type="dxa"/>
              <w:left w:w="90" w:type="dxa"/>
              <w:bottom w:w="80" w:type="dxa"/>
              <w:right w:w="90" w:type="dxa"/>
            </w:tcMar>
          </w:tcPr>
          <w:p w14:paraId="391E3731" w14:textId="77777777" w:rsidR="00C17922" w:rsidRDefault="00000000">
            <w:r>
              <w:t>December 16, 2025</w:t>
            </w:r>
          </w:p>
        </w:tc>
      </w:tr>
      <w:tr w:rsidR="00C17922" w14:paraId="352418B4" w14:textId="77777777">
        <w:trPr>
          <w:jc w:val="center"/>
        </w:trPr>
        <w:tc>
          <w:tcPr>
            <w:tcW w:w="4896" w:type="dxa"/>
            <w:tcMar>
              <w:top w:w="80" w:type="dxa"/>
              <w:left w:w="90" w:type="dxa"/>
              <w:bottom w:w="80" w:type="dxa"/>
              <w:right w:w="90" w:type="dxa"/>
            </w:tcMar>
          </w:tcPr>
          <w:p w14:paraId="1D6C4B6A" w14:textId="77777777" w:rsidR="00C17922" w:rsidRDefault="00000000">
            <w:r>
              <w:t>Microsoft Privacy Statement</w:t>
            </w:r>
          </w:p>
        </w:tc>
        <w:tc>
          <w:tcPr>
            <w:tcW w:w="4896" w:type="dxa"/>
            <w:tcMar>
              <w:top w:w="80" w:type="dxa"/>
              <w:left w:w="90" w:type="dxa"/>
              <w:bottom w:w="80" w:type="dxa"/>
              <w:right w:w="90" w:type="dxa"/>
            </w:tcMar>
          </w:tcPr>
          <w:p w14:paraId="5E95D548" w14:textId="77777777" w:rsidR="00C17922" w:rsidRDefault="00000000">
            <w:r>
              <w:t>March 2026</w:t>
            </w:r>
          </w:p>
        </w:tc>
      </w:tr>
      <w:tr w:rsidR="00C17922" w14:paraId="795BF1E8" w14:textId="77777777">
        <w:trPr>
          <w:jc w:val="center"/>
        </w:trPr>
        <w:tc>
          <w:tcPr>
            <w:tcW w:w="4896" w:type="dxa"/>
            <w:tcMar>
              <w:top w:w="80" w:type="dxa"/>
              <w:left w:w="90" w:type="dxa"/>
              <w:bottom w:w="80" w:type="dxa"/>
              <w:right w:w="90" w:type="dxa"/>
            </w:tcMar>
          </w:tcPr>
          <w:p w14:paraId="44D47A4C" w14:textId="77777777" w:rsidR="00C17922" w:rsidRDefault="00000000">
            <w:r>
              <w:t>PayPal Privacy Statement</w:t>
            </w:r>
          </w:p>
        </w:tc>
        <w:tc>
          <w:tcPr>
            <w:tcW w:w="4896" w:type="dxa"/>
            <w:tcMar>
              <w:top w:w="80" w:type="dxa"/>
              <w:left w:w="90" w:type="dxa"/>
              <w:bottom w:w="80" w:type="dxa"/>
              <w:right w:w="90" w:type="dxa"/>
            </w:tcMar>
          </w:tcPr>
          <w:p w14:paraId="26648556" w14:textId="77777777" w:rsidR="00C17922" w:rsidRDefault="00000000">
            <w:r>
              <w:t>April 2, 2026</w:t>
            </w:r>
          </w:p>
        </w:tc>
      </w:tr>
      <w:tr w:rsidR="00C17922" w14:paraId="5F331DC5" w14:textId="77777777">
        <w:trPr>
          <w:jc w:val="center"/>
        </w:trPr>
        <w:tc>
          <w:tcPr>
            <w:tcW w:w="4896" w:type="dxa"/>
            <w:tcMar>
              <w:top w:w="80" w:type="dxa"/>
              <w:left w:w="90" w:type="dxa"/>
              <w:bottom w:w="80" w:type="dxa"/>
              <w:right w:w="90" w:type="dxa"/>
            </w:tcMar>
          </w:tcPr>
          <w:p w14:paraId="575C3DED" w14:textId="77777777" w:rsidR="00C17922" w:rsidRDefault="00000000">
            <w:r>
              <w:t>Venmo Privacy Statement</w:t>
            </w:r>
          </w:p>
        </w:tc>
        <w:tc>
          <w:tcPr>
            <w:tcW w:w="4896" w:type="dxa"/>
            <w:tcMar>
              <w:top w:w="80" w:type="dxa"/>
              <w:left w:w="90" w:type="dxa"/>
              <w:bottom w:w="80" w:type="dxa"/>
              <w:right w:w="90" w:type="dxa"/>
            </w:tcMar>
          </w:tcPr>
          <w:p w14:paraId="08C0957A" w14:textId="77777777" w:rsidR="00C17922" w:rsidRDefault="00000000">
            <w:r>
              <w:t>November 17, 2025</w:t>
            </w:r>
          </w:p>
        </w:tc>
      </w:tr>
      <w:tr w:rsidR="00C17922" w14:paraId="17B03E39" w14:textId="77777777">
        <w:trPr>
          <w:jc w:val="center"/>
        </w:trPr>
        <w:tc>
          <w:tcPr>
            <w:tcW w:w="4896" w:type="dxa"/>
            <w:tcMar>
              <w:top w:w="80" w:type="dxa"/>
              <w:left w:w="90" w:type="dxa"/>
              <w:bottom w:w="80" w:type="dxa"/>
              <w:right w:w="90" w:type="dxa"/>
            </w:tcMar>
          </w:tcPr>
          <w:p w14:paraId="4709EE1A" w14:textId="77777777" w:rsidR="00C17922" w:rsidRDefault="00000000">
            <w:r>
              <w:t>Yahoo Privacy Policy</w:t>
            </w:r>
          </w:p>
        </w:tc>
        <w:tc>
          <w:tcPr>
            <w:tcW w:w="4896" w:type="dxa"/>
            <w:tcMar>
              <w:top w:w="80" w:type="dxa"/>
              <w:left w:w="90" w:type="dxa"/>
              <w:bottom w:w="80" w:type="dxa"/>
              <w:right w:w="90" w:type="dxa"/>
            </w:tcMar>
          </w:tcPr>
          <w:p w14:paraId="6300259F" w14:textId="77777777" w:rsidR="00C17922" w:rsidRDefault="00000000">
            <w:r>
              <w:t>March 2026</w:t>
            </w:r>
          </w:p>
        </w:tc>
      </w:tr>
    </w:tbl>
    <w:p w14:paraId="5F4FD50A" w14:textId="77777777" w:rsidR="00000000" w:rsidRDefault="00000000"/>
    <w:p w14:paraId="62317FCB" w14:textId="2B595B24" w:rsidR="0031459E" w:rsidRDefault="0031459E">
      <w:r>
        <w:t xml:space="preserve">All of these were signed via clicking a button that said accept when </w:t>
      </w:r>
      <w:proofErr w:type="gramStart"/>
      <w:r>
        <w:t>opening up</w:t>
      </w:r>
      <w:proofErr w:type="gramEnd"/>
      <w:r>
        <w:t xml:space="preserve"> the app on my cellular device after privacy policy update.</w:t>
      </w:r>
    </w:p>
    <w:sectPr w:rsidR="0031459E"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C6426F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261BAD"/>
    <w:multiLevelType w:val="multilevel"/>
    <w:tmpl w:val="73B2EA14"/>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10" w15:restartNumberingAfterBreak="0">
    <w:nsid w:val="71315DCA"/>
    <w:multiLevelType w:val="multilevel"/>
    <w:tmpl w:val="A89C198C"/>
    <w:lvl w:ilvl="0">
      <w:numFmt w:val="bullet"/>
      <w:lvlText w:val=" "/>
      <w:lvlJc w:val="left"/>
      <w:pPr>
        <w:tabs>
          <w:tab w:val="num" w:pos="0"/>
        </w:tabs>
        <w:ind w:left="480" w:hanging="480"/>
      </w:pPr>
    </w:lvl>
    <w:lvl w:ilvl="1">
      <w:start w:val="1"/>
      <w:numFmt w:val="decimal"/>
      <w:lvlText w:val="%2."/>
      <w:lvlJc w:val="left"/>
      <w:pPr>
        <w:ind w:left="1080" w:hanging="36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556362235">
    <w:abstractNumId w:val="8"/>
  </w:num>
  <w:num w:numId="2" w16cid:durableId="547763605">
    <w:abstractNumId w:val="6"/>
  </w:num>
  <w:num w:numId="3" w16cid:durableId="201480488">
    <w:abstractNumId w:val="5"/>
  </w:num>
  <w:num w:numId="4" w16cid:durableId="1191841389">
    <w:abstractNumId w:val="4"/>
  </w:num>
  <w:num w:numId="5" w16cid:durableId="185944008">
    <w:abstractNumId w:val="7"/>
  </w:num>
  <w:num w:numId="6" w16cid:durableId="2054841612">
    <w:abstractNumId w:val="3"/>
  </w:num>
  <w:num w:numId="7" w16cid:durableId="567809890">
    <w:abstractNumId w:val="2"/>
  </w:num>
  <w:num w:numId="8" w16cid:durableId="975792829">
    <w:abstractNumId w:val="1"/>
  </w:num>
  <w:num w:numId="9" w16cid:durableId="982540492">
    <w:abstractNumId w:val="0"/>
  </w:num>
  <w:num w:numId="10" w16cid:durableId="1272780441">
    <w:abstractNumId w:val="9"/>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18238151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CC3"/>
    <w:rsid w:val="0015074B"/>
    <w:rsid w:val="0029639D"/>
    <w:rsid w:val="0031459E"/>
    <w:rsid w:val="00326F90"/>
    <w:rsid w:val="006B4FD0"/>
    <w:rsid w:val="00824BAB"/>
    <w:rsid w:val="00AA1D8D"/>
    <w:rsid w:val="00B47730"/>
    <w:rsid w:val="00C179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FAC17"/>
  <w14:defaultImageDpi w14:val="300"/>
  <w15:docId w15:val="{FAADFC20-FB85-C849-978E-EFA2A9D2B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Small">
    <w:name w:val="Custom Small"/>
    <w:rPr>
      <w:rFonts w:ascii="Aptos" w:hAnsi="Aptos"/>
      <w:sz w:val="18"/>
    </w:rPr>
  </w:style>
  <w:style w:type="paragraph" w:styleId="NormalWeb">
    <w:name w:val="Normal (Web)"/>
    <w:basedOn w:val="Normal"/>
    <w:uiPriority w:val="99"/>
    <w:unhideWhenUsed/>
    <w:rsid w:val="003145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1459E"/>
  </w:style>
  <w:style w:type="paragraph" w:customStyle="1" w:styleId="Compact">
    <w:name w:val="Compact"/>
    <w:basedOn w:val="BodyText"/>
    <w:qFormat/>
    <w:rsid w:val="0031459E"/>
    <w:pPr>
      <w:spacing w:before="36" w:after="36" w:line="240" w:lineRule="auto"/>
    </w:pPr>
    <w:rPr>
      <w:rFonts w:asciiTheme="minorHAnsi" w:eastAsiaTheme="minorHAnsi"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3604</Words>
  <Characters>22639</Characters>
  <Application>Microsoft Office Word</Application>
  <DocSecurity>0</DocSecurity>
  <Lines>665</Lines>
  <Paragraphs>308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Brittany Fetterman</cp:lastModifiedBy>
  <cp:revision>3</cp:revision>
  <dcterms:created xsi:type="dcterms:W3CDTF">2026-04-10T23:48:00Z</dcterms:created>
  <dcterms:modified xsi:type="dcterms:W3CDTF">2026-04-10T23:48:00Z</dcterms:modified>
  <cp:category/>
</cp:coreProperties>
</file>