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A50F" w14:textId="0D305F79" w:rsidR="00C93643" w:rsidRPr="00C35D9C" w:rsidRDefault="00C35D9C">
      <w:pPr>
        <w:rPr>
          <w:rFonts w:asciiTheme="minorBidi" w:hAnsiTheme="minorBidi"/>
        </w:rPr>
      </w:pPr>
      <w:r w:rsidRPr="00C35D9C">
        <w:rPr>
          <w:rFonts w:asciiTheme="minorBidi" w:hAnsiTheme="minorBidi"/>
        </w:rPr>
        <w:t>Aidan Kleinman</w:t>
      </w:r>
    </w:p>
    <w:p w14:paraId="7AE42DCE" w14:textId="736E9FF6" w:rsidR="00C35D9C" w:rsidRPr="00C35D9C" w:rsidRDefault="00C35D9C">
      <w:pPr>
        <w:rPr>
          <w:rFonts w:asciiTheme="minorBidi" w:hAnsiTheme="minorBidi"/>
        </w:rPr>
      </w:pPr>
      <w:r w:rsidRPr="00C35D9C">
        <w:rPr>
          <w:rFonts w:asciiTheme="minorBidi" w:hAnsiTheme="minorBidi"/>
        </w:rPr>
        <w:t>Individual Privacy Agreement Analysis</w:t>
      </w:r>
    </w:p>
    <w:p w14:paraId="4485A4F1" w14:textId="0D9BADCE" w:rsidR="00C35D9C" w:rsidRPr="00C35D9C" w:rsidRDefault="00C35D9C" w:rsidP="00C35D9C">
      <w:pPr>
        <w:pStyle w:val="ListParagraph"/>
        <w:numPr>
          <w:ilvl w:val="0"/>
          <w:numId w:val="1"/>
        </w:numPr>
        <w:rPr>
          <w:rFonts w:asciiTheme="minorBidi" w:hAnsiTheme="minorBidi"/>
        </w:rPr>
      </w:pPr>
      <w:r w:rsidRPr="00C35D9C">
        <w:rPr>
          <w:rFonts w:asciiTheme="minorBidi" w:hAnsiTheme="minorBidi"/>
        </w:rPr>
        <w:t>Instagram</w:t>
      </w:r>
    </w:p>
    <w:p w14:paraId="226A2F4A" w14:textId="53CE1974" w:rsidR="00C35D9C" w:rsidRPr="00C35D9C" w:rsidRDefault="00C35D9C" w:rsidP="00C35D9C">
      <w:pPr>
        <w:pStyle w:val="ListParagraph"/>
        <w:numPr>
          <w:ilvl w:val="0"/>
          <w:numId w:val="1"/>
        </w:numPr>
        <w:rPr>
          <w:rFonts w:asciiTheme="minorBidi" w:hAnsiTheme="minorBidi"/>
        </w:rPr>
      </w:pPr>
      <w:r w:rsidRPr="00C35D9C">
        <w:rPr>
          <w:rFonts w:asciiTheme="minorBidi" w:hAnsiTheme="minorBidi"/>
        </w:rPr>
        <w:t>Microsoft</w:t>
      </w:r>
    </w:p>
    <w:p w14:paraId="0D4229DA" w14:textId="448F2D77" w:rsidR="00C35D9C" w:rsidRPr="00C35D9C" w:rsidRDefault="00C35D9C" w:rsidP="00C35D9C">
      <w:pPr>
        <w:pStyle w:val="ListParagraph"/>
        <w:numPr>
          <w:ilvl w:val="0"/>
          <w:numId w:val="1"/>
        </w:numPr>
        <w:rPr>
          <w:rFonts w:asciiTheme="minorBidi" w:hAnsiTheme="minorBidi"/>
        </w:rPr>
      </w:pPr>
      <w:r w:rsidRPr="00C35D9C">
        <w:rPr>
          <w:rFonts w:asciiTheme="minorBidi" w:hAnsiTheme="minorBidi"/>
        </w:rPr>
        <w:t>Netflix</w:t>
      </w:r>
    </w:p>
    <w:p w14:paraId="1E093544" w14:textId="113C6D86" w:rsidR="00C35D9C" w:rsidRPr="00C35D9C" w:rsidRDefault="00C35D9C" w:rsidP="00C35D9C">
      <w:pPr>
        <w:pStyle w:val="ListParagraph"/>
        <w:numPr>
          <w:ilvl w:val="0"/>
          <w:numId w:val="1"/>
        </w:numPr>
        <w:rPr>
          <w:rFonts w:asciiTheme="minorBidi" w:hAnsiTheme="minorBidi"/>
        </w:rPr>
      </w:pPr>
      <w:r w:rsidRPr="00C35D9C">
        <w:rPr>
          <w:rFonts w:asciiTheme="minorBidi" w:hAnsiTheme="minorBidi"/>
        </w:rPr>
        <w:t>Discover/Capital One</w:t>
      </w:r>
    </w:p>
    <w:p w14:paraId="266C7AE5" w14:textId="67A6DF99" w:rsidR="00C35D9C" w:rsidRPr="00C35D9C" w:rsidRDefault="00C35D9C" w:rsidP="00C35D9C">
      <w:pPr>
        <w:spacing w:before="100" w:beforeAutospacing="1" w:after="100" w:afterAutospacing="1" w:line="240" w:lineRule="auto"/>
        <w:outlineLvl w:val="0"/>
        <w:rPr>
          <w:rFonts w:asciiTheme="minorBidi" w:eastAsia="Times New Roman" w:hAnsiTheme="minorBidi"/>
          <w:b/>
          <w:bCs/>
          <w:kern w:val="36"/>
          <w:sz w:val="48"/>
          <w:szCs w:val="48"/>
          <w:lang w:bidi="he-IL"/>
          <w14:ligatures w14:val="none"/>
        </w:rPr>
      </w:pPr>
      <w:r w:rsidRPr="00C35D9C">
        <w:rPr>
          <w:rFonts w:asciiTheme="minorBidi" w:eastAsia="Times New Roman" w:hAnsiTheme="minorBidi"/>
          <w:b/>
          <w:bCs/>
          <w:kern w:val="36"/>
          <w:sz w:val="48"/>
          <w:szCs w:val="48"/>
          <w:lang w:bidi="he-IL"/>
          <w14:ligatures w14:val="none"/>
        </w:rPr>
        <w:t>Data Collection Practices</w:t>
      </w:r>
    </w:p>
    <w:p w14:paraId="40DF23F4" w14:textId="0A11CB09"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Across all four companies, data collection practices vary primarily based on their underlying business models, with clear distinctions between financial, platform, software, and entertainment ecosystems.</w:t>
      </w:r>
    </w:p>
    <w:p w14:paraId="1862B9AE" w14:textId="42491E07"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Capital One demonstrates the most structured and category-specific data collection model, reflecting regulatory expectations in financial services. It collects highly sensitive personal and financial data—including identity information, transaction histories, biometric identifiers, and credit report data—directly from users, automatically through digital interactions, and from third parties such as credit bureaus.  While the scope is extensive, it is tightly linked to defined purposes such as fraud prevention, identity verification, and account servicing. This creates a system where data collection is both deep and functionally constrained.</w:t>
      </w:r>
    </w:p>
    <w:p w14:paraId="4BAD5E99" w14:textId="6E7965F3"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Meta’s (Instagram’s) approach is the most expansive and behaviorally driven. It collects not only user-provided content and communications but also metadata, device information, inferred attributes, and activity across both Meta platforms and external environments. Notably, Meta collects data about individuals even without active accounts, through cookies, tracking pixels, and partner integrations.  This results in a highly interconnected dataset that spans on-platform and off-platform behavior, enabling continuous profiling.</w:t>
      </w:r>
    </w:p>
    <w:p w14:paraId="50A70B5D" w14:textId="3CC1B63F"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Microsoft occupies a middle ground, combining broad collection with strong categorization and purpose limitation. It collects data across its ecosystem (e.g., Windows, Office, cloud services), including device data, usage data, and account information. However, unlike Meta, Microsoft explicitly organizes data into categories tied to specific uses (e.g., security, product improvement, personalization), creating a more transparent and modular collection structure.</w:t>
      </w:r>
    </w:p>
    <w:p w14:paraId="4BCDF356" w14:textId="6F69611D"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Netflix, by contrast, maintains a narrower but still behaviorally rich data collection model. It primarily gathers account information, payment details, device data, and detailed viewing behavior (e.g., watch history, interaction patterns). While its scope is limited to the streaming context, it engages in deep behavioral tracking within that domain, particularly to power recommendation algorithms and content personalization.</w:t>
      </w:r>
    </w:p>
    <w:p w14:paraId="23B7C99F" w14:textId="37907ABF" w:rsidR="00C35D9C" w:rsidRPr="00C35D9C" w:rsidRDefault="00C35D9C" w:rsidP="00C35D9C">
      <w:pPr>
        <w:spacing w:before="100" w:beforeAutospacing="1" w:after="100" w:afterAutospacing="1" w:line="240" w:lineRule="auto"/>
        <w:outlineLvl w:val="0"/>
        <w:rPr>
          <w:rFonts w:asciiTheme="minorBidi" w:eastAsia="Times New Roman" w:hAnsiTheme="minorBidi"/>
          <w:b/>
          <w:bCs/>
          <w:kern w:val="36"/>
          <w:sz w:val="48"/>
          <w:szCs w:val="48"/>
          <w:lang w:bidi="he-IL"/>
          <w14:ligatures w14:val="none"/>
        </w:rPr>
      </w:pPr>
      <w:r w:rsidRPr="00C35D9C">
        <w:rPr>
          <w:rFonts w:asciiTheme="minorBidi" w:eastAsia="Times New Roman" w:hAnsiTheme="minorBidi"/>
          <w:b/>
          <w:bCs/>
          <w:kern w:val="36"/>
          <w:sz w:val="48"/>
          <w:szCs w:val="48"/>
          <w:lang w:bidi="he-IL"/>
          <w14:ligatures w14:val="none"/>
        </w:rPr>
        <w:lastRenderedPageBreak/>
        <w:t>Data Sharing Policies</w:t>
      </w:r>
    </w:p>
    <w:p w14:paraId="187DCAA6" w14:textId="12C55667"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The four companies diverge significantly in how and why they share user data, with differences largely driven by regulatory exposure and reliance on advertising ecosystems.</w:t>
      </w:r>
    </w:p>
    <w:p w14:paraId="5D0F8E3A" w14:textId="0A26EFAC"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Capital One’s data sharing practices are regulated, purpose-specific, and comparatively constrained. It shares information with affiliates, service providers, credit bureaus, and government entities, primarily to facilitate financial transactions, comply with legal obligations, and deliver requested services.  While marketing-related sharing exists, it is limited by legal frameworks and often subject to user choice. This results in a controlled and compliance-driven sharing environment.</w:t>
      </w:r>
    </w:p>
    <w:p w14:paraId="283FC621" w14:textId="4BBA22C1"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 xml:space="preserve">Meta’s sharing practices are the most extensive and </w:t>
      </w:r>
      <w:proofErr w:type="gramStart"/>
      <w:r w:rsidRPr="00C35D9C">
        <w:rPr>
          <w:rFonts w:asciiTheme="minorBidi" w:eastAsia="Times New Roman" w:hAnsiTheme="minorBidi"/>
          <w:kern w:val="0"/>
          <w:lang w:bidi="he-IL"/>
          <w14:ligatures w14:val="none"/>
        </w:rPr>
        <w:t>ecosystem-oriented</w:t>
      </w:r>
      <w:proofErr w:type="gramEnd"/>
      <w:r w:rsidRPr="00C35D9C">
        <w:rPr>
          <w:rFonts w:asciiTheme="minorBidi" w:eastAsia="Times New Roman" w:hAnsiTheme="minorBidi"/>
          <w:kern w:val="0"/>
          <w:lang w:bidi="he-IL"/>
          <w14:ligatures w14:val="none"/>
        </w:rPr>
        <w:t>. Data is shared not only with service providers but also with advertisers, partners, and third-party businesses that integrate Meta technologies. These partners both receive data from Meta and supply data back to it, creating a bidirectional data exchange network.  This system enables large-scale targeted advertising and cross-platform tracking, making Meta’s sharing practices the most complex and far-reaching.</w:t>
      </w:r>
    </w:p>
    <w:p w14:paraId="7DE62D1B" w14:textId="6D32AA3F"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Microsoft adopts a moderately broad but transparent sharing model. It shares data with vendors, partners, and affiliates for service delivery, security, and advertising purposes, but emphasizes clear disclosure of categories and purposes. Compared to Meta, Microsoft’s sharing is less reliant on external behavioral advertising networks and more focused on enabling its own products and enterprise services.</w:t>
      </w:r>
    </w:p>
    <w:p w14:paraId="54F30A82" w14:textId="290E4357"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Netflix’s sharing practices are relatively limited in scope but still commercially oriented. It shares data with service providers and partners for content delivery, analytics, and marketing. Unlike Meta, Netflix does not operate a large-scale third-party advertising ecosystem (except in ad-supported tiers), resulting in less extensive external data dissemination, though still involving third-party collaboration.</w:t>
      </w:r>
    </w:p>
    <w:p w14:paraId="5D52E54D" w14:textId="018883BD" w:rsidR="00C35D9C" w:rsidRPr="00C35D9C" w:rsidRDefault="00C35D9C" w:rsidP="00C35D9C">
      <w:pPr>
        <w:spacing w:before="100" w:beforeAutospacing="1" w:after="100" w:afterAutospacing="1" w:line="240" w:lineRule="auto"/>
        <w:outlineLvl w:val="0"/>
        <w:rPr>
          <w:rFonts w:asciiTheme="minorBidi" w:eastAsia="Times New Roman" w:hAnsiTheme="minorBidi"/>
          <w:b/>
          <w:bCs/>
          <w:kern w:val="36"/>
          <w:sz w:val="48"/>
          <w:szCs w:val="48"/>
          <w:lang w:bidi="he-IL"/>
          <w14:ligatures w14:val="none"/>
        </w:rPr>
      </w:pPr>
      <w:r w:rsidRPr="00C35D9C">
        <w:rPr>
          <w:rFonts w:asciiTheme="minorBidi" w:eastAsia="Times New Roman" w:hAnsiTheme="minorBidi"/>
          <w:b/>
          <w:bCs/>
          <w:kern w:val="36"/>
          <w:sz w:val="48"/>
          <w:szCs w:val="48"/>
          <w:lang w:bidi="he-IL"/>
          <w14:ligatures w14:val="none"/>
        </w:rPr>
        <w:t>User Rights</w:t>
      </w:r>
    </w:p>
    <w:p w14:paraId="683C6613" w14:textId="69D09246"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User rights across the four companies reflect varying levels of regulatory influence and platform design philosophy.</w:t>
      </w:r>
    </w:p>
    <w:p w14:paraId="4F7B6E3E" w14:textId="7324E776"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Capital One provides user rights within a formal, compliance-driven framework, shaped by financial regulations such as the Gramm-Leach-Bliley Act and state privacy laws. Users are informed of their rights to access, correct, and limit certain data sharing practices, often through additional notices and disclosures.  These rights are standardized and legally enforceable, though less embedded in interactive user interfaces.</w:t>
      </w:r>
    </w:p>
    <w:p w14:paraId="57A85BEB" w14:textId="1C39DECC"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lastRenderedPageBreak/>
        <w:t>Meta emphasizes user control through platform-based tools and settings, allowing users to access, manage, and delete their data.  However, these controls are often complex and fragmented across different settings menus. While Meta provides extensive customization options, the underlying data collection infrastructure remains largely intact, meaning user rights are operationally flexible but structurally limited.</w:t>
      </w:r>
    </w:p>
    <w:p w14:paraId="23F36C52" w14:textId="5EA933EC"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Microsoft offers the most comprehensive and clearly articulated user rights framework. Users are granted rights to access, delete, correct, and transfer their data, along with the ability to restrict processing and opt out of certain uses. These rights are presented in a transparent and accessible manner, reflecting Microsoft’s emphasis on global compliance and user trust.</w:t>
      </w:r>
    </w:p>
    <w:p w14:paraId="32E73A13" w14:textId="08B93D6E"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Netflix provides a more minimalist set of user rights, allowing users to access their data, download account information, and adjust certain privacy settings. While these rights are sufficient for its service model, they are less granular and less extensive than those offered by Microsoft or required in financial contexts.</w:t>
      </w:r>
    </w:p>
    <w:p w14:paraId="380EFA0A" w14:textId="33299E43" w:rsidR="00C35D9C" w:rsidRPr="00C35D9C" w:rsidRDefault="00C35D9C" w:rsidP="00C35D9C">
      <w:pPr>
        <w:spacing w:before="100" w:beforeAutospacing="1" w:after="100" w:afterAutospacing="1" w:line="240" w:lineRule="auto"/>
        <w:outlineLvl w:val="0"/>
        <w:rPr>
          <w:rFonts w:asciiTheme="minorBidi" w:eastAsia="Times New Roman" w:hAnsiTheme="minorBidi"/>
          <w:b/>
          <w:bCs/>
          <w:kern w:val="36"/>
          <w:sz w:val="48"/>
          <w:szCs w:val="48"/>
          <w:lang w:bidi="he-IL"/>
          <w14:ligatures w14:val="none"/>
        </w:rPr>
      </w:pPr>
      <w:r w:rsidRPr="00C35D9C">
        <w:rPr>
          <w:rFonts w:asciiTheme="minorBidi" w:eastAsia="Times New Roman" w:hAnsiTheme="minorBidi"/>
          <w:b/>
          <w:bCs/>
          <w:kern w:val="36"/>
          <w:sz w:val="48"/>
          <w:szCs w:val="48"/>
          <w:lang w:bidi="he-IL"/>
          <w14:ligatures w14:val="none"/>
        </w:rPr>
        <w:t>Opt-Out Provisions</w:t>
      </w:r>
    </w:p>
    <w:p w14:paraId="2991CA9D" w14:textId="3D3847DC"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Opt-out mechanisms reveal important differences in how much control users realistically have over their data.</w:t>
      </w:r>
    </w:p>
    <w:p w14:paraId="55620989" w14:textId="3B120435"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 xml:space="preserve">Capital One offers clear and enforceable opt-out provisions, particularly for marketing communications and certain types of data sharing. These options are supported by regulatory requirements, ensuring that users can meaningfully limit how their data is used beyond core service delivery.  </w:t>
      </w:r>
    </w:p>
    <w:p w14:paraId="0BF2443A" w14:textId="5C2964EF"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Meta provides partial and layered opt-out options, such as ad preference controls and cookie management tools. However, because its business model depends on data collection and personalization, users cannot fully opt out of core tracking practices.  Additionally, off-platform data collection through partners limits the effectiveness of these controls, resulting in a fragmented opt-out experience.</w:t>
      </w:r>
    </w:p>
    <w:p w14:paraId="1960F691" w14:textId="7C4E1FDD"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Microsoft offers robust and centralized opt-out mechanisms, including controls for targeted advertising and support for browser-based privacy signals (e.g., Global Privacy Control). These options are clearly presented and integrated into the user experience, making Microsoft’s opt-out framework one of the most user-friendly and comprehensive.</w:t>
      </w:r>
    </w:p>
    <w:p w14:paraId="21E0EC3C" w14:textId="692B66D9"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Netflix has the most limited opt-out capabilities, primarily allowing users to adjust communication preferences and, in some cases, advertising settings for ad-supported plans. However, users cannot opt out of core behavioral tracking (e.g., viewing history), as it is essential to the service. This results in a functionally constrained opt-out model.</w:t>
      </w:r>
    </w:p>
    <w:p w14:paraId="6A35B882" w14:textId="3C02F747" w:rsidR="00C35D9C" w:rsidRPr="00C35D9C" w:rsidRDefault="00C35D9C" w:rsidP="00BA3FEC">
      <w:pPr>
        <w:spacing w:before="100" w:beforeAutospacing="1" w:after="100" w:afterAutospacing="1" w:line="240" w:lineRule="auto"/>
        <w:outlineLvl w:val="0"/>
        <w:rPr>
          <w:rFonts w:asciiTheme="minorBidi" w:eastAsia="Times New Roman" w:hAnsiTheme="minorBidi"/>
          <w:b/>
          <w:bCs/>
          <w:kern w:val="36"/>
          <w:sz w:val="48"/>
          <w:szCs w:val="48"/>
          <w:lang w:bidi="he-IL"/>
          <w14:ligatures w14:val="none"/>
        </w:rPr>
      </w:pPr>
      <w:r w:rsidRPr="00C35D9C">
        <w:rPr>
          <w:rFonts w:asciiTheme="minorBidi" w:eastAsia="Times New Roman" w:hAnsiTheme="minorBidi"/>
          <w:b/>
          <w:bCs/>
          <w:kern w:val="36"/>
          <w:sz w:val="48"/>
          <w:szCs w:val="48"/>
          <w:lang w:bidi="he-IL"/>
          <w14:ligatures w14:val="none"/>
        </w:rPr>
        <w:t>Update Procedures</w:t>
      </w:r>
    </w:p>
    <w:p w14:paraId="1A125897" w14:textId="0877F066"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lastRenderedPageBreak/>
        <w:t>Update procedures highlight differences in organizational transparency and adaptability.</w:t>
      </w:r>
    </w:p>
    <w:p w14:paraId="5FEBB461" w14:textId="48EEB3E3"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Capital One follows a formal and compliance-oriented update process, with clearly stated effective dates and structured communication practices.  Updates are typically tied to regulatory changes or operational needs, resulting in a relatively stable policy environment.</w:t>
      </w:r>
    </w:p>
    <w:p w14:paraId="258951DA" w14:textId="3808E966"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 xml:space="preserve">Meta employs a more dynamic and iterative update approach, reflecting the rapid evolution of its products and technologies. The policy includes mechanisms for notifying users of changes, but the frequency and scope of updates can make it difficult for users to track how practices evolve over time.  </w:t>
      </w:r>
    </w:p>
    <w:p w14:paraId="02B42ED0" w14:textId="2C75A35D"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Microsoft provides highly transparent update procedures, often including version histories, summaries of changes, and clear communication about how updates affect users. This reinforces its broader emphasis on accountability and trust.</w:t>
      </w:r>
    </w:p>
    <w:p w14:paraId="717E5539" w14:textId="706C57D5"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Netflix’s update process is less formalized and less transparent compared to the others. While it notifies users of significant changes, updates are generally less detailed and less frequent, reflecting a simpler service model but also providing less visibility into evolving data practices.</w:t>
      </w:r>
    </w:p>
    <w:p w14:paraId="6E17D658" w14:textId="419E6A7B" w:rsidR="00C35D9C" w:rsidRPr="00C35D9C" w:rsidRDefault="00C35D9C" w:rsidP="00BA3FEC">
      <w:pPr>
        <w:spacing w:before="100" w:beforeAutospacing="1" w:after="100" w:afterAutospacing="1" w:line="240" w:lineRule="auto"/>
        <w:outlineLvl w:val="0"/>
        <w:rPr>
          <w:rFonts w:asciiTheme="minorBidi" w:eastAsia="Times New Roman" w:hAnsiTheme="minorBidi"/>
          <w:b/>
          <w:bCs/>
          <w:kern w:val="36"/>
          <w:sz w:val="48"/>
          <w:szCs w:val="48"/>
          <w:lang w:bidi="he-IL"/>
          <w14:ligatures w14:val="none"/>
        </w:rPr>
      </w:pPr>
      <w:r w:rsidRPr="00C35D9C">
        <w:rPr>
          <w:rFonts w:asciiTheme="minorBidi" w:eastAsia="Times New Roman" w:hAnsiTheme="minorBidi"/>
          <w:b/>
          <w:bCs/>
          <w:kern w:val="36"/>
          <w:sz w:val="48"/>
          <w:szCs w:val="48"/>
          <w:lang w:bidi="he-IL"/>
          <w14:ligatures w14:val="none"/>
        </w:rPr>
        <w:t>Overall Comparative Insight</w:t>
      </w:r>
    </w:p>
    <w:p w14:paraId="2386D8AB" w14:textId="77777777"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When analyzed together, these four privacy policies illustrate how industry context fundamentally shapes privacy design.</w:t>
      </w:r>
    </w:p>
    <w:p w14:paraId="0732E4C7" w14:textId="77777777" w:rsidR="00C35D9C" w:rsidRPr="00C35D9C" w:rsidRDefault="00C35D9C" w:rsidP="00C35D9C">
      <w:pPr>
        <w:numPr>
          <w:ilvl w:val="0"/>
          <w:numId w:val="3"/>
        </w:num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Capital One represents a regulation-driven model, where data practices are tightly controlled and legally constrained.</w:t>
      </w:r>
    </w:p>
    <w:p w14:paraId="467F52CD" w14:textId="77777777" w:rsidR="00C35D9C" w:rsidRPr="00C35D9C" w:rsidRDefault="00C35D9C" w:rsidP="00C35D9C">
      <w:pPr>
        <w:numPr>
          <w:ilvl w:val="0"/>
          <w:numId w:val="3"/>
        </w:num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Meta represents an ecosystem-driven model, where data flows are expansive and optimized for advertising and engagement.</w:t>
      </w:r>
    </w:p>
    <w:p w14:paraId="1D985845" w14:textId="77777777" w:rsidR="00C35D9C" w:rsidRPr="00C35D9C" w:rsidRDefault="00C35D9C" w:rsidP="00C35D9C">
      <w:pPr>
        <w:numPr>
          <w:ilvl w:val="0"/>
          <w:numId w:val="3"/>
        </w:num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Microsoft represents a hybrid model, balancing broad data use with strong transparency and user control.</w:t>
      </w:r>
    </w:p>
    <w:p w14:paraId="3B71C197" w14:textId="14195F9C" w:rsidR="00C35D9C" w:rsidRPr="00C35D9C" w:rsidRDefault="00C35D9C" w:rsidP="00C35D9C">
      <w:pPr>
        <w:numPr>
          <w:ilvl w:val="0"/>
          <w:numId w:val="3"/>
        </w:num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Netflix represents a service-optimization model, with narrower scope but deep behavioral insight and limited user control.</w:t>
      </w:r>
    </w:p>
    <w:p w14:paraId="161C9E4B" w14:textId="77777777" w:rsidR="00C35D9C" w:rsidRPr="00C35D9C" w:rsidRDefault="00C35D9C" w:rsidP="00C35D9C">
      <w:pPr>
        <w:spacing w:before="100" w:beforeAutospacing="1" w:after="100" w:afterAutospacing="1" w:line="240" w:lineRule="auto"/>
        <w:rPr>
          <w:rFonts w:asciiTheme="minorBidi" w:eastAsia="Times New Roman" w:hAnsiTheme="minorBidi"/>
          <w:kern w:val="0"/>
          <w:lang w:bidi="he-IL"/>
          <w14:ligatures w14:val="none"/>
        </w:rPr>
      </w:pPr>
      <w:r w:rsidRPr="00C35D9C">
        <w:rPr>
          <w:rFonts w:asciiTheme="minorBidi" w:eastAsia="Times New Roman" w:hAnsiTheme="minorBidi"/>
          <w:kern w:val="0"/>
          <w:lang w:bidi="he-IL"/>
          <w14:ligatures w14:val="none"/>
        </w:rPr>
        <w:t>The key distinction is not simply how much data is collected, but how integrated, shareable, and controllable that data is within each company’s ecosystem.</w:t>
      </w:r>
    </w:p>
    <w:p w14:paraId="4CFD5D09" w14:textId="77777777" w:rsidR="00C35D9C" w:rsidRPr="00C35D9C" w:rsidRDefault="00C35D9C" w:rsidP="00C35D9C">
      <w:pPr>
        <w:rPr>
          <w:rFonts w:asciiTheme="minorBidi" w:hAnsiTheme="minorBidi"/>
        </w:rPr>
      </w:pPr>
    </w:p>
    <w:sectPr w:rsidR="00C35D9C" w:rsidRPr="00C35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6950"/>
    <w:multiLevelType w:val="multilevel"/>
    <w:tmpl w:val="CD8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7099E"/>
    <w:multiLevelType w:val="multilevel"/>
    <w:tmpl w:val="58D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E92E2C"/>
    <w:multiLevelType w:val="hybridMultilevel"/>
    <w:tmpl w:val="F26CA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7298333">
    <w:abstractNumId w:val="2"/>
  </w:num>
  <w:num w:numId="2" w16cid:durableId="942803799">
    <w:abstractNumId w:val="0"/>
  </w:num>
  <w:num w:numId="3" w16cid:durableId="489372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D9C"/>
    <w:rsid w:val="000D7368"/>
    <w:rsid w:val="006954B4"/>
    <w:rsid w:val="00884602"/>
    <w:rsid w:val="00A14CDF"/>
    <w:rsid w:val="00BA3FEC"/>
    <w:rsid w:val="00C35D9C"/>
    <w:rsid w:val="00C93643"/>
    <w:rsid w:val="00F361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0B24"/>
  <w15:chartTrackingRefBased/>
  <w15:docId w15:val="{AF2A02B5-02F8-8648-B8A2-EEBB80CF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D9C"/>
    <w:rPr>
      <w:rFonts w:eastAsiaTheme="majorEastAsia" w:cstheme="majorBidi"/>
      <w:color w:val="272727" w:themeColor="text1" w:themeTint="D8"/>
    </w:rPr>
  </w:style>
  <w:style w:type="paragraph" w:styleId="Title">
    <w:name w:val="Title"/>
    <w:basedOn w:val="Normal"/>
    <w:next w:val="Normal"/>
    <w:link w:val="TitleChar"/>
    <w:uiPriority w:val="10"/>
    <w:qFormat/>
    <w:rsid w:val="00C3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D9C"/>
    <w:pPr>
      <w:spacing w:before="160"/>
      <w:jc w:val="center"/>
    </w:pPr>
    <w:rPr>
      <w:i/>
      <w:iCs/>
      <w:color w:val="404040" w:themeColor="text1" w:themeTint="BF"/>
    </w:rPr>
  </w:style>
  <w:style w:type="character" w:customStyle="1" w:styleId="QuoteChar">
    <w:name w:val="Quote Char"/>
    <w:basedOn w:val="DefaultParagraphFont"/>
    <w:link w:val="Quote"/>
    <w:uiPriority w:val="29"/>
    <w:rsid w:val="00C35D9C"/>
    <w:rPr>
      <w:i/>
      <w:iCs/>
      <w:color w:val="404040" w:themeColor="text1" w:themeTint="BF"/>
    </w:rPr>
  </w:style>
  <w:style w:type="paragraph" w:styleId="ListParagraph">
    <w:name w:val="List Paragraph"/>
    <w:basedOn w:val="Normal"/>
    <w:uiPriority w:val="34"/>
    <w:qFormat/>
    <w:rsid w:val="00C35D9C"/>
    <w:pPr>
      <w:ind w:left="720"/>
      <w:contextualSpacing/>
    </w:pPr>
  </w:style>
  <w:style w:type="character" w:styleId="IntenseEmphasis">
    <w:name w:val="Intense Emphasis"/>
    <w:basedOn w:val="DefaultParagraphFont"/>
    <w:uiPriority w:val="21"/>
    <w:qFormat/>
    <w:rsid w:val="00C35D9C"/>
    <w:rPr>
      <w:i/>
      <w:iCs/>
      <w:color w:val="0F4761" w:themeColor="accent1" w:themeShade="BF"/>
    </w:rPr>
  </w:style>
  <w:style w:type="paragraph" w:styleId="IntenseQuote">
    <w:name w:val="Intense Quote"/>
    <w:basedOn w:val="Normal"/>
    <w:next w:val="Normal"/>
    <w:link w:val="IntenseQuoteChar"/>
    <w:uiPriority w:val="30"/>
    <w:qFormat/>
    <w:rsid w:val="00C35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D9C"/>
    <w:rPr>
      <w:i/>
      <w:iCs/>
      <w:color w:val="0F4761" w:themeColor="accent1" w:themeShade="BF"/>
    </w:rPr>
  </w:style>
  <w:style w:type="character" w:styleId="IntenseReference">
    <w:name w:val="Intense Reference"/>
    <w:basedOn w:val="DefaultParagraphFont"/>
    <w:uiPriority w:val="32"/>
    <w:qFormat/>
    <w:rsid w:val="00C35D9C"/>
    <w:rPr>
      <w:b/>
      <w:bCs/>
      <w:smallCaps/>
      <w:color w:val="0F4761" w:themeColor="accent1" w:themeShade="BF"/>
      <w:spacing w:val="5"/>
    </w:rPr>
  </w:style>
  <w:style w:type="paragraph" w:customStyle="1" w:styleId="p1">
    <w:name w:val="p1"/>
    <w:basedOn w:val="Normal"/>
    <w:rsid w:val="00C35D9C"/>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s1">
    <w:name w:val="s1"/>
    <w:basedOn w:val="DefaultParagraphFont"/>
    <w:rsid w:val="00C35D9C"/>
  </w:style>
  <w:style w:type="character" w:customStyle="1" w:styleId="s2">
    <w:name w:val="s2"/>
    <w:basedOn w:val="DefaultParagraphFont"/>
    <w:rsid w:val="00C35D9C"/>
  </w:style>
  <w:style w:type="character" w:customStyle="1" w:styleId="s3">
    <w:name w:val="s3"/>
    <w:basedOn w:val="DefaultParagraphFont"/>
    <w:rsid w:val="00C35D9C"/>
  </w:style>
  <w:style w:type="paragraph" w:customStyle="1" w:styleId="p3">
    <w:name w:val="p3"/>
    <w:basedOn w:val="Normal"/>
    <w:rsid w:val="00C35D9C"/>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apple-converted-space">
    <w:name w:val="apple-converted-space"/>
    <w:basedOn w:val="DefaultParagraphFont"/>
    <w:rsid w:val="00C35D9C"/>
  </w:style>
  <w:style w:type="paragraph" w:customStyle="1" w:styleId="p4">
    <w:name w:val="p4"/>
    <w:basedOn w:val="Normal"/>
    <w:rsid w:val="00C35D9C"/>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s5">
    <w:name w:val="s5"/>
    <w:basedOn w:val="DefaultParagraphFont"/>
    <w:rsid w:val="00C35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2ebf40-80b2-40ba-86fe-6dd409acb499}" enabled="0" method="" siteId="{762ebf40-80b2-40ba-86fe-6dd409acb499}"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4</Pages>
  <Words>3193</Words>
  <Characters>6386</Characters>
  <Application>Microsoft Office Word</Application>
  <DocSecurity>0</DocSecurity>
  <Lines>3193</Lines>
  <Paragraphs>3192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Kleinman</dc:creator>
  <cp:keywords/>
  <dc:description/>
  <cp:lastModifiedBy>Aidan Kleinman</cp:lastModifiedBy>
  <cp:revision>3</cp:revision>
  <dcterms:created xsi:type="dcterms:W3CDTF">2026-04-14T05:45:00Z</dcterms:created>
  <dcterms:modified xsi:type="dcterms:W3CDTF">2026-04-14T05:50:00Z</dcterms:modified>
</cp:coreProperties>
</file>