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6613" w14:textId="2C69EF53" w:rsidR="006455A9" w:rsidRDefault="006455A9" w:rsidP="006455A9">
      <w:pPr>
        <w:pStyle w:val="p1"/>
        <w:rPr>
          <w:rFonts w:asciiTheme="minorBidi" w:hAnsiTheme="minorBidi" w:cstheme="minorBidi"/>
        </w:rPr>
      </w:pPr>
      <w:r>
        <w:rPr>
          <w:rFonts w:asciiTheme="minorBidi" w:hAnsiTheme="minorBidi" w:cstheme="minorBidi"/>
        </w:rPr>
        <w:t>Aidan Kleinman</w:t>
      </w:r>
    </w:p>
    <w:p w14:paraId="5CD35A1E" w14:textId="66A5C805" w:rsidR="006455A9" w:rsidRDefault="006455A9" w:rsidP="006455A9">
      <w:pPr>
        <w:pStyle w:val="p1"/>
        <w:rPr>
          <w:rFonts w:asciiTheme="minorBidi" w:hAnsiTheme="minorBidi" w:cstheme="minorBidi"/>
        </w:rPr>
      </w:pPr>
      <w:r>
        <w:rPr>
          <w:rFonts w:asciiTheme="minorBidi" w:hAnsiTheme="minorBidi" w:cstheme="minorBidi"/>
        </w:rPr>
        <w:t>U.S. Regulations</w:t>
      </w:r>
    </w:p>
    <w:p w14:paraId="46D3F04C" w14:textId="331C396A" w:rsidR="006455A9" w:rsidRPr="006455A9" w:rsidRDefault="006455A9" w:rsidP="006455A9">
      <w:pPr>
        <w:pStyle w:val="p1"/>
        <w:rPr>
          <w:rFonts w:asciiTheme="minorBidi" w:hAnsiTheme="minorBidi" w:cstheme="minorBidi"/>
        </w:rPr>
      </w:pPr>
      <w:r w:rsidRPr="006455A9">
        <w:rPr>
          <w:rFonts w:asciiTheme="minorBidi" w:hAnsiTheme="minorBidi" w:cstheme="minorBidi"/>
        </w:rPr>
        <w:t xml:space="preserve">Across the U.S. regulatory landscape—particularly under the </w:t>
      </w:r>
      <w:r w:rsidRPr="006455A9">
        <w:rPr>
          <w:rFonts w:asciiTheme="minorBidi" w:eastAsiaTheme="majorEastAsia" w:hAnsiTheme="minorBidi" w:cstheme="minorBidi"/>
        </w:rPr>
        <w:t>California Consumer Privacy Act (CCPA)</w:t>
      </w:r>
      <w:r w:rsidRPr="006455A9">
        <w:rPr>
          <w:rFonts w:asciiTheme="minorBidi" w:hAnsiTheme="minorBidi" w:cstheme="minorBidi"/>
        </w:rPr>
        <w:t xml:space="preserve"> and the </w:t>
      </w:r>
      <w:r w:rsidRPr="006455A9">
        <w:rPr>
          <w:rFonts w:asciiTheme="minorBidi" w:eastAsiaTheme="majorEastAsia" w:hAnsiTheme="minorBidi" w:cstheme="minorBidi"/>
        </w:rPr>
        <w:t>Virginia Consumer Data Protection Act</w:t>
      </w:r>
      <w:r w:rsidRPr="006455A9">
        <w:rPr>
          <w:rStyle w:val="s2"/>
          <w:rFonts w:asciiTheme="minorBidi" w:eastAsiaTheme="majorEastAsia" w:hAnsiTheme="minorBidi" w:cstheme="minorBidi"/>
        </w:rPr>
        <w:t xml:space="preserve"> (VCDPA)</w:t>
      </w:r>
      <w:r w:rsidRPr="006455A9">
        <w:rPr>
          <w:rFonts w:asciiTheme="minorBidi" w:hAnsiTheme="minorBidi" w:cstheme="minorBidi"/>
        </w:rPr>
        <w:t>—the four companies generally meet baseline compliance requirements but differ significantly in how fully they align with the spirit of these laws. Capital One is the closest fit to U.S. regulatory expectations due to its structured notice practices, clear data categorization, and legally grounded consumer rights. Its disclosures and opt-out mechanisms align well with CCPA notice requirements and VCDPA processing limitations, particularly around financial data sharing. Microsoft also demonstrates strong alignment, especially in transparency, consumer rights (access, deletion, portability), and opt-out mechanisms, which map directly to both CCPA and VCDPA frameworks. In contrast, Meta technically satisfies notice and opt-out requirements—providing disclosures and ad preference controls—but its complex data ecosystem and reliance on third-party tracking push the boundaries of meaningful transparency and user control. Netflix, while compliant at a basic level, offers fewer opt-out options and less granular user control, placing it closer to minimum compliance rather than best practice.</w:t>
      </w:r>
    </w:p>
    <w:p w14:paraId="2E4B058D" w14:textId="43010656" w:rsidR="00C93643" w:rsidRDefault="006455A9" w:rsidP="006455A9">
      <w:pPr>
        <w:pStyle w:val="p1"/>
        <w:rPr>
          <w:rFonts w:asciiTheme="minorBidi" w:hAnsiTheme="minorBidi" w:cstheme="minorBidi"/>
        </w:rPr>
      </w:pPr>
      <w:r w:rsidRPr="006455A9">
        <w:rPr>
          <w:rFonts w:asciiTheme="minorBidi" w:hAnsiTheme="minorBidi" w:cstheme="minorBidi"/>
        </w:rPr>
        <w:t xml:space="preserve">From a broader U.S. perspective, these laws emphasize </w:t>
      </w:r>
      <w:r w:rsidRPr="006455A9">
        <w:rPr>
          <w:rStyle w:val="s2"/>
          <w:rFonts w:asciiTheme="minorBidi" w:eastAsiaTheme="majorEastAsia" w:hAnsiTheme="minorBidi" w:cstheme="minorBidi"/>
        </w:rPr>
        <w:t>notice, consumer rights, and opt-out of data selling or targeted advertising</w:t>
      </w:r>
      <w:r w:rsidRPr="006455A9">
        <w:rPr>
          <w:rFonts w:asciiTheme="minorBidi" w:hAnsiTheme="minorBidi" w:cstheme="minorBidi"/>
        </w:rPr>
        <w:t xml:space="preserve">, but they do not impose strict limitations on data collection itself. This explains why Meta’s extensive data collection practices can still operate within legal bounds despite being far more expansive than Capital One’s or Microsoft’s. VCDPA introduces stronger </w:t>
      </w:r>
      <w:r w:rsidRPr="006455A9">
        <w:rPr>
          <w:rStyle w:val="s2"/>
          <w:rFonts w:asciiTheme="minorBidi" w:eastAsiaTheme="majorEastAsia" w:hAnsiTheme="minorBidi" w:cstheme="minorBidi"/>
        </w:rPr>
        <w:t>processing limitations and business obligations</w:t>
      </w:r>
      <w:r w:rsidRPr="006455A9">
        <w:rPr>
          <w:rFonts w:asciiTheme="minorBidi" w:hAnsiTheme="minorBidi" w:cstheme="minorBidi"/>
        </w:rPr>
        <w:t xml:space="preserve">, requiring companies to justify data use and minimize unnecessary collection, which aligns more closely with Microsoft’s structured approach than with Meta’s ecosystem model. Other state laws (e.g., Colorado, Connecticut) reinforce these trends, gradually pushing companies toward clearer disclosures and stronger opt-out frameworks. Overall, while all four companies meet U.S. legal thresholds, </w:t>
      </w:r>
      <w:r w:rsidRPr="006455A9">
        <w:rPr>
          <w:rStyle w:val="s2"/>
          <w:rFonts w:asciiTheme="minorBidi" w:eastAsiaTheme="majorEastAsia" w:hAnsiTheme="minorBidi" w:cstheme="minorBidi"/>
        </w:rPr>
        <w:t>Capital One and Microsoft align more substantively</w:t>
      </w:r>
      <w:r w:rsidRPr="006455A9">
        <w:rPr>
          <w:rFonts w:asciiTheme="minorBidi" w:hAnsiTheme="minorBidi" w:cstheme="minorBidi"/>
        </w:rPr>
        <w:t xml:space="preserve">, whereas </w:t>
      </w:r>
      <w:r w:rsidRPr="006455A9">
        <w:rPr>
          <w:rStyle w:val="s2"/>
          <w:rFonts w:asciiTheme="minorBidi" w:eastAsiaTheme="majorEastAsia" w:hAnsiTheme="minorBidi" w:cstheme="minorBidi"/>
        </w:rPr>
        <w:t>Meta and Netflix align more procedurally</w:t>
      </w:r>
      <w:r w:rsidRPr="006455A9">
        <w:rPr>
          <w:rFonts w:asciiTheme="minorBidi" w:hAnsiTheme="minorBidi" w:cstheme="minorBidi"/>
        </w:rPr>
        <w:t>.</w:t>
      </w:r>
    </w:p>
    <w:p w14:paraId="7EA1325C" w14:textId="39D5320C" w:rsidR="00D55B4D" w:rsidRDefault="00D55B4D" w:rsidP="00D55B4D">
      <w:pPr>
        <w:pStyle w:val="p2"/>
        <w:rPr>
          <w:rFonts w:asciiTheme="minorBidi" w:hAnsiTheme="minorBidi" w:cstheme="minorBidi"/>
        </w:rPr>
      </w:pPr>
      <w:r>
        <w:rPr>
          <w:rFonts w:asciiTheme="minorBidi" w:hAnsiTheme="minorBidi" w:cstheme="minorBidi"/>
        </w:rPr>
        <w:t>European Regulations</w:t>
      </w:r>
    </w:p>
    <w:p w14:paraId="26FD5D66" w14:textId="6FF755BD" w:rsidR="00D55B4D" w:rsidRPr="00D55B4D" w:rsidRDefault="00D55B4D" w:rsidP="00D55B4D">
      <w:pPr>
        <w:pStyle w:val="p1"/>
        <w:rPr>
          <w:rFonts w:asciiTheme="minorBidi" w:hAnsiTheme="minorBidi" w:cstheme="minorBidi"/>
        </w:rPr>
      </w:pPr>
      <w:r w:rsidRPr="00D55B4D">
        <w:rPr>
          <w:rFonts w:asciiTheme="minorBidi" w:hAnsiTheme="minorBidi" w:cstheme="minorBidi"/>
        </w:rPr>
        <w:t xml:space="preserve">Under the </w:t>
      </w:r>
      <w:r w:rsidRPr="00D55B4D">
        <w:rPr>
          <w:rFonts w:asciiTheme="minorBidi" w:eastAsiaTheme="majorEastAsia" w:hAnsiTheme="minorBidi" w:cstheme="minorBidi"/>
        </w:rPr>
        <w:t xml:space="preserve">General Data Protection Regulation </w:t>
      </w:r>
      <w:r w:rsidRPr="00D55B4D">
        <w:rPr>
          <w:rStyle w:val="s2"/>
          <w:rFonts w:asciiTheme="minorBidi" w:eastAsiaTheme="majorEastAsia" w:hAnsiTheme="minorBidi" w:cstheme="minorBidi"/>
        </w:rPr>
        <w:t>(GDPR)</w:t>
      </w:r>
      <w:r w:rsidRPr="00D55B4D">
        <w:rPr>
          <w:rFonts w:asciiTheme="minorBidi" w:hAnsiTheme="minorBidi" w:cstheme="minorBidi"/>
        </w:rPr>
        <w:t xml:space="preserve">, the standard for compliance is significantly higher, particularly regarding </w:t>
      </w:r>
      <w:r w:rsidRPr="00D55B4D">
        <w:rPr>
          <w:rStyle w:val="s2"/>
          <w:rFonts w:asciiTheme="minorBidi" w:eastAsiaTheme="majorEastAsia" w:hAnsiTheme="minorBidi" w:cstheme="minorBidi"/>
        </w:rPr>
        <w:t>data subject rights, consent, and processing limitations</w:t>
      </w:r>
      <w:r w:rsidRPr="00D55B4D">
        <w:rPr>
          <w:rFonts w:asciiTheme="minorBidi" w:hAnsiTheme="minorBidi" w:cstheme="minorBidi"/>
        </w:rPr>
        <w:t>. Microsoft again aligns most closely with GDPR principles, offering comprehensive user rights (including access, erasure, and portability), clear documentation of processing purposes, and structured consent and opt-out mechanisms. Capital One also aligns well in terms of data minimization and purpose limitation, though its U.S.-centric regulatory design means some GDPR elements (such as explicit consent frameworks and detailed documentation requirements) are less prominently integrated. Netflix meets GDPR requirements in a narrower sense, providing access and deletion rights and some consent mechanisms, but its reliance on behavioral tracking for recommendations limits its ability to fully minimize data processing.</w:t>
      </w:r>
    </w:p>
    <w:p w14:paraId="60F4D8DC" w14:textId="77777777" w:rsidR="00D55B4D" w:rsidRPr="00D55B4D" w:rsidRDefault="00D55B4D" w:rsidP="00D55B4D">
      <w:pPr>
        <w:pStyle w:val="p2"/>
        <w:rPr>
          <w:rFonts w:asciiTheme="minorBidi" w:hAnsiTheme="minorBidi" w:cstheme="minorBidi"/>
        </w:rPr>
      </w:pPr>
    </w:p>
    <w:p w14:paraId="2C3062B7" w14:textId="77777777" w:rsidR="00D55B4D" w:rsidRPr="00D55B4D" w:rsidRDefault="00D55B4D" w:rsidP="00D55B4D">
      <w:pPr>
        <w:pStyle w:val="p1"/>
        <w:rPr>
          <w:rFonts w:asciiTheme="minorBidi" w:hAnsiTheme="minorBidi" w:cstheme="minorBidi"/>
        </w:rPr>
      </w:pPr>
      <w:r w:rsidRPr="00D55B4D">
        <w:rPr>
          <w:rFonts w:asciiTheme="minorBidi" w:hAnsiTheme="minorBidi" w:cstheme="minorBidi"/>
        </w:rPr>
        <w:t xml:space="preserve">Meta presents the greatest tension with GDPR requirements. While it provides GDPR-compliant tools (e.g., data access, deletion, and consent prompts), its business model—centered on large-scale behavioral profiling and cross-platform data sharing—creates ongoing challenges with </w:t>
      </w:r>
      <w:r w:rsidRPr="00D55B4D">
        <w:rPr>
          <w:rStyle w:val="s2"/>
          <w:rFonts w:asciiTheme="minorBidi" w:eastAsiaTheme="majorEastAsia" w:hAnsiTheme="minorBidi" w:cstheme="minorBidi"/>
        </w:rPr>
        <w:t>valid consent, data minimization, and purpose limitation</w:t>
      </w:r>
      <w:r w:rsidRPr="00D55B4D">
        <w:rPr>
          <w:rFonts w:asciiTheme="minorBidi" w:hAnsiTheme="minorBidi" w:cstheme="minorBidi"/>
        </w:rPr>
        <w:t xml:space="preserve">. GDPR’s strict requirements for </w:t>
      </w:r>
      <w:r w:rsidRPr="00D55B4D">
        <w:rPr>
          <w:rStyle w:val="s2"/>
          <w:rFonts w:asciiTheme="minorBidi" w:eastAsiaTheme="majorEastAsia" w:hAnsiTheme="minorBidi" w:cstheme="minorBidi"/>
        </w:rPr>
        <w:t>freely given, specific, and informed consent</w:t>
      </w:r>
      <w:r w:rsidRPr="00D55B4D">
        <w:rPr>
          <w:rFonts w:asciiTheme="minorBidi" w:hAnsiTheme="minorBidi" w:cstheme="minorBidi"/>
        </w:rPr>
        <w:t xml:space="preserve">, as well as its restrictions on data transfers and extensive documentation obligations, are fundamentally at odds with Meta’s ecosystem-driven data flows. Additionally, GDPR’s emphasis on limiting processing to what is necessary contrasts with Meta’s expansive data collection practices. Across all four companies, GDPR effectively acts as a </w:t>
      </w:r>
      <w:r w:rsidRPr="00D55B4D">
        <w:rPr>
          <w:rStyle w:val="s2"/>
          <w:rFonts w:asciiTheme="minorBidi" w:eastAsiaTheme="majorEastAsia" w:hAnsiTheme="minorBidi" w:cstheme="minorBidi"/>
        </w:rPr>
        <w:t>higher bar that rewards transparency, structure, and restraint</w:t>
      </w:r>
      <w:r w:rsidRPr="00D55B4D">
        <w:rPr>
          <w:rFonts w:asciiTheme="minorBidi" w:hAnsiTheme="minorBidi" w:cstheme="minorBidi"/>
        </w:rPr>
        <w:t>, placing Microsoft and Capital One closer to best practice, while requiring more significant adaptation from Meta and, to a lesser extent, Netflix.</w:t>
      </w:r>
    </w:p>
    <w:p w14:paraId="1BB381D0" w14:textId="77777777" w:rsidR="006455A9" w:rsidRPr="006455A9" w:rsidRDefault="006455A9" w:rsidP="006455A9">
      <w:pPr>
        <w:pStyle w:val="p1"/>
        <w:rPr>
          <w:rFonts w:asciiTheme="minorBidi" w:hAnsiTheme="minorBidi" w:cstheme="minorBidi"/>
        </w:rPr>
      </w:pPr>
    </w:p>
    <w:sectPr w:rsidR="006455A9" w:rsidRPr="00645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2B4"/>
    <w:rsid w:val="000D7368"/>
    <w:rsid w:val="006455A9"/>
    <w:rsid w:val="006954B4"/>
    <w:rsid w:val="00A14CDF"/>
    <w:rsid w:val="00B032B4"/>
    <w:rsid w:val="00C93643"/>
    <w:rsid w:val="00D55B4D"/>
    <w:rsid w:val="00F361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0E7FA62"/>
  <w15:chartTrackingRefBased/>
  <w15:docId w15:val="{90198A54-97C7-824D-BD8A-96C0885E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2B4"/>
    <w:rPr>
      <w:rFonts w:eastAsiaTheme="majorEastAsia" w:cstheme="majorBidi"/>
      <w:color w:val="272727" w:themeColor="text1" w:themeTint="D8"/>
    </w:rPr>
  </w:style>
  <w:style w:type="paragraph" w:styleId="Title">
    <w:name w:val="Title"/>
    <w:basedOn w:val="Normal"/>
    <w:next w:val="Normal"/>
    <w:link w:val="TitleChar"/>
    <w:uiPriority w:val="10"/>
    <w:qFormat/>
    <w:rsid w:val="00B0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2B4"/>
    <w:pPr>
      <w:spacing w:before="160"/>
      <w:jc w:val="center"/>
    </w:pPr>
    <w:rPr>
      <w:i/>
      <w:iCs/>
      <w:color w:val="404040" w:themeColor="text1" w:themeTint="BF"/>
    </w:rPr>
  </w:style>
  <w:style w:type="character" w:customStyle="1" w:styleId="QuoteChar">
    <w:name w:val="Quote Char"/>
    <w:basedOn w:val="DefaultParagraphFont"/>
    <w:link w:val="Quote"/>
    <w:uiPriority w:val="29"/>
    <w:rsid w:val="00B032B4"/>
    <w:rPr>
      <w:i/>
      <w:iCs/>
      <w:color w:val="404040" w:themeColor="text1" w:themeTint="BF"/>
    </w:rPr>
  </w:style>
  <w:style w:type="paragraph" w:styleId="ListParagraph">
    <w:name w:val="List Paragraph"/>
    <w:basedOn w:val="Normal"/>
    <w:uiPriority w:val="34"/>
    <w:qFormat/>
    <w:rsid w:val="00B032B4"/>
    <w:pPr>
      <w:ind w:left="720"/>
      <w:contextualSpacing/>
    </w:pPr>
  </w:style>
  <w:style w:type="character" w:styleId="IntenseEmphasis">
    <w:name w:val="Intense Emphasis"/>
    <w:basedOn w:val="DefaultParagraphFont"/>
    <w:uiPriority w:val="21"/>
    <w:qFormat/>
    <w:rsid w:val="00B032B4"/>
    <w:rPr>
      <w:i/>
      <w:iCs/>
      <w:color w:val="0F4761" w:themeColor="accent1" w:themeShade="BF"/>
    </w:rPr>
  </w:style>
  <w:style w:type="paragraph" w:styleId="IntenseQuote">
    <w:name w:val="Intense Quote"/>
    <w:basedOn w:val="Normal"/>
    <w:next w:val="Normal"/>
    <w:link w:val="IntenseQuoteChar"/>
    <w:uiPriority w:val="30"/>
    <w:qFormat/>
    <w:rsid w:val="00B0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2B4"/>
    <w:rPr>
      <w:i/>
      <w:iCs/>
      <w:color w:val="0F4761" w:themeColor="accent1" w:themeShade="BF"/>
    </w:rPr>
  </w:style>
  <w:style w:type="character" w:styleId="IntenseReference">
    <w:name w:val="Intense Reference"/>
    <w:basedOn w:val="DefaultParagraphFont"/>
    <w:uiPriority w:val="32"/>
    <w:qFormat/>
    <w:rsid w:val="00B032B4"/>
    <w:rPr>
      <w:b/>
      <w:bCs/>
      <w:smallCaps/>
      <w:color w:val="0F4761" w:themeColor="accent1" w:themeShade="BF"/>
      <w:spacing w:val="5"/>
    </w:rPr>
  </w:style>
  <w:style w:type="paragraph" w:customStyle="1" w:styleId="p1">
    <w:name w:val="p1"/>
    <w:basedOn w:val="Normal"/>
    <w:rsid w:val="006455A9"/>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s1">
    <w:name w:val="s1"/>
    <w:basedOn w:val="DefaultParagraphFont"/>
    <w:rsid w:val="006455A9"/>
  </w:style>
  <w:style w:type="character" w:customStyle="1" w:styleId="s2">
    <w:name w:val="s2"/>
    <w:basedOn w:val="DefaultParagraphFont"/>
    <w:rsid w:val="006455A9"/>
  </w:style>
  <w:style w:type="paragraph" w:customStyle="1" w:styleId="p2">
    <w:name w:val="p2"/>
    <w:basedOn w:val="Normal"/>
    <w:rsid w:val="006455A9"/>
    <w:pPr>
      <w:spacing w:before="100" w:beforeAutospacing="1" w:after="100" w:afterAutospacing="1" w:line="240" w:lineRule="auto"/>
    </w:pPr>
    <w:rPr>
      <w:rFonts w:ascii="Times New Roman" w:eastAsia="Times New Roman" w:hAnsi="Times New Roman" w:cs="Times New Roman"/>
      <w:kern w:val="0"/>
      <w:lang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2ebf40-80b2-40ba-86fe-6dd409acb499}" enabled="0" method="" siteId="{762ebf40-80b2-40ba-86fe-6dd409acb499}"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1374</Words>
  <Characters>2749</Characters>
  <Application>Microsoft Office Word</Application>
  <DocSecurity>0</DocSecurity>
  <Lines>1374</Lines>
  <Paragraphs>1374</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Kleinman</dc:creator>
  <cp:keywords/>
  <dc:description/>
  <cp:lastModifiedBy>Aidan Kleinman</cp:lastModifiedBy>
  <cp:revision>3</cp:revision>
  <dcterms:created xsi:type="dcterms:W3CDTF">2026-04-14T05:53:00Z</dcterms:created>
  <dcterms:modified xsi:type="dcterms:W3CDTF">2026-04-14T05:56:00Z</dcterms:modified>
</cp:coreProperties>
</file>