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AB7A" w14:textId="1DCA5C95" w:rsidR="00C93643" w:rsidRPr="00A61BCD" w:rsidRDefault="009C1856">
      <w:r w:rsidRPr="00A61BCD">
        <w:t>Aidan Kleinman</w:t>
      </w:r>
    </w:p>
    <w:p w14:paraId="1C2AFFA4" w14:textId="10D0824A" w:rsidR="009C1856" w:rsidRPr="00A61BCD" w:rsidRDefault="009C1856">
      <w:r w:rsidRPr="00A61BCD">
        <w:t>Privacy Policy Summary Matrix</w:t>
      </w:r>
    </w:p>
    <w:tbl>
      <w:tblPr>
        <w:tblW w:w="11160" w:type="dxa"/>
        <w:tblCellSpacing w:w="15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430"/>
        <w:gridCol w:w="2132"/>
        <w:gridCol w:w="30"/>
        <w:gridCol w:w="3058"/>
        <w:gridCol w:w="1980"/>
      </w:tblGrid>
      <w:tr w:rsidR="00912524" w:rsidRPr="009C1856" w14:paraId="2A2D242D" w14:textId="77777777" w:rsidTr="00912524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73EE6686" w14:textId="77777777" w:rsidR="009C1856" w:rsidRPr="009C1856" w:rsidRDefault="009C1856" w:rsidP="009C1856">
            <w:pPr>
              <w:spacing w:after="0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</w:p>
        </w:tc>
        <w:tc>
          <w:tcPr>
            <w:tcW w:w="2400" w:type="dxa"/>
            <w:vAlign w:val="center"/>
            <w:hideMark/>
          </w:tcPr>
          <w:p w14:paraId="1BE021C3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Meta (Instagram)</w:t>
            </w:r>
          </w:p>
        </w:tc>
        <w:tc>
          <w:tcPr>
            <w:tcW w:w="2132" w:type="dxa"/>
            <w:gridSpan w:val="2"/>
            <w:vAlign w:val="center"/>
            <w:hideMark/>
          </w:tcPr>
          <w:p w14:paraId="007BEBB8" w14:textId="422D59D4" w:rsidR="009C1856" w:rsidRPr="009C1856" w:rsidRDefault="009C1856" w:rsidP="009C1856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Capital One</w:t>
            </w:r>
            <w:r w:rsidRPr="00A61BCD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br/>
              <w:t>(Discover)</w:t>
            </w:r>
          </w:p>
        </w:tc>
        <w:tc>
          <w:tcPr>
            <w:tcW w:w="3028" w:type="dxa"/>
            <w:vAlign w:val="center"/>
            <w:hideMark/>
          </w:tcPr>
          <w:p w14:paraId="2D0E95F6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</w:t>
            </w:r>
          </w:p>
        </w:tc>
        <w:tc>
          <w:tcPr>
            <w:tcW w:w="1935" w:type="dxa"/>
            <w:vAlign w:val="center"/>
            <w:hideMark/>
          </w:tcPr>
          <w:p w14:paraId="239BC6FA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Netflix</w:t>
            </w:r>
          </w:p>
        </w:tc>
      </w:tr>
      <w:tr w:rsidR="00912524" w:rsidRPr="009C1856" w14:paraId="51CE9015" w14:textId="77777777" w:rsidTr="0091252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0D188C9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Data Collection Practices</w:t>
            </w:r>
          </w:p>
        </w:tc>
        <w:tc>
          <w:tcPr>
            <w:tcW w:w="2400" w:type="dxa"/>
            <w:vAlign w:val="center"/>
            <w:hideMark/>
          </w:tcPr>
          <w:p w14:paraId="21794C38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Extremely broad and behavior-driven; collects user content, metadata, device data, and off-platform activity—even without accounts; heavy third-party integration</w:t>
            </w:r>
          </w:p>
        </w:tc>
        <w:tc>
          <w:tcPr>
            <w:tcW w:w="2102" w:type="dxa"/>
            <w:vAlign w:val="center"/>
            <w:hideMark/>
          </w:tcPr>
          <w:p w14:paraId="456DBD39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Highly structured and regulated; collects sensitive financial, identity, biometric, and transaction data; combines online + offline sources</w:t>
            </w:r>
          </w:p>
        </w:tc>
        <w:tc>
          <w:tcPr>
            <w:tcW w:w="3058" w:type="dxa"/>
            <w:gridSpan w:val="2"/>
            <w:vAlign w:val="center"/>
            <w:hideMark/>
          </w:tcPr>
          <w:p w14:paraId="1E0110BC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Broad but clearly categorized; collects device, usage, and account data tied to specific purposes (security, personalization, services)</w:t>
            </w:r>
          </w:p>
        </w:tc>
        <w:tc>
          <w:tcPr>
            <w:tcW w:w="1935" w:type="dxa"/>
            <w:vAlign w:val="center"/>
            <w:hideMark/>
          </w:tcPr>
          <w:p w14:paraId="29EBB013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Narrower scope; collects account info, device data, and detailed viewing behavior for personalization</w:t>
            </w:r>
          </w:p>
        </w:tc>
      </w:tr>
      <w:tr w:rsidR="00912524" w:rsidRPr="009C1856" w14:paraId="3908D03B" w14:textId="77777777" w:rsidTr="0091252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C7A64E5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Data Sharing Policies</w:t>
            </w:r>
          </w:p>
        </w:tc>
        <w:tc>
          <w:tcPr>
            <w:tcW w:w="2400" w:type="dxa"/>
            <w:vAlign w:val="center"/>
            <w:hideMark/>
          </w:tcPr>
          <w:p w14:paraId="7E7D9B46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Extensive ecosystem sharing with advertisers, partners, and third parties; bidirectional data exchange across platforms</w:t>
            </w:r>
          </w:p>
        </w:tc>
        <w:tc>
          <w:tcPr>
            <w:tcW w:w="2102" w:type="dxa"/>
            <w:vAlign w:val="center"/>
            <w:hideMark/>
          </w:tcPr>
          <w:p w14:paraId="33BAD6D3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Controlled, purpose-specific sharing with affiliates, service providers, credit bureaus, and regulators; legally constrained</w:t>
            </w:r>
          </w:p>
        </w:tc>
        <w:tc>
          <w:tcPr>
            <w:tcW w:w="3058" w:type="dxa"/>
            <w:gridSpan w:val="2"/>
            <w:vAlign w:val="center"/>
            <w:hideMark/>
          </w:tcPr>
          <w:p w14:paraId="21D02303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Moderate sharing with vendors and partners; transparent purpose-based disclosures; less reliant on ad ecosystem</w:t>
            </w:r>
          </w:p>
        </w:tc>
        <w:tc>
          <w:tcPr>
            <w:tcW w:w="1935" w:type="dxa"/>
            <w:vAlign w:val="center"/>
            <w:hideMark/>
          </w:tcPr>
          <w:p w14:paraId="48DBF312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Limited sharing with service providers and partners; primarily for service delivery and analytics; minimal ad ecosystem</w:t>
            </w:r>
          </w:p>
        </w:tc>
      </w:tr>
      <w:tr w:rsidR="00912524" w:rsidRPr="009C1856" w14:paraId="556BF63B" w14:textId="77777777" w:rsidTr="0091252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2294758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User Rights</w:t>
            </w:r>
          </w:p>
        </w:tc>
        <w:tc>
          <w:tcPr>
            <w:tcW w:w="2400" w:type="dxa"/>
            <w:vAlign w:val="center"/>
            <w:hideMark/>
          </w:tcPr>
          <w:p w14:paraId="24A2C1A1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Strong in theory via settings (access, delete, manage), but complex and fragmented; varies by region</w:t>
            </w:r>
          </w:p>
        </w:tc>
        <w:tc>
          <w:tcPr>
            <w:tcW w:w="2102" w:type="dxa"/>
            <w:vAlign w:val="center"/>
            <w:hideMark/>
          </w:tcPr>
          <w:p w14:paraId="12EAFBFB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Legally grounded rights (access, correction, limit sharing); standardized and compliance-driven</w:t>
            </w:r>
          </w:p>
        </w:tc>
        <w:tc>
          <w:tcPr>
            <w:tcW w:w="3058" w:type="dxa"/>
            <w:gridSpan w:val="2"/>
            <w:vAlign w:val="center"/>
            <w:hideMark/>
          </w:tcPr>
          <w:p w14:paraId="5BD19264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Most comprehensive rights (access, delete, portability, restrict processing); clearly communicated</w:t>
            </w:r>
          </w:p>
        </w:tc>
        <w:tc>
          <w:tcPr>
            <w:tcW w:w="1935" w:type="dxa"/>
            <w:vAlign w:val="center"/>
            <w:hideMark/>
          </w:tcPr>
          <w:p w14:paraId="11E9E7BD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Basic rights (access, download, adjust settings); less granular than others</w:t>
            </w:r>
          </w:p>
        </w:tc>
      </w:tr>
      <w:tr w:rsidR="00912524" w:rsidRPr="009C1856" w14:paraId="13FC0F2B" w14:textId="77777777" w:rsidTr="0091252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9D21498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Opt-Out Provisions</w:t>
            </w:r>
          </w:p>
        </w:tc>
        <w:tc>
          <w:tcPr>
            <w:tcW w:w="2400" w:type="dxa"/>
            <w:vAlign w:val="center"/>
            <w:hideMark/>
          </w:tcPr>
          <w:p w14:paraId="7B6CD8EB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proofErr w:type="gramStart"/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Partial</w:t>
            </w:r>
            <w:proofErr w:type="gramEnd"/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 xml:space="preserve"> opt-out; users can limit ads and tracking but cannot fully opt out of core data collection; off-platform tracking persists</w:t>
            </w:r>
          </w:p>
        </w:tc>
        <w:tc>
          <w:tcPr>
            <w:tcW w:w="2102" w:type="dxa"/>
            <w:vAlign w:val="center"/>
            <w:hideMark/>
          </w:tcPr>
          <w:p w14:paraId="19CA9713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Strong opt-out options for marketing and some data sharing; enforceable due to regulation</w:t>
            </w:r>
          </w:p>
        </w:tc>
        <w:tc>
          <w:tcPr>
            <w:tcW w:w="3058" w:type="dxa"/>
            <w:gridSpan w:val="2"/>
            <w:vAlign w:val="center"/>
            <w:hideMark/>
          </w:tcPr>
          <w:p w14:paraId="0C12765E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Robust opt-out controls (ads, tracking, GPC support); centralized and user-friendly</w:t>
            </w:r>
          </w:p>
        </w:tc>
        <w:tc>
          <w:tcPr>
            <w:tcW w:w="1935" w:type="dxa"/>
            <w:vAlign w:val="center"/>
            <w:hideMark/>
          </w:tcPr>
          <w:p w14:paraId="3B53AC0C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Limited opt-out; cannot opt out of core behavioral tracking (viewing data); minimal flexibility</w:t>
            </w:r>
          </w:p>
        </w:tc>
      </w:tr>
      <w:tr w:rsidR="00912524" w:rsidRPr="009C1856" w14:paraId="45243EEC" w14:textId="77777777" w:rsidTr="0091252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7DEB10C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Update Procedures</w:t>
            </w:r>
          </w:p>
        </w:tc>
        <w:tc>
          <w:tcPr>
            <w:tcW w:w="2400" w:type="dxa"/>
            <w:vAlign w:val="center"/>
            <w:hideMark/>
          </w:tcPr>
          <w:p w14:paraId="453AFDB0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Frequent and dynamic updates; users notified but changes can be difficult to track over time</w:t>
            </w:r>
          </w:p>
        </w:tc>
        <w:tc>
          <w:tcPr>
            <w:tcW w:w="2102" w:type="dxa"/>
            <w:vAlign w:val="center"/>
            <w:hideMark/>
          </w:tcPr>
          <w:p w14:paraId="03232B19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Formal, compliance-based updates with clear effective dates and structured communication</w:t>
            </w:r>
          </w:p>
        </w:tc>
        <w:tc>
          <w:tcPr>
            <w:tcW w:w="3058" w:type="dxa"/>
            <w:gridSpan w:val="2"/>
            <w:vAlign w:val="center"/>
            <w:hideMark/>
          </w:tcPr>
          <w:p w14:paraId="77390F9B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Highly transparent updates with documentation and versioning</w:t>
            </w:r>
          </w:p>
        </w:tc>
        <w:tc>
          <w:tcPr>
            <w:tcW w:w="1935" w:type="dxa"/>
            <w:vAlign w:val="center"/>
            <w:hideMark/>
          </w:tcPr>
          <w:p w14:paraId="6318AFFC" w14:textId="77777777" w:rsidR="009C1856" w:rsidRPr="009C1856" w:rsidRDefault="009C1856" w:rsidP="009C1856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9C1856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Less formal; updates occur as needed with limited detail or tracking</w:t>
            </w:r>
          </w:p>
        </w:tc>
      </w:tr>
    </w:tbl>
    <w:p w14:paraId="1FBB08F2" w14:textId="77777777" w:rsidR="009C1856" w:rsidRPr="00A61BCD" w:rsidRDefault="009C1856"/>
    <w:sectPr w:rsidR="009C1856" w:rsidRPr="00A61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53"/>
    <w:rsid w:val="000D7368"/>
    <w:rsid w:val="00102753"/>
    <w:rsid w:val="006954B4"/>
    <w:rsid w:val="00912524"/>
    <w:rsid w:val="009C1856"/>
    <w:rsid w:val="00A14CDF"/>
    <w:rsid w:val="00A61BCD"/>
    <w:rsid w:val="00C93643"/>
    <w:rsid w:val="00F3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34BD5"/>
  <w15:chartTrackingRefBased/>
  <w15:docId w15:val="{DF884473-E299-3244-A385-8338DA07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C1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2ebf40-80b2-40ba-86fe-6dd409acb499}" enabled="0" method="" siteId="{762ebf40-80b2-40ba-86fe-6dd409acb4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770</Words>
  <Characters>1540</Characters>
  <Application>Microsoft Office Word</Application>
  <DocSecurity>0</DocSecurity>
  <Lines>770</Lines>
  <Paragraphs>769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Kleinman</dc:creator>
  <cp:keywords/>
  <dc:description/>
  <cp:lastModifiedBy>Aidan Kleinman</cp:lastModifiedBy>
  <cp:revision>5</cp:revision>
  <dcterms:created xsi:type="dcterms:W3CDTF">2026-04-14T05:50:00Z</dcterms:created>
  <dcterms:modified xsi:type="dcterms:W3CDTF">2026-04-14T06:02:00Z</dcterms:modified>
</cp:coreProperties>
</file>