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6B7A6" w14:textId="77777777" w:rsidR="004C08C9" w:rsidRPr="004C08C9" w:rsidRDefault="004C08C9" w:rsidP="004C08C9">
      <w:pPr>
        <w:rPr>
          <w:b/>
          <w:bCs/>
        </w:rPr>
      </w:pPr>
      <w:bookmarkStart w:id="0" w:name="_xvs8xzuovnox"/>
      <w:bookmarkEnd w:id="0"/>
      <w:r w:rsidRPr="004C08C9">
        <w:rPr>
          <w:b/>
          <w:bCs/>
        </w:rPr>
        <w:t>1.National Pedestrian Safety Trends and Crash Severity</w:t>
      </w:r>
    </w:p>
    <w:p w14:paraId="3DD0566A" w14:textId="77777777" w:rsidR="004C08C9" w:rsidRPr="004C08C9" w:rsidRDefault="004C08C9" w:rsidP="004C08C9">
      <w:r w:rsidRPr="004C08C9">
        <w:t>Transportation safety has become an increasingly important public policy issue in the United States. On average, approximately twenty pedestrians are killed each day in motor vehicle crashes, equivalent to one death every seventy-two minutes (Insurance Institute for Highway Safety [IIHS], 2023). Although overall traffic fatalities have generally declined over the past decade, pedestrian fatalities have continued to rise. Nationally, pedestrian deaths increased from 4,779 in 2013 to 7,593 in 2022 (National Highway Traffic Safety Administration [NHTSA], 2024), representing one of the few categories of traffic fatalities moving in the opposite direction of overall traffic safety trends. In contrast, many other high-income countries experienced a median decrease of approximately 19% in pedestrian fatalities during the same period (Naumann et al., 2025), suggesting that this trend is not inevitable but may instead reflect differences in roadway design, transportation policy, and safety interventions across countries.</w:t>
      </w:r>
    </w:p>
    <w:p w14:paraId="7C8FE4C4" w14:textId="77777777" w:rsidR="004C08C9" w:rsidRPr="004C08C9" w:rsidRDefault="004C08C9" w:rsidP="004C08C9">
      <w:r w:rsidRPr="004C08C9">
        <w:t>Before turning to any single intervention, it is worth establishing what the broader literature identifies as the primary drivers of pedestrian crash severity. Vehicle speed is consistently one of the strongest predictors of injury severity, with the probability of severe injury or death increasing dramatically as impact speed rises (</w:t>
      </w:r>
      <w:proofErr w:type="spellStart"/>
      <w:r w:rsidRPr="004C08C9">
        <w:t>Loukaitou</w:t>
      </w:r>
      <w:proofErr w:type="spellEnd"/>
      <w:r w:rsidRPr="004C08C9">
        <w:t>-Sideris et al., 2007). Reduced visibility also plays an important role, as approximately 77% of pedestrian fatalities occur during nighttime conditions (Moran, 2023). Additional contributing factors include alcohol impairment among both pedestrians and drivers, as well as hit-and-run incidents, which account for nearly one-quarter of fatal pedestrian crashes (NHTSA, 2024). Collectively, these findings suggest that improving driver visibility and reducing conflicts at intersections could substantially improve pedestrian safety, and they motivate visibility-focused interventions such as daylighting.</w:t>
      </w:r>
    </w:p>
    <w:p w14:paraId="37481F40" w14:textId="77777777" w:rsidR="004C08C9" w:rsidRPr="004C08C9" w:rsidRDefault="004C08C9" w:rsidP="004C08C9">
      <w:pPr>
        <w:rPr>
          <w:b/>
          <w:bCs/>
        </w:rPr>
      </w:pPr>
      <w:bookmarkStart w:id="1" w:name="_qoglxfhlrs1w"/>
      <w:bookmarkEnd w:id="1"/>
      <w:r w:rsidRPr="004C08C9">
        <w:rPr>
          <w:b/>
          <w:bCs/>
        </w:rPr>
        <w:t>2.Daylighting as a Roadway Safety Intervention</w:t>
      </w:r>
    </w:p>
    <w:p w14:paraId="64E3B164" w14:textId="77777777" w:rsidR="004C08C9" w:rsidRPr="004C08C9" w:rsidRDefault="004C08C9" w:rsidP="004C08C9">
      <w:r w:rsidRPr="004C08C9">
        <w:t>One strategy that has received growing attention nationally is daylighting: the practice of prohibiting vehicle parking near intersections to improve visibility between drivers, pedestrians, and bicyclists. By removing parked vehicles that obstruct sightlines, daylighting is intended to increase reaction time for both drivers and pedestrians, thereby reducing the likelihood of collisions (National Cooperative Highway Research Program [NCHRP], 2019). Daylighting aligns closely with the principles of Vision Zero, an international transportation safety initiative aimed at eliminating traffic fatalities and serious injuries through safer roadway design. More than seventy communities across the United States, including eighteen California cities, have adopted Vision Zero policies (Vision Zero Network, 2024).</w:t>
      </w:r>
    </w:p>
    <w:p w14:paraId="0E192CB0" w14:textId="77777777" w:rsidR="004C08C9" w:rsidRPr="004C08C9" w:rsidRDefault="004C08C9" w:rsidP="004C08C9">
      <w:r w:rsidRPr="004C08C9">
        <w:lastRenderedPageBreak/>
        <w:t xml:space="preserve">A growing body of literature suggests that roadway visibility is a critical determinant of pedestrian safety, though existing evidence also indicates that safety improvements cannot be attributed to visibility alone; roadway design, traffic speed, pedestrian infrastructure, and </w:t>
      </w:r>
      <w:proofErr w:type="gramStart"/>
      <w:r w:rsidRPr="004C08C9">
        <w:t>travel behavior</w:t>
      </w:r>
      <w:proofErr w:type="gramEnd"/>
      <w:r w:rsidRPr="004C08C9">
        <w:t xml:space="preserve"> all interact to influence crash risk (</w:t>
      </w:r>
      <w:proofErr w:type="spellStart"/>
      <w:r w:rsidRPr="004C08C9">
        <w:t>Loukaitou</w:t>
      </w:r>
      <w:proofErr w:type="spellEnd"/>
      <w:r w:rsidRPr="004C08C9">
        <w:t xml:space="preserve">-Sideris et al., 2007). One of the most comprehensive evaluations of daylighting to date was conducted by the New York City Department of Transportation (NYCDOT, 2025). Using before-and-after analyses of several daylighting treatments, including curb extensions, bike corrals, enhanced crosswalks, and sign-only parking restrictions, the study found that physical daylighting treatments were associated with meaningful reductions in pedestrian injuries. Curb extensions </w:t>
      </w:r>
      <w:proofErr w:type="gramStart"/>
      <w:r w:rsidRPr="004C08C9">
        <w:t>in particular produced</w:t>
      </w:r>
      <w:proofErr w:type="gramEnd"/>
      <w:r w:rsidRPr="004C08C9">
        <w:t xml:space="preserve"> the largest reductions in injuries at treated intersections. However, the study also found that sign-only daylighting produced little measurable improvement in safety. These findings indicate that simply removing parking may not be sufficient; rather, the effectiveness of daylighting appears to depend on how it is implemented and whether it is accompanied by physical infrastructure that slows turning vehicles and improves visibility. Notably, this evaluation examined a single city's individual infrastructure projects rather than a statewide policy.</w:t>
      </w:r>
    </w:p>
    <w:p w14:paraId="76D409DE" w14:textId="77777777" w:rsidR="004C08C9" w:rsidRPr="004C08C9" w:rsidRDefault="004C08C9" w:rsidP="004C08C9">
      <w:pPr>
        <w:rPr>
          <w:b/>
          <w:bCs/>
        </w:rPr>
      </w:pPr>
      <w:bookmarkStart w:id="2" w:name="_l4mwsz9l6ejy"/>
      <w:bookmarkEnd w:id="2"/>
      <w:r w:rsidRPr="004C08C9">
        <w:rPr>
          <w:b/>
          <w:bCs/>
        </w:rPr>
        <w:t>3.The California Context</w:t>
      </w:r>
    </w:p>
    <w:p w14:paraId="3F8B70C0" w14:textId="77777777" w:rsidR="004C08C9" w:rsidRPr="004C08C9" w:rsidRDefault="004C08C9" w:rsidP="004C08C9">
      <w:r w:rsidRPr="004C08C9">
        <w:t>California mirrors the national pattern described above. According to the California Office of Traffic Safety (2024), 1,106 pedestrians were killed in traffic crashes during 2023, a 56% increase compared to 2014. Most pedestrian fatalities in the state occur in urban environments (California Office of Traffic Safety, 2024), where interactions between vehicles and pedestrians are more frequent.</w:t>
      </w:r>
    </w:p>
    <w:p w14:paraId="63714D31" w14:textId="77777777" w:rsidR="004C08C9" w:rsidRPr="004C08C9" w:rsidRDefault="004C08C9" w:rsidP="004C08C9">
      <w:r w:rsidRPr="004C08C9">
        <w:t xml:space="preserve">Research conducted specifically in California has consistently identified visibility-related infrastructure as an important component of pedestrian safety. </w:t>
      </w:r>
      <w:proofErr w:type="spellStart"/>
      <w:r w:rsidRPr="004C08C9">
        <w:t>Loukaitou</w:t>
      </w:r>
      <w:proofErr w:type="spellEnd"/>
      <w:r w:rsidRPr="004C08C9">
        <w:t>-Sideris et al. (2007), examining pedestrian-automobile collision patterns in Los Angeles, found that approximately one-fifth of California traffic fatalities involved pedestrians, emphasizing the need for interventions targeting pedestrian crashes. Similarly, Moran (2023), mapping pedestrian, transit, and cycling infrastructure in San Francisco, reported that streets containing sidewalks, bicycle facilities, and other complete-street features experienced lower pedestrian and bicyclist crash rates, particularly where lower speed limits were enforced. Together, these California-specific studies suggest that improving intersection visibility is likely to be most effective when combined with complementary roadway design features, rather than treated as a stand-alone fix.</w:t>
      </w:r>
    </w:p>
    <w:p w14:paraId="0CAB29AB" w14:textId="77777777" w:rsidR="004C08C9" w:rsidRPr="004C08C9" w:rsidRDefault="004C08C9" w:rsidP="004C08C9">
      <w:r w:rsidRPr="004C08C9">
        <w:t xml:space="preserve">Recognizing the state's rising pedestrian death toll, California enacted Assembly Bill 413 (AB 413) on October 10, 2023. The legislation amended Section 22500 of the California Vehicle Code by prohibiting parking, standing, or stopping within twenty feet of marked or </w:t>
      </w:r>
      <w:r w:rsidRPr="004C08C9">
        <w:lastRenderedPageBreak/>
        <w:t>unmarked crosswalks, or within fifteen feet where curb extensions are present (California Legislature, 2023). The law took effect on January 1, 2024. Jurisdictions were initially permitted to issue warnings during a one-year grace period before citation-based enforcement officially began on January 1, 2025 (California Legislature, 2023). This two-stage rollout, a passage date followed roughly a year later by a change in enforcement regime, is an important structural feature of the law for any evaluation design.</w:t>
      </w:r>
    </w:p>
    <w:p w14:paraId="1D6A48EF" w14:textId="77777777" w:rsidR="004C08C9" w:rsidRPr="004C08C9" w:rsidRDefault="004C08C9" w:rsidP="004C08C9">
      <w:pPr>
        <w:rPr>
          <w:b/>
          <w:bCs/>
        </w:rPr>
      </w:pPr>
      <w:bookmarkStart w:id="3" w:name="_tbefy0820ufg"/>
      <w:bookmarkEnd w:id="3"/>
      <w:r w:rsidRPr="004C08C9">
        <w:rPr>
          <w:b/>
          <w:bCs/>
        </w:rPr>
        <w:t>4.Local Implementation Across California Cities</w:t>
      </w:r>
    </w:p>
    <w:p w14:paraId="117CBB10" w14:textId="77777777" w:rsidR="004C08C9" w:rsidRPr="004C08C9" w:rsidRDefault="004C08C9" w:rsidP="004C08C9">
      <w:r w:rsidRPr="004C08C9">
        <w:t>Although AB 413 established a single statewide daylighting requirement, many California cities had already experimented with similar intersection-clearing policies before statewide implementation (Assemblymember Lee, 2023). Cities such as Los Angeles, Alameda, and San Francisco had adopted localized daylighting measures prior to the law's passage, demonstrating growing recognition of the role of improved intersection visibility in pedestrian and cyclist safety well before the statewide mandate (Assemblymember Lee, 2023).</w:t>
      </w:r>
    </w:p>
    <w:p w14:paraId="79211E2A" w14:textId="77777777" w:rsidR="004C08C9" w:rsidRPr="004C08C9" w:rsidRDefault="004C08C9" w:rsidP="004C08C9">
      <w:r w:rsidRPr="004C08C9">
        <w:t xml:space="preserve">Following AB 413's enactment, implementation strategies have continued to vary considerably across jurisdictions. San Francisco, for example, has expanded its daylighting program by painting curbs red to clearly mark no-parking zones near intersections, and San Mateo has adopted similar red curb markings to improve compliance and visibility (San Francisco Municipal Transportation Agency, 2026; City of San Mateo, 2024). In Livermore, the city combined physical roadway modifications, including red curb painting and striped curb extensions, with extensive public outreach through community events to educate residents about the new parking restrictions before full enforcement began (City of Livermore, 2025). These local differences suggest that implementation strategy may shape policy effectiveness and underscore why evaluating daylighting requires looking beyond the passage of legislation alone to how, where, and when it is </w:t>
      </w:r>
      <w:proofErr w:type="gramStart"/>
      <w:r w:rsidRPr="004C08C9">
        <w:t>actually enforced</w:t>
      </w:r>
      <w:proofErr w:type="gramEnd"/>
      <w:r w:rsidRPr="004C08C9">
        <w:t xml:space="preserve"> on the ground.</w:t>
      </w:r>
    </w:p>
    <w:p w14:paraId="068F2ACC" w14:textId="77777777" w:rsidR="004C08C9" w:rsidRPr="004C08C9" w:rsidRDefault="004C08C9" w:rsidP="004C08C9">
      <w:pPr>
        <w:rPr>
          <w:b/>
          <w:bCs/>
        </w:rPr>
      </w:pPr>
      <w:bookmarkStart w:id="4" w:name="_ph8rh1s2mnch"/>
      <w:bookmarkEnd w:id="4"/>
      <w:r w:rsidRPr="004C08C9">
        <w:rPr>
          <w:b/>
          <w:bCs/>
        </w:rPr>
        <w:t>5.Research Gap and Study Contribution</w:t>
      </w:r>
    </w:p>
    <w:p w14:paraId="3D697933" w14:textId="77777777" w:rsidR="004C08C9" w:rsidRPr="004C08C9" w:rsidRDefault="004C08C9" w:rsidP="004C08C9">
      <w:r w:rsidRPr="004C08C9">
        <w:t>Taken together, the existing literature supports the potential safety benefits of daylighting while also revealing an important limitation: most prior studies, including the NYCDOT (2025) evaluation, have examined city-level interventions or individual infrastructure projects rather than statewide legislation. Consequently, relatively little is known about whether statewide daylighting policies produce measurable improvements in pedestrian and bicyclist safety across diverse jurisdictions.</w:t>
      </w:r>
    </w:p>
    <w:p w14:paraId="125B6FFF" w14:textId="77777777" w:rsidR="004C08C9" w:rsidRPr="004C08C9" w:rsidRDefault="004C08C9" w:rsidP="004C08C9">
      <w:r w:rsidRPr="004C08C9">
        <w:t xml:space="preserve">The implementation of California's AB 413 presents a unique opportunity to address this gap. Unlike previous daylighting studies that focused primarily on individual cities or </w:t>
      </w:r>
      <w:r w:rsidRPr="004C08C9">
        <w:lastRenderedPageBreak/>
        <w:t>isolated engineering treatments, AB 413 establishes a consistent statewide policy while allowing local jurisdictions to implement it through different enforcement and infrastructure strategies (California Legislature, 2023). Our study seeks to contribute to this emerging body of literature by evaluating the effects of AB 413 on pedestrian and bicyclist crashes across California using quasi-experimental causal inference methods. Specifically, we examine crash trends before and after policy implementation at both the statewide level and within major California cities with higher pedestrian activity. By combining policy evaluation with an analysis of local implementation differences, this research aims to provide evidence that can inform future transportation safety policy and contribute to a broader understanding of how daylighting laws influence pedestrian safety.</w:t>
      </w:r>
    </w:p>
    <w:p w14:paraId="58E454A4" w14:textId="77777777" w:rsidR="004C08C9" w:rsidRPr="004C08C9" w:rsidRDefault="004C08C9" w:rsidP="004C08C9">
      <w:pPr>
        <w:rPr>
          <w:b/>
          <w:bCs/>
        </w:rPr>
      </w:pPr>
      <w:bookmarkStart w:id="5" w:name="_la0ikalxyeiw"/>
      <w:bookmarkEnd w:id="5"/>
    </w:p>
    <w:p w14:paraId="4A8FEA99" w14:textId="77777777" w:rsidR="004C08C9" w:rsidRPr="004C08C9" w:rsidRDefault="004C08C9" w:rsidP="004C08C9">
      <w:bookmarkStart w:id="6" w:name="_hxht79gzcqvs"/>
      <w:bookmarkEnd w:id="6"/>
    </w:p>
    <w:p w14:paraId="0E27D351" w14:textId="77777777" w:rsidR="004C08C9" w:rsidRPr="004C08C9" w:rsidRDefault="004C08C9" w:rsidP="004C08C9">
      <w:bookmarkStart w:id="7" w:name="_4st6x71qdczf"/>
      <w:bookmarkEnd w:id="7"/>
    </w:p>
    <w:p w14:paraId="28E274D6" w14:textId="77777777" w:rsidR="004C08C9" w:rsidRPr="004C08C9" w:rsidRDefault="004C08C9" w:rsidP="004C08C9">
      <w:bookmarkStart w:id="8" w:name="_1ejdxe7pasfl"/>
      <w:bookmarkEnd w:id="8"/>
    </w:p>
    <w:p w14:paraId="12A9083E" w14:textId="77777777" w:rsidR="004C08C9" w:rsidRPr="004C08C9" w:rsidRDefault="004C08C9" w:rsidP="004C08C9">
      <w:bookmarkStart w:id="9" w:name="_u2p3ehqx714g"/>
      <w:bookmarkEnd w:id="9"/>
    </w:p>
    <w:p w14:paraId="79ADE579" w14:textId="77777777" w:rsidR="004C08C9" w:rsidRPr="004C08C9" w:rsidRDefault="004C08C9" w:rsidP="004C08C9">
      <w:bookmarkStart w:id="10" w:name="_3bhire629hm8"/>
      <w:bookmarkEnd w:id="10"/>
    </w:p>
    <w:p w14:paraId="1F494094" w14:textId="77777777" w:rsidR="004C08C9" w:rsidRPr="004C08C9" w:rsidRDefault="004C08C9" w:rsidP="004C08C9"/>
    <w:p w14:paraId="583F3DB7" w14:textId="77777777" w:rsidR="004C08C9" w:rsidRPr="004C08C9" w:rsidRDefault="004C08C9" w:rsidP="004C08C9">
      <w:pPr>
        <w:rPr>
          <w:b/>
          <w:bCs/>
        </w:rPr>
      </w:pPr>
      <w:bookmarkStart w:id="11" w:name="_g84foxcb4x64"/>
      <w:bookmarkEnd w:id="11"/>
    </w:p>
    <w:p w14:paraId="0D2F680E" w14:textId="77777777" w:rsidR="004C08C9" w:rsidRPr="004C08C9" w:rsidRDefault="004C08C9" w:rsidP="004C08C9">
      <w:pPr>
        <w:rPr>
          <w:b/>
          <w:bCs/>
        </w:rPr>
      </w:pPr>
    </w:p>
    <w:p w14:paraId="6EB79B01" w14:textId="77777777" w:rsidR="004C08C9" w:rsidRPr="004C08C9" w:rsidRDefault="004C08C9" w:rsidP="004C08C9">
      <w:pPr>
        <w:rPr>
          <w:b/>
          <w:bCs/>
        </w:rPr>
      </w:pPr>
    </w:p>
    <w:p w14:paraId="14C25EDE" w14:textId="77777777" w:rsidR="004C08C9" w:rsidRPr="004C08C9" w:rsidRDefault="004C08C9" w:rsidP="004C08C9">
      <w:pPr>
        <w:rPr>
          <w:b/>
          <w:bCs/>
        </w:rPr>
      </w:pPr>
    </w:p>
    <w:p w14:paraId="7FBE1488" w14:textId="77777777" w:rsidR="004C08C9" w:rsidRPr="004C08C9" w:rsidRDefault="004C08C9" w:rsidP="004C08C9">
      <w:pPr>
        <w:rPr>
          <w:b/>
          <w:bCs/>
        </w:rPr>
      </w:pPr>
    </w:p>
    <w:p w14:paraId="3A2693DA" w14:textId="77777777" w:rsidR="004C08C9" w:rsidRPr="004C08C9" w:rsidRDefault="004C08C9" w:rsidP="004C08C9"/>
    <w:p w14:paraId="76ADFFAF" w14:textId="77777777" w:rsidR="004C08C9" w:rsidRDefault="004C08C9" w:rsidP="004C08C9">
      <w:pPr>
        <w:rPr>
          <w:b/>
          <w:bCs/>
        </w:rPr>
      </w:pPr>
    </w:p>
    <w:p w14:paraId="2D568BC5" w14:textId="77777777" w:rsidR="004C08C9" w:rsidRDefault="004C08C9" w:rsidP="004C08C9">
      <w:pPr>
        <w:rPr>
          <w:b/>
          <w:bCs/>
        </w:rPr>
      </w:pPr>
    </w:p>
    <w:p w14:paraId="76A8A7E4" w14:textId="77777777" w:rsidR="004C08C9" w:rsidRDefault="004C08C9" w:rsidP="004C08C9">
      <w:pPr>
        <w:rPr>
          <w:b/>
          <w:bCs/>
        </w:rPr>
      </w:pPr>
    </w:p>
    <w:p w14:paraId="3EAB2C4C" w14:textId="77777777" w:rsidR="004C08C9" w:rsidRDefault="004C08C9" w:rsidP="004C08C9">
      <w:pPr>
        <w:rPr>
          <w:b/>
          <w:bCs/>
        </w:rPr>
      </w:pPr>
    </w:p>
    <w:p w14:paraId="727A325A" w14:textId="77777777" w:rsidR="004C08C9" w:rsidRDefault="004C08C9" w:rsidP="004C08C9">
      <w:pPr>
        <w:rPr>
          <w:b/>
          <w:bCs/>
        </w:rPr>
      </w:pPr>
    </w:p>
    <w:p w14:paraId="4A39AA0E" w14:textId="77777777" w:rsidR="004C08C9" w:rsidRDefault="004C08C9" w:rsidP="004C08C9">
      <w:pPr>
        <w:rPr>
          <w:b/>
          <w:bCs/>
        </w:rPr>
      </w:pPr>
    </w:p>
    <w:p w14:paraId="7502E224" w14:textId="54EAAE9D" w:rsidR="004C08C9" w:rsidRPr="004C08C9" w:rsidRDefault="004C08C9" w:rsidP="004C08C9">
      <w:pPr>
        <w:rPr>
          <w:b/>
          <w:bCs/>
        </w:rPr>
      </w:pPr>
      <w:r w:rsidRPr="004C08C9">
        <w:rPr>
          <w:b/>
          <w:bCs/>
        </w:rPr>
        <w:lastRenderedPageBreak/>
        <w:t>6. References</w:t>
      </w:r>
    </w:p>
    <w:p w14:paraId="0AAA7804" w14:textId="77777777" w:rsidR="004C08C9" w:rsidRPr="004C08C9" w:rsidRDefault="004C08C9" w:rsidP="004C08C9">
      <w:r w:rsidRPr="004C08C9">
        <w:t xml:space="preserve">California Legislature. (2023). </w:t>
      </w:r>
      <w:r w:rsidRPr="004C08C9">
        <w:rPr>
          <w:i/>
          <w:iCs/>
        </w:rPr>
        <w:t>Assembly Bill 413: Vehicles: stopping, standing, and parking</w:t>
      </w:r>
      <w:r w:rsidRPr="004C08C9">
        <w:t>.</w:t>
      </w:r>
    </w:p>
    <w:p w14:paraId="48CAEB86" w14:textId="77777777" w:rsidR="004C08C9" w:rsidRPr="004C08C9" w:rsidRDefault="004C08C9" w:rsidP="004C08C9">
      <w:r w:rsidRPr="004C08C9">
        <w:t xml:space="preserve">California Office of Traffic Safety. (2024). </w:t>
      </w:r>
      <w:r w:rsidRPr="004C08C9">
        <w:rPr>
          <w:i/>
          <w:iCs/>
        </w:rPr>
        <w:t>California traffic safety statistics</w:t>
      </w:r>
      <w:r w:rsidRPr="004C08C9">
        <w:t>.</w:t>
      </w:r>
    </w:p>
    <w:p w14:paraId="2BBA44C1" w14:textId="77777777" w:rsidR="004C08C9" w:rsidRPr="004C08C9" w:rsidRDefault="004C08C9" w:rsidP="004C08C9">
      <w:r w:rsidRPr="004C08C9">
        <w:t xml:space="preserve">City of Livermore. (2025). </w:t>
      </w:r>
      <w:r w:rsidRPr="004C08C9">
        <w:rPr>
          <w:i/>
          <w:iCs/>
        </w:rPr>
        <w:t>California’s Daylighting Law (AB 413).</w:t>
      </w:r>
    </w:p>
    <w:p w14:paraId="23EC681F" w14:textId="77777777" w:rsidR="004C08C9" w:rsidRPr="004C08C9" w:rsidRDefault="004C08C9" w:rsidP="004C08C9">
      <w:r w:rsidRPr="004C08C9">
        <w:t xml:space="preserve">City of San Mateo. (2024). </w:t>
      </w:r>
      <w:r w:rsidRPr="004C08C9">
        <w:rPr>
          <w:i/>
          <w:iCs/>
        </w:rPr>
        <w:t>AB 413 - Daylighting Law.</w:t>
      </w:r>
    </w:p>
    <w:p w14:paraId="3F633618" w14:textId="77777777" w:rsidR="004C08C9" w:rsidRPr="004C08C9" w:rsidRDefault="004C08C9" w:rsidP="004C08C9">
      <w:pPr>
        <w:rPr>
          <w:i/>
          <w:iCs/>
        </w:rPr>
      </w:pPr>
      <w:r w:rsidRPr="004C08C9">
        <w:t xml:space="preserve">Insurance Institute for Highway Safety. (2023). </w:t>
      </w:r>
    </w:p>
    <w:p w14:paraId="5C1EFF79" w14:textId="77777777" w:rsidR="004C08C9" w:rsidRPr="004C08C9" w:rsidRDefault="004C08C9" w:rsidP="004C08C9">
      <w:pPr>
        <w:rPr>
          <w:i/>
          <w:iCs/>
        </w:rPr>
      </w:pPr>
      <w:proofErr w:type="spellStart"/>
      <w:r w:rsidRPr="004C08C9">
        <w:t>Loukaitou</w:t>
      </w:r>
      <w:proofErr w:type="spellEnd"/>
      <w:r w:rsidRPr="004C08C9">
        <w:t xml:space="preserve">-Sideris, A., Liggett, R., &amp; Sung, H. G. (2007). </w:t>
      </w:r>
      <w:r w:rsidRPr="004C08C9">
        <w:rPr>
          <w:i/>
          <w:iCs/>
        </w:rPr>
        <w:t xml:space="preserve">Death on the crosswalk: A study of pedestrian-automobile collisions in Los Angeles. Journal of Planning Education and Research, 26(3), 338-351. </w:t>
      </w:r>
    </w:p>
    <w:p w14:paraId="2C3BAD1C" w14:textId="77777777" w:rsidR="004C08C9" w:rsidRPr="004C08C9" w:rsidRDefault="004C08C9" w:rsidP="004C08C9">
      <w:pPr>
        <w:rPr>
          <w:i/>
          <w:iCs/>
        </w:rPr>
      </w:pPr>
      <w:r w:rsidRPr="004C08C9">
        <w:t xml:space="preserve">Moran, M. E. (2023). </w:t>
      </w:r>
      <w:r w:rsidRPr="004C08C9">
        <w:rPr>
          <w:i/>
          <w:iCs/>
        </w:rPr>
        <w:t xml:space="preserve">Which Streets Are Complete? Mapping Pedestrian, Transit, and Cycling Infrastructure at Scale in San Francisco, CA (Doctoral dissertation, University of California, Berkeley). </w:t>
      </w:r>
    </w:p>
    <w:p w14:paraId="086CD115" w14:textId="77777777" w:rsidR="004C08C9" w:rsidRPr="004C08C9" w:rsidRDefault="004C08C9" w:rsidP="004C08C9">
      <w:r w:rsidRPr="004C08C9">
        <w:t xml:space="preserve">National Cooperative Highway Research Program. (2019). </w:t>
      </w:r>
      <w:r w:rsidRPr="004C08C9">
        <w:rPr>
          <w:i/>
          <w:iCs/>
        </w:rPr>
        <w:t>Guide for pedestrian crossing treatments</w:t>
      </w:r>
      <w:r w:rsidRPr="004C08C9">
        <w:t xml:space="preserve"> (NCHRP Project 15-63). Transportation Research Board.</w:t>
      </w:r>
    </w:p>
    <w:p w14:paraId="519DD829" w14:textId="77777777" w:rsidR="004C08C9" w:rsidRPr="004C08C9" w:rsidRDefault="004C08C9" w:rsidP="004C08C9">
      <w:r w:rsidRPr="004C08C9">
        <w:t xml:space="preserve">National Highway Traffic Safety Administration. (2024). </w:t>
      </w:r>
      <w:r w:rsidRPr="004C08C9">
        <w:rPr>
          <w:i/>
          <w:iCs/>
        </w:rPr>
        <w:t>Traffic safety facts: Pedestrians</w:t>
      </w:r>
      <w:r w:rsidRPr="004C08C9">
        <w:t>.</w:t>
      </w:r>
    </w:p>
    <w:p w14:paraId="2F7A8C50" w14:textId="77777777" w:rsidR="004C08C9" w:rsidRPr="004C08C9" w:rsidRDefault="004C08C9" w:rsidP="004C08C9">
      <w:pPr>
        <w:rPr>
          <w:i/>
          <w:iCs/>
        </w:rPr>
      </w:pPr>
      <w:r w:rsidRPr="004C08C9">
        <w:t>Naumann, R. B., West, B. A., Barry, V., Matthews, S., &amp; Lee, R. (2025).</w:t>
      </w:r>
      <w:r w:rsidRPr="004C08C9">
        <w:rPr>
          <w:i/>
          <w:iCs/>
        </w:rPr>
        <w:t xml:space="preserve"> Pedestrian and overall road traffic crash deaths—United States and 27 other high-income countries, 2013–2022. MMWR. Morbidity and Mortality Weekly Report, 74. </w:t>
      </w:r>
    </w:p>
    <w:p w14:paraId="0B65B6BA" w14:textId="77777777" w:rsidR="004C08C9" w:rsidRPr="004C08C9" w:rsidRDefault="004C08C9" w:rsidP="004C08C9">
      <w:r w:rsidRPr="004C08C9">
        <w:t xml:space="preserve">New York City Department of Transportation. (2025). </w:t>
      </w:r>
      <w:r w:rsidRPr="004C08C9">
        <w:rPr>
          <w:i/>
          <w:iCs/>
        </w:rPr>
        <w:t>Daylighting and street safety: An analysis</w:t>
      </w:r>
      <w:r w:rsidRPr="004C08C9">
        <w:t>.</w:t>
      </w:r>
    </w:p>
    <w:p w14:paraId="581FB2FE" w14:textId="77777777" w:rsidR="004C08C9" w:rsidRPr="004C08C9" w:rsidRDefault="004C08C9" w:rsidP="004C08C9">
      <w:pPr>
        <w:rPr>
          <w:i/>
          <w:iCs/>
        </w:rPr>
      </w:pPr>
      <w:r w:rsidRPr="004C08C9">
        <w:t xml:space="preserve">San Francisco Municipal Transportation Agency. (2026). </w:t>
      </w:r>
      <w:r w:rsidRPr="004C08C9">
        <w:rPr>
          <w:i/>
          <w:iCs/>
        </w:rPr>
        <w:t>Daylighting.</w:t>
      </w:r>
    </w:p>
    <w:p w14:paraId="5322A7AB" w14:textId="77777777" w:rsidR="004C08C9" w:rsidRPr="004C08C9" w:rsidRDefault="004C08C9" w:rsidP="004C08C9">
      <w:pPr>
        <w:rPr>
          <w:i/>
          <w:iCs/>
        </w:rPr>
      </w:pPr>
      <w:r w:rsidRPr="004C08C9">
        <w:t>Assemblymember Lee. (2023).</w:t>
      </w:r>
    </w:p>
    <w:p w14:paraId="73872C73" w14:textId="77777777" w:rsidR="004C08C9" w:rsidRPr="004C08C9" w:rsidRDefault="004C08C9" w:rsidP="004C08C9">
      <w:pPr>
        <w:rPr>
          <w:i/>
          <w:iCs/>
        </w:rPr>
      </w:pPr>
      <w:r w:rsidRPr="004C08C9">
        <w:t xml:space="preserve">Vision Zero Network. (2024). </w:t>
      </w:r>
      <w:r w:rsidRPr="004C08C9">
        <w:rPr>
          <w:i/>
          <w:iCs/>
        </w:rPr>
        <w:t>What is Vision Zero?</w:t>
      </w:r>
    </w:p>
    <w:p w14:paraId="23C1361C" w14:textId="77777777" w:rsidR="004C08C9" w:rsidRPr="004C08C9" w:rsidRDefault="004C08C9" w:rsidP="004C08C9"/>
    <w:p w14:paraId="394EE63E" w14:textId="77777777" w:rsidR="004C08C9" w:rsidRDefault="004C08C9"/>
    <w:sectPr w:rsidR="004C08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8C9"/>
    <w:rsid w:val="0007707A"/>
    <w:rsid w:val="004C0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FC098"/>
  <w15:chartTrackingRefBased/>
  <w15:docId w15:val="{1B74A730-5C17-4A64-9390-57D54EFCE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8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08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08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08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8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8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8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8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8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8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08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08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08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08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08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8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8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8C9"/>
    <w:rPr>
      <w:rFonts w:eastAsiaTheme="majorEastAsia" w:cstheme="majorBidi"/>
      <w:color w:val="272727" w:themeColor="text1" w:themeTint="D8"/>
    </w:rPr>
  </w:style>
  <w:style w:type="paragraph" w:styleId="Title">
    <w:name w:val="Title"/>
    <w:basedOn w:val="Normal"/>
    <w:next w:val="Normal"/>
    <w:link w:val="TitleChar"/>
    <w:uiPriority w:val="10"/>
    <w:qFormat/>
    <w:rsid w:val="004C08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8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8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8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8C9"/>
    <w:pPr>
      <w:spacing w:before="160"/>
      <w:jc w:val="center"/>
    </w:pPr>
    <w:rPr>
      <w:i/>
      <w:iCs/>
      <w:color w:val="404040" w:themeColor="text1" w:themeTint="BF"/>
    </w:rPr>
  </w:style>
  <w:style w:type="character" w:customStyle="1" w:styleId="QuoteChar">
    <w:name w:val="Quote Char"/>
    <w:basedOn w:val="DefaultParagraphFont"/>
    <w:link w:val="Quote"/>
    <w:uiPriority w:val="29"/>
    <w:rsid w:val="004C08C9"/>
    <w:rPr>
      <w:i/>
      <w:iCs/>
      <w:color w:val="404040" w:themeColor="text1" w:themeTint="BF"/>
    </w:rPr>
  </w:style>
  <w:style w:type="paragraph" w:styleId="ListParagraph">
    <w:name w:val="List Paragraph"/>
    <w:basedOn w:val="Normal"/>
    <w:uiPriority w:val="34"/>
    <w:qFormat/>
    <w:rsid w:val="004C08C9"/>
    <w:pPr>
      <w:ind w:left="720"/>
      <w:contextualSpacing/>
    </w:pPr>
  </w:style>
  <w:style w:type="character" w:styleId="IntenseEmphasis">
    <w:name w:val="Intense Emphasis"/>
    <w:basedOn w:val="DefaultParagraphFont"/>
    <w:uiPriority w:val="21"/>
    <w:qFormat/>
    <w:rsid w:val="004C08C9"/>
    <w:rPr>
      <w:i/>
      <w:iCs/>
      <w:color w:val="0F4761" w:themeColor="accent1" w:themeShade="BF"/>
    </w:rPr>
  </w:style>
  <w:style w:type="paragraph" w:styleId="IntenseQuote">
    <w:name w:val="Intense Quote"/>
    <w:basedOn w:val="Normal"/>
    <w:next w:val="Normal"/>
    <w:link w:val="IntenseQuoteChar"/>
    <w:uiPriority w:val="30"/>
    <w:qFormat/>
    <w:rsid w:val="004C08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8C9"/>
    <w:rPr>
      <w:i/>
      <w:iCs/>
      <w:color w:val="0F4761" w:themeColor="accent1" w:themeShade="BF"/>
    </w:rPr>
  </w:style>
  <w:style w:type="character" w:styleId="IntenseReference">
    <w:name w:val="Intense Reference"/>
    <w:basedOn w:val="DefaultParagraphFont"/>
    <w:uiPriority w:val="32"/>
    <w:qFormat/>
    <w:rsid w:val="004C08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1468</Words>
  <Characters>9591</Characters>
  <Application>Microsoft Office Word</Application>
  <DocSecurity>0</DocSecurity>
  <Lines>154</Lines>
  <Paragraphs>35</Paragraphs>
  <ScaleCrop>false</ScaleCrop>
  <Company/>
  <LinksUpToDate>false</LinksUpToDate>
  <CharactersWithSpaces>11024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Pride Akana Techa</dc:creator>
  <cp:keywords/>
  <dc:description/>
  <cp:lastModifiedBy>Pride Akana Techa</cp:lastModifiedBy>
  <cp:revision>1</cp:revision>
  <dcterms:created xsi:type="dcterms:W3CDTF">2026-07-06T17:53:00Z</dcterms:created>
  <dcterms:modified xsi:type="dcterms:W3CDTF">2026-07-06T17:54:00Z</dcterms:modified>
</cp:coreProperties>
</file>